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40" w:before="0" w:after="240"/>
        <w:jc w:val="center"/>
        <w:rPr>
          <w:rFonts w:ascii="Times New Roman;serif" w:hAnsi="Times New Roman;serif"/>
          <w:b/>
          <w:i/>
          <w:color w:val="000000"/>
          <w:sz w:val="22"/>
        </w:rPr>
      </w:pPr>
      <w:r>
        <w:rPr>
          <w:rFonts w:ascii="Times New Roman;serif" w:hAnsi="Times New Roman;serif"/>
          <w:b/>
          <w:i/>
          <w:color w:val="000000"/>
          <w:sz w:val="22"/>
        </w:rPr>
        <w:t>As filed with the Securities and Exchange Commission on December 5, 2025</w:t>
      </w: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Registration No. 333-</w:t>
      </w:r>
    </w:p>
    <w:p>
      <w:pPr>
        <w:pStyle w:val="TextBody"/>
        <w:bidi w:val="0"/>
        <w:spacing w:lineRule="auto" w:line="240"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60" w:after="283"/>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40"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before="0" w:after="0"/>
        <w:jc w:val="center"/>
        <w:rPr/>
      </w:pPr>
      <w:r>
        <w:rPr/>
      </w:r>
    </w:p>
    <w:p>
      <w:pPr>
        <w:pStyle w:val="TextBody"/>
        <w:bidi w:val="0"/>
        <w:spacing w:lineRule="auto" w:line="240" w:before="100" w:after="283"/>
        <w:jc w:val="center"/>
        <w:rPr>
          <w:rFonts w:ascii="Times New Roman;serif" w:hAnsi="Times New Roman;serif"/>
          <w:b/>
          <w:color w:val="000000"/>
          <w:sz w:val="32"/>
        </w:rPr>
      </w:pPr>
      <w:r>
        <w:rPr>
          <w:rFonts w:ascii="Times New Roman;serif" w:hAnsi="Times New Roman;serif"/>
          <w:b/>
          <w:color w:val="000000"/>
          <w:sz w:val="32"/>
        </w:rPr>
        <w:t>FORM S-8</w:t>
      </w:r>
    </w:p>
    <w:p>
      <w:pPr>
        <w:pStyle w:val="TextBody"/>
        <w:bidi w:val="0"/>
        <w:spacing w:lineRule="auto" w:line="240" w:before="0" w:after="0"/>
        <w:jc w:val="center"/>
        <w:rPr>
          <w:rFonts w:ascii="Times New Roman;serif" w:hAnsi="Times New Roman;serif"/>
          <w:b/>
          <w:color w:val="000000"/>
          <w:sz w:val="32"/>
        </w:rPr>
      </w:pPr>
      <w:r>
        <w:rPr>
          <w:rFonts w:ascii="Times New Roman;serif" w:hAnsi="Times New Roman;serif"/>
          <w:b/>
          <w:color w:val="000000"/>
          <w:sz w:val="32"/>
        </w:rPr>
        <w:t>REGISTRATION STATEMENT</w:t>
      </w:r>
    </w:p>
    <w:p>
      <w:pPr>
        <w:pStyle w:val="TextBody"/>
        <w:bidi w:val="0"/>
        <w:spacing w:lineRule="auto" w:line="240" w:before="0" w:after="0"/>
        <w:jc w:val="center"/>
        <w:rPr>
          <w:rFonts w:ascii="Times New Roman;serif" w:hAnsi="Times New Roman;serif"/>
          <w:b/>
          <w:i/>
          <w:color w:val="000000"/>
          <w:sz w:val="20"/>
        </w:rPr>
      </w:pPr>
      <w:r>
        <w:rPr>
          <w:rFonts w:ascii="Times New Roman;serif" w:hAnsi="Times New Roman;serif"/>
          <w:b/>
          <w:i/>
          <w:color w:val="000000"/>
          <w:sz w:val="20"/>
        </w:rPr>
        <w:t xml:space="preserve">UNDER </w:t>
      </w:r>
    </w:p>
    <w:p>
      <w:pPr>
        <w:pStyle w:val="TextBody"/>
        <w:bidi w:val="0"/>
        <w:spacing w:lineRule="auto" w:line="240" w:before="0" w:after="0"/>
        <w:jc w:val="center"/>
        <w:rPr>
          <w:rFonts w:ascii="Times New Roman;serif" w:hAnsi="Times New Roman;serif"/>
          <w:b/>
          <w:i/>
          <w:color w:val="000000"/>
          <w:sz w:val="20"/>
        </w:rPr>
      </w:pPr>
      <w:r>
        <w:rPr>
          <w:rFonts w:ascii="Times New Roman;serif" w:hAnsi="Times New Roman;serif"/>
          <w:b/>
          <w:i/>
          <w:color w:val="000000"/>
          <w:sz w:val="20"/>
        </w:rPr>
        <w:t>THE SECURITIES ACT OF 1933</w:t>
      </w:r>
    </w:p>
    <w:p>
      <w:pPr>
        <w:pStyle w:val="TextBody"/>
        <w:bidi w:val="0"/>
        <w:spacing w:before="0" w:after="0"/>
        <w:jc w:val="center"/>
        <w:rPr/>
      </w:pPr>
      <w:r>
        <w:rPr/>
      </w:r>
    </w:p>
    <w:p>
      <w:pPr>
        <w:pStyle w:val="TextBody"/>
        <w:bidi w:val="0"/>
        <w:spacing w:lineRule="auto" w:line="240" w:before="220" w:after="283"/>
        <w:jc w:val="center"/>
        <w:rPr>
          <w:rFonts w:ascii="Times New Roman;serif" w:hAnsi="Times New Roman;serif"/>
          <w:b/>
          <w:color w:val="000000"/>
          <w:sz w:val="32"/>
        </w:rPr>
      </w:pPr>
      <w:r>
        <w:rPr>
          <w:rFonts w:ascii="Times New Roman;serif" w:hAnsi="Times New Roman;serif"/>
          <w:b/>
          <w:color w:val="000000"/>
          <w:sz w:val="32"/>
        </w:rPr>
        <w:t>PAYLOCITY HOLDING CORPORATION</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before="0" w:after="0"/>
        <w:jc w:val="center"/>
        <w:rPr/>
      </w:pPr>
      <w:r>
        <w:rPr/>
      </w:r>
    </w:p>
    <w:tbl>
      <w:tblPr>
        <w:tblW w:w="4466" w:type="dxa"/>
        <w:jc w:val="left"/>
        <w:tblInd w:w="0" w:type="dxa"/>
        <w:tblLayout w:type="fixed"/>
        <w:tblCellMar>
          <w:top w:w="28" w:type="dxa"/>
          <w:left w:w="28" w:type="dxa"/>
          <w:bottom w:w="28" w:type="dxa"/>
          <w:right w:w="28" w:type="dxa"/>
        </w:tblCellMar>
      </w:tblPr>
      <w:tblGrid>
        <w:gridCol w:w="901"/>
        <w:gridCol w:w="794"/>
        <w:gridCol w:w="801"/>
        <w:gridCol w:w="121"/>
        <w:gridCol w:w="121"/>
        <w:gridCol w:w="121"/>
        <w:gridCol w:w="469"/>
        <w:gridCol w:w="469"/>
        <w:gridCol w:w="669"/>
      </w:tblGrid>
      <w:tr>
        <w:trPr/>
        <w:tc>
          <w:tcPr>
            <w:tcW w:w="90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r>
      <w:tr>
        <w:trPr/>
        <w:tc>
          <w:tcPr>
            <w:tcW w:w="2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c>
          <w:tcPr>
            <w:tcW w:w="36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46-4066644</w:t>
            </w:r>
          </w:p>
        </w:tc>
      </w:tr>
      <w:tr>
        <w:trPr/>
        <w:tc>
          <w:tcPr>
            <w:tcW w:w="249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w:t>
            </w:r>
          </w:p>
          <w:p>
            <w:pPr>
              <w:pStyle w:val="TableContents"/>
              <w:bidi w:val="0"/>
              <w:spacing w:lineRule="auto" w:line="240" w:before="0" w:after="20"/>
              <w:jc w:val="center"/>
              <w:rPr>
                <w:rFonts w:ascii="Times New Roman;serif" w:hAnsi="Times New Roman;serif"/>
                <w:b w:val="false"/>
                <w:color w:val="000000"/>
                <w:sz w:val="16"/>
              </w:rPr>
            </w:pPr>
            <w:r>
              <w:rPr>
                <w:rFonts w:ascii="Times New Roman;serif" w:hAnsi="Times New Roman;serif"/>
                <w:b w:val="false"/>
                <w:color w:val="000000"/>
                <w:sz w:val="16"/>
              </w:rPr>
              <w:t>incorporation or organization)</w:t>
            </w:r>
          </w:p>
        </w:tc>
        <w:tc>
          <w:tcPr>
            <w:tcW w:w="36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0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(I.R.S. Employer</w:t>
            </w:r>
          </w:p>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Identification No.)</w:t>
            </w:r>
          </w:p>
        </w:tc>
      </w:tr>
      <w:tr>
        <w:trPr/>
        <w:tc>
          <w:tcPr>
            <w:tcW w:w="2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6"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1400 American Lane </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Schaumburg, Illinois 60173</w:t>
            </w:r>
          </w:p>
          <w:p>
            <w:pPr>
              <w:pStyle w:val="TableContents"/>
              <w:bidi w:val="0"/>
              <w:spacing w:before="0" w:after="0"/>
              <w:jc w:val="center"/>
              <w:rPr/>
            </w:pPr>
            <w:r>
              <w:rPr/>
            </w:r>
          </w:p>
          <w:p>
            <w:pPr>
              <w:pStyle w:val="TableContents"/>
              <w:bidi w:val="0"/>
              <w:spacing w:lineRule="auto" w:line="240" w:before="0" w:after="0"/>
              <w:jc w:val="center"/>
              <w:rPr>
                <w:color w:val="000000"/>
              </w:rPr>
            </w:pPr>
            <w:r>
              <w:rPr>
                <w:color w:val="000000"/>
              </w:rPr>
              <w:t> </w:t>
            </w:r>
            <w:r>
              <w:rPr>
                <w:rFonts w:ascii="Times New Roman;serif" w:hAnsi="Times New Roman;serif"/>
                <w:b w:val="false"/>
                <w:color w:val="000000"/>
                <w:sz w:val="16"/>
              </w:rPr>
              <w:t>(Address of Principal Executive Offices, including Zip Code)</w:t>
            </w:r>
          </w:p>
        </w:tc>
      </w:tr>
    </w:tbl>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w: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Amended and Restated 2023 Equity Incentive Plan</w:t>
      </w:r>
    </w:p>
    <w:p>
      <w:pPr>
        <w:pStyle w:val="TextBody"/>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(Full title of the plan)</w:t>
      </w:r>
    </w:p>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w:t>
      </w:r>
    </w:p>
    <w:p>
      <w:pPr>
        <w:pStyle w:val="TextBody"/>
        <w:bidi w:val="0"/>
        <w:spacing w:lineRule="auto" w:line="240" w:before="120" w:after="283"/>
        <w:jc w:val="center"/>
        <w:rPr>
          <w:rFonts w:ascii="Times New Roman;serif" w:hAnsi="Times New Roman;serif"/>
          <w:b/>
          <w:color w:val="000000"/>
          <w:sz w:val="20"/>
        </w:rPr>
      </w:pPr>
      <w:r>
        <w:rPr>
          <w:rFonts w:ascii="Times New Roman;serif" w:hAnsi="Times New Roman;serif"/>
          <w:b/>
          <w:color w:val="000000"/>
          <w:sz w:val="20"/>
        </w:rPr>
        <w:t>Ryan Glenn</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Chief Financial Officer</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1400 American Lane</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Schaumburg, Illinois 60173</w:t>
      </w:r>
    </w:p>
    <w:p>
      <w:pPr>
        <w:pStyle w:val="TextBody"/>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(Name and address of agent for service)</w: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(847) 463-3200</w:t>
      </w:r>
    </w:p>
    <w:p>
      <w:pPr>
        <w:pStyle w:val="TextBody"/>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(Telephone number, including area code, of agent for service)</w:t>
      </w:r>
    </w:p>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w:t>
      </w:r>
    </w:p>
    <w:p>
      <w:pPr>
        <w:pStyle w:val="TextBody"/>
        <w:bidi w:val="0"/>
        <w:spacing w:lineRule="auto" w:line="240" w:before="18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6065" w:type="dxa"/>
        <w:jc w:val="left"/>
        <w:tblInd w:w="0" w:type="dxa"/>
        <w:tblLayout w:type="fixed"/>
        <w:tblCellMar>
          <w:top w:w="28" w:type="dxa"/>
          <w:left w:w="28" w:type="dxa"/>
          <w:bottom w:w="28" w:type="dxa"/>
          <w:right w:w="28" w:type="dxa"/>
        </w:tblCellMar>
      </w:tblPr>
      <w:tblGrid>
        <w:gridCol w:w="431"/>
        <w:gridCol w:w="377"/>
        <w:gridCol w:w="377"/>
        <w:gridCol w:w="377"/>
        <w:gridCol w:w="377"/>
        <w:gridCol w:w="383"/>
        <w:gridCol w:w="109"/>
        <w:gridCol w:w="109"/>
        <w:gridCol w:w="109"/>
        <w:gridCol w:w="135"/>
        <w:gridCol w:w="135"/>
        <w:gridCol w:w="136"/>
        <w:gridCol w:w="769"/>
        <w:gridCol w:w="769"/>
        <w:gridCol w:w="773"/>
        <w:gridCol w:w="109"/>
        <w:gridCol w:w="109"/>
        <w:gridCol w:w="109"/>
        <w:gridCol w:w="109"/>
        <w:gridCol w:w="109"/>
        <w:gridCol w:w="154"/>
      </w:tblGrid>
      <w:tr>
        <w:trPr/>
        <w:tc>
          <w:tcPr>
            <w:tcW w:w="431"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16"/>
              </w:rPr>
            </w:pPr>
            <w:r>
              <w:rPr>
                <w:rFonts w:ascii="Wingdings;sans-serif" w:hAnsi="Wingdings;sans-serif"/>
                <w:b w:val="false"/>
                <w:color w:val="000000"/>
                <w:sz w:val="16"/>
              </w:rPr>
              <w:t>x</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232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20"/>
              <w:jc w:val="both"/>
              <w:rPr/>
            </w:pPr>
            <w:r>
              <w:rPr>
                <w:rFonts w:ascii="Wingdings;sans-serif" w:hAnsi="Wingdings;sans-serif"/>
                <w:b w:val="false"/>
                <w:color w:val="000000"/>
                <w:sz w:val="20"/>
              </w:rPr>
              <w:t>o</w:t>
            </w:r>
            <w:r>
              <w:rPr>
                <w:color w:val="000000"/>
              </w:rPr>
              <w:t>  </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232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Wingdings;sans-serif" w:hAnsi="Wingdings;sans-serif"/>
          <w:b w:val="false"/>
          <w:color w:val="000000"/>
          <w:sz w:val="20"/>
        </w:rPr>
        <w:t>o</w:t>
      </w:r>
    </w:p>
    <w:p>
      <w:pPr>
        <w:pStyle w:val="TextBody"/>
        <w:bidi w:val="0"/>
        <w:spacing w:before="0" w:after="0"/>
        <w:jc w:val="both"/>
        <w:rPr/>
      </w:pPr>
      <w:r>
        <w:rPr/>
      </w:r>
    </w:p>
    <w:p>
      <w:pPr>
        <w:pStyle w:val="TextBody"/>
        <w:bidi w:val="0"/>
        <w:spacing w:before="0" w:after="0"/>
        <w:jc w:val="both"/>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180" w:after="283"/>
        <w:jc w:val="center"/>
        <w:rPr>
          <w:rFonts w:ascii="Times New Roman;serif" w:hAnsi="Times New Roman;serif"/>
          <w:b/>
          <w:color w:val="000000"/>
          <w:sz w:val="20"/>
        </w:rPr>
      </w:pPr>
      <w:r>
        <w:rPr>
          <w:rFonts w:ascii="Times New Roman;serif" w:hAnsi="Times New Roman;serif"/>
          <w:b/>
          <w:color w:val="000000"/>
          <w:sz w:val="20"/>
        </w:rPr>
        <w:t>EXPLANATORY NOTE</w:t>
      </w:r>
    </w:p>
    <w:p>
      <w:pPr>
        <w:pStyle w:val="TextBody"/>
        <w:bidi w:val="0"/>
        <w:spacing w:before="0" w:after="0"/>
        <w:jc w:val="center"/>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This Registration Statement on Form S-8 (“Registration Statement”) is being filed for the purpose of registering an additional 444,000 shares of common stock, par value $0.001 per share (“Common Stock”), of Paylocity Holding Corporation (the “Company” or “Registrant”) reserved for issuance under the Registrant’s Amended and Restated 2023 Equity Incentive Plan (the “Plan”). These additional shares of Common Stock are additional securities of the same class as other securities for which an original registration statement (File No. 333-275800) on Form S-8 was filed with the U.S. Securities and Exchange Commission (the “Commission”) on November 30, 2023 (the “Prior Registration Statement”). These additional shares of Common Stock were reserved for issuance in connection with the amendment and restatement of the Plan, which was approved by stockholders on December 4, 2025 at the Company’s 2026 Annual Meeting of Stockholders. </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General Instruction E to Form S-8, this Registration Statement incorporates by reference the contents of the Prior Registration Statement, except that the provisions contained in Part II of such Prior Registration Statement is modified as set forth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180" w:after="283"/>
        <w:jc w:val="center"/>
        <w:rPr>
          <w:rFonts w:ascii="Times New Roman;serif" w:hAnsi="Times New Roman;serif"/>
          <w:b/>
          <w:color w:val="000000"/>
          <w:sz w:val="20"/>
        </w:rPr>
      </w:pPr>
      <w:r>
        <w:rPr>
          <w:rFonts w:ascii="Times New Roman;serif" w:hAnsi="Times New Roman;serif"/>
          <w:b/>
          <w:color w:val="000000"/>
          <w:sz w:val="20"/>
        </w:rPr>
        <w:t>PART II</w:t>
      </w:r>
    </w:p>
    <w:p>
      <w:pPr>
        <w:pStyle w:val="TextBody"/>
        <w:bidi w:val="0"/>
        <w:spacing w:lineRule="auto" w:line="240" w:before="180" w:after="283"/>
        <w:jc w:val="center"/>
        <w:rPr>
          <w:rFonts w:ascii="Times New Roman;serif" w:hAnsi="Times New Roman;serif"/>
          <w:b/>
          <w:color w:val="000000"/>
          <w:sz w:val="20"/>
        </w:rPr>
      </w:pPr>
      <w:r>
        <w:rPr>
          <w:rFonts w:ascii="Times New Roman;serif" w:hAnsi="Times New Roman;serif"/>
          <w:b/>
          <w:color w:val="000000"/>
          <w:sz w:val="20"/>
        </w:rPr>
        <w:t>Information Required in the Registration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180" w:after="283"/>
        <w:jc w:val="left"/>
        <w:rPr>
          <w:rFonts w:ascii="Times New Roman;serif" w:hAnsi="Times New Roman;serif"/>
          <w:b/>
          <w:color w:val="000000"/>
          <w:sz w:val="20"/>
        </w:rPr>
      </w:pPr>
      <w:r>
        <w:rPr>
          <w:rFonts w:ascii="Times New Roman;serif" w:hAnsi="Times New Roman;serif"/>
          <w:b/>
          <w:color w:val="000000"/>
          <w:sz w:val="20"/>
        </w:rPr>
        <w:t>Item 3. Incorporation of documents by reference</w:t>
      </w:r>
    </w:p>
    <w:p>
      <w:pPr>
        <w:pStyle w:val="TextBody"/>
        <w:bidi w:val="0"/>
        <w:spacing w:lineRule="auto" w:line="26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Registrant hereby incorporates by reference in this Registration Statement the following documents:</w:t>
      </w:r>
    </w:p>
    <w:p>
      <w:pPr>
        <w:pStyle w:val="TextBody"/>
        <w:bidi w:val="0"/>
        <w:spacing w:lineRule="auto" w:line="268" w:before="200" w:after="283"/>
        <w:ind w:left="0" w:right="0" w:hanging="720"/>
        <w:jc w:val="left"/>
        <w:rPr/>
      </w:pPr>
      <w:r>
        <w:rPr>
          <w:rFonts w:ascii="Times New Roman;serif" w:hAnsi="Times New Roman;serif"/>
          <w:b w:val="false"/>
          <w:color w:val="000000"/>
          <w:sz w:val="20"/>
        </w:rPr>
        <w:t xml:space="preserve">(a)The Registrant’s </w:t>
      </w:r>
      <w:hyperlink r:id="rId2">
        <w:r>
          <w:rPr>
            <w:rStyle w:val="InternetLink"/>
          </w:rPr>
          <w:t xml:space="preserve">Annual Report on Form 10-K for </w:t>
        </w:r>
      </w:hyperlink>
      <w:hyperlink r:id="rId3">
        <w:r>
          <w:rPr>
            <w:rStyle w:val="InternetLink"/>
          </w:rPr>
          <w:t>the</w:t>
        </w:r>
      </w:hyperlink>
      <w:hyperlink r:id="rId4">
        <w:r>
          <w:rPr>
            <w:rStyle w:val="InternetLink"/>
          </w:rPr>
          <w:t xml:space="preserve"> fiscal year ended June 30, 202</w:t>
        </w:r>
      </w:hyperlink>
      <w:hyperlink r:id="rId5">
        <w:r>
          <w:rPr>
            <w:rStyle w:val="InternetLink"/>
          </w:rPr>
          <w:t>5</w:t>
        </w:r>
      </w:hyperlink>
      <w:r>
        <w:rPr>
          <w:color w:val="000000"/>
        </w:rPr>
        <w:t xml:space="preserve"> </w:t>
      </w:r>
      <w:r>
        <w:rPr>
          <w:rFonts w:ascii="Times New Roman;serif" w:hAnsi="Times New Roman;serif"/>
          <w:b w:val="false"/>
          <w:color w:val="000000"/>
          <w:sz w:val="20"/>
        </w:rPr>
        <w:t>filed with the Commission on August 6, 2025 (the "Annual Report") pursuant to Section 13(a) of the Securities Exchange Act of 1934, as amended (the “Exchange Act”);</w:t>
      </w:r>
    </w:p>
    <w:p>
      <w:pPr>
        <w:pStyle w:val="TextBody"/>
        <w:bidi w:val="0"/>
        <w:spacing w:lineRule="auto" w:line="26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(b)All other reports filed with the Commission pursuant to Sections 13(a) or 15(d) since the end of the fiscal year covered by the Registrant’s Annual Report referred to in (a) above; and</w:t>
      </w:r>
    </w:p>
    <w:p>
      <w:pPr>
        <w:pStyle w:val="TextBody"/>
        <w:bidi w:val="0"/>
        <w:spacing w:lineRule="auto" w:line="268" w:before="120" w:after="283"/>
        <w:ind w:left="0" w:right="0" w:hanging="720"/>
        <w:jc w:val="left"/>
        <w:rPr/>
      </w:pPr>
      <w:r>
        <w:rPr>
          <w:rFonts w:ascii="Times New Roman;serif" w:hAnsi="Times New Roman;serif"/>
          <w:b w:val="false"/>
          <w:color w:val="000000"/>
          <w:sz w:val="22"/>
        </w:rPr>
        <w:t>(c)</w:t>
      </w:r>
      <w:r>
        <w:rPr>
          <w:rFonts w:ascii="Times New Roman;serif" w:hAnsi="Times New Roman;serif"/>
          <w:b w:val="false"/>
          <w:color w:val="000000"/>
          <w:sz w:val="20"/>
        </w:rPr>
        <w:t xml:space="preserve">The description of the Registrant’s common stock, par value $0.001, included as </w:t>
      </w:r>
      <w:hyperlink r:id="rId6">
        <w:r>
          <w:rPr>
            <w:rStyle w:val="InternetLink"/>
            <w:rFonts w:ascii="Times New Roman;serif" w:hAnsi="Times New Roman;serif"/>
            <w:b w:val="false"/>
            <w:color w:val="0000FF"/>
            <w:sz w:val="20"/>
            <w:u w:val="single"/>
          </w:rPr>
          <w:t>Exhibit 4.2</w:t>
        </w:r>
      </w:hyperlink>
      <w:r>
        <w:rPr>
          <w:color w:val="000000"/>
        </w:rPr>
        <w:t xml:space="preserve"> </w:t>
      </w:r>
      <w:r>
        <w:rPr>
          <w:rFonts w:ascii="Times New Roman;serif" w:hAnsi="Times New Roman;serif"/>
          <w:b w:val="false"/>
          <w:color w:val="000000"/>
          <w:sz w:val="20"/>
        </w:rPr>
        <w:t>to the Annual Report referred to in (a) above, including any amendment or report filed for the purpose of updating such description.</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All documents that the Registrant files pursuant to Section 13(a), 13(c), 14 or 15(d) of the Exchange Act after the date of this Registration Statement and prior to the filing of a post-effective amendment which indicates that all securities offered hereby have been sold or which de-registers all securities then remaining unsold, shall be deemed to be incorporated by reference into this Registration Statement and to be a part hereof from the date of filing of such documents (other than information furnished pursuant to Item 2.02 or Item 7.01 of any Current Report on Form 8-K, unless expressly stated otherwise therein).</w:t>
      </w:r>
    </w:p>
    <w:p>
      <w:pPr>
        <w:pStyle w:val="TextBody"/>
        <w:bidi w:val="0"/>
        <w:spacing w:before="0" w:after="0"/>
        <w:ind w:left="0" w:right="0" w:firstLine="720"/>
        <w:jc w:val="left"/>
        <w:rPr/>
      </w:pPr>
      <w:r>
        <w:rPr/>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Any statement contained in a document incorporated or deemed to be incorporated by reference herein shall be deemed to be modified or superseded for purposes of this Registration Statement to the extent that a statement contained herein or in any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80" w:after="283"/>
        <w:jc w:val="left"/>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8. Exhibits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The following exhibits are filed or incorporated by reference as part of this Registration Statement:</w:t>
      </w:r>
    </w:p>
    <w:tbl>
      <w:tblPr>
        <w:tblW w:w="10205"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2693"/>
        <w:gridCol w:w="2682"/>
        <w:gridCol w:w="3692"/>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2682" w:type="dxa"/>
            <w:tcBorders/>
            <w:vAlign w:val="center"/>
          </w:tcPr>
          <w:p>
            <w:pPr>
              <w:pStyle w:val="TableContents"/>
              <w:bidi w:val="0"/>
              <w:spacing w:before="0" w:after="283"/>
              <w:jc w:val="left"/>
              <w:rPr>
                <w:sz w:val="4"/>
                <w:szCs w:val="4"/>
              </w:rPr>
            </w:pPr>
            <w:r>
              <w:rPr>
                <w:sz w:val="4"/>
                <w:szCs w:val="4"/>
              </w:rPr>
            </w:r>
          </w:p>
        </w:tc>
        <w:tc>
          <w:tcPr>
            <w:tcW w:w="3692"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Index to Exhibits</w:t>
            </w:r>
          </w:p>
        </w:tc>
      </w:tr>
      <w:tr>
        <w:trPr/>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80"/>
                  <w:sz w:val="20"/>
                  <w:u w:val="single"/>
                </w:rPr>
                <w:t xml:space="preserve">Third Amended and Restated Certificate of Incorporation (incorporated by reference to Exhibit 3.1 </w:t>
              </w:r>
            </w:hyperlink>
            <w:hyperlink r:id="rId8">
              <w:r>
                <w:rPr>
                  <w:rStyle w:val="InternetLink"/>
                  <w:rFonts w:ascii="Times New Roman;serif" w:hAnsi="Times New Roman;serif"/>
                  <w:b w:val="false"/>
                  <w:color w:val="000080"/>
                  <w:sz w:val="20"/>
                  <w:u w:val="single"/>
                </w:rPr>
                <w:t>of</w:t>
              </w:r>
            </w:hyperlink>
            <w:hyperlink r:id="rId9">
              <w:r>
                <w:rPr>
                  <w:rStyle w:val="InternetLink"/>
                  <w:rFonts w:ascii="Times New Roman;serif" w:hAnsi="Times New Roman;serif"/>
                  <w:b w:val="false"/>
                  <w:color w:val="000080"/>
                  <w:sz w:val="20"/>
                  <w:u w:val="single"/>
                </w:rPr>
                <w:t xml:space="preserve"> the Registrant’s Current Report on Form 8-K filed with the Commission on December 4, 2023).</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erif" w:hAnsi="Times New Roman;serif"/>
                  <w:b w:val="false"/>
                  <w:color w:val="000080"/>
                  <w:sz w:val="20"/>
                  <w:u w:val="single"/>
                </w:rPr>
                <w:t xml:space="preserve">Third Amended and Restated Bylaws (incorporated by reference to Exhibit 3.2 </w:t>
              </w:r>
            </w:hyperlink>
            <w:hyperlink r:id="rId11">
              <w:r>
                <w:rPr>
                  <w:rStyle w:val="InternetLink"/>
                  <w:rFonts w:ascii="Times New Roman;serif" w:hAnsi="Times New Roman;serif"/>
                  <w:b w:val="false"/>
                  <w:color w:val="000080"/>
                  <w:sz w:val="20"/>
                  <w:u w:val="single"/>
                </w:rPr>
                <w:t>of</w:t>
              </w:r>
            </w:hyperlink>
            <w:hyperlink r:id="rId12">
              <w:r>
                <w:rPr>
                  <w:rStyle w:val="InternetLink"/>
                  <w:rFonts w:ascii="Times New Roman;serif" w:hAnsi="Times New Roman;serif"/>
                  <w:b w:val="false"/>
                  <w:color w:val="000080"/>
                  <w:sz w:val="20"/>
                  <w:u w:val="single"/>
                </w:rPr>
                <w:t xml:space="preserve"> the Registrant’s Current Report on Form 8-K filed with the Commission on December 4, 2023).</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erif" w:hAnsi="Times New Roman;serif"/>
                  <w:b w:val="false"/>
                  <w:color w:val="0000FF"/>
                  <w:sz w:val="20"/>
                  <w:u w:val="single"/>
                </w:rPr>
                <w:t>Amended and Restated 2023 Equity Incentive Plan (incorporated by reference to Exhibit 10.1 of the Registrant's Form Current Report on Form 8-K filed with the Commission on December 5, 2025).</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cty-2025x12x05xs8xex51.htm">
              <w:r>
                <w:rPr>
                  <w:rStyle w:val="InternetLink"/>
                  <w:rFonts w:ascii="Times New Roman;serif" w:hAnsi="Times New Roman;serif"/>
                  <w:b w:val="false"/>
                  <w:color w:val="0000FF"/>
                  <w:sz w:val="20"/>
                  <w:u w:val="single"/>
                </w:rPr>
                <w:t>Opinion of DLA Piper LLP (US).</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cty-2025x12x05xs8xex231.htm">
              <w:r>
                <w:rPr>
                  <w:rStyle w:val="InternetLink"/>
                  <w:rFonts w:ascii="Times New Roman;serif" w:hAnsi="Times New Roman;serif"/>
                  <w:b w:val="false"/>
                  <w:color w:val="0000FF"/>
                  <w:sz w:val="20"/>
                  <w:u w:val="single"/>
                </w:rPr>
                <w:t>Consent of KPMG LLP, Independent Registered Public Accounting Firm.</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cty-2025x12x05xs8xex51.htm">
              <w:r>
                <w:rPr>
                  <w:rStyle w:val="InternetLink"/>
                  <w:rFonts w:ascii="Times New Roman;serif" w:hAnsi="Times New Roman;serif"/>
                  <w:b w:val="false"/>
                  <w:color w:val="0000FF"/>
                  <w:sz w:val="20"/>
                  <w:u w:val="single"/>
                </w:rPr>
                <w:t>Consent of DLA Piper LLP (US) (included in Exhibit 5.1).</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23ca26304d24a5ab54716d3aebff85c_37">
              <w:r>
                <w:rPr>
                  <w:rStyle w:val="InternetLink"/>
                  <w:rFonts w:ascii="Times New Roman;serif" w:hAnsi="Times New Roman;serif"/>
                  <w:b w:val="false"/>
                  <w:color w:val="0000FF"/>
                  <w:sz w:val="20"/>
                  <w:u w:val="single"/>
                </w:rPr>
                <w:t>Power of Attorney (included on the signature page of this Registration Statement).</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filingfees.htm">
              <w:r>
                <w:rPr>
                  <w:rStyle w:val="InternetLink"/>
                  <w:rFonts w:ascii="Times New Roman;serif" w:hAnsi="Times New Roman;serif"/>
                  <w:b w:val="false"/>
                  <w:color w:val="0000FF"/>
                  <w:sz w:val="20"/>
                  <w:u w:val="single"/>
                </w:rPr>
                <w:t>Filing Fee Table.</w:t>
              </w:r>
            </w:hyperlink>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center"/>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Schaumburg, State of Illinois, on this 5th day of December, 2025.</w:t>
      </w:r>
    </w:p>
    <w:p>
      <w:pPr>
        <w:pStyle w:val="TextBody"/>
        <w:bidi w:val="0"/>
        <w:spacing w:before="180" w:after="283"/>
        <w:jc w:val="both"/>
        <w:rPr/>
      </w:pPr>
      <w:r>
        <w:rPr/>
      </w:r>
    </w:p>
    <w:tbl>
      <w:tblPr>
        <w:tblW w:w="4447"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588"/>
        <w:gridCol w:w="588"/>
        <w:gridCol w:w="588"/>
        <w:gridCol w:w="588"/>
        <w:gridCol w:w="588"/>
        <w:gridCol w:w="83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PAYLOCITY HOLDING CORPORATION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Ryan Glenn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Ryan Glenn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22"/>
        </w:rPr>
      </w:pPr>
      <w:r>
        <w:rPr>
          <w:rFonts w:ascii="Times New Roman;serif" w:hAnsi="Times New Roman;serif"/>
          <w:b/>
          <w:color w:val="000000"/>
          <w:sz w:val="22"/>
        </w:rPr>
        <w:t>POWER OF ATTORNEY</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KNOW ALL MEN BY THESE PRESENTS, that the undersigned officers and directors of Paylocity Holding Corporation, a Delaware corporation, do hereby constitute and appoint Toby J. Williams and Ryan Glenn, and each of them, the lawful attorneys-in-fact and agents with full power of substitution, each with power to act alone, and authority to do any and all acts and things and to execute any and all instruments which said attorneys and agents, and any one of them, determine may be necessary or advisable or required to enable said corporation to comply with the Securities Act of 1933, as amended, and any rules or regulations or requirements of the Securities and Exchange Commission in connection with this Registration Statement. Without limiting the generality of the foregoing power and authority, the powers granted include the power and authority to sign the names of the undersigned officers and directors in the capacities indicated below to this Registration Statement, to any and all amendments, both pre-effective and post-effective, and supplements to this Registration Statement, and to any and all instruments or documents filed as part of or in conjunction with this Registration Statement or amendments or supplements thereof, and each of the undersigned hereby ratifies and confirms all that said attorneys and agents, or any one of them, shall do or cause to be done by virtue hereof. </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Act of 1933, as amended, this Registration Statement has been signed below by the following persons in the capacities indicated on December 5,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tbl>
      <w:tblPr>
        <w:tblW w:w="9620" w:type="dxa"/>
        <w:jc w:val="left"/>
        <w:tblInd w:w="0" w:type="dxa"/>
        <w:tblLayout w:type="fixed"/>
        <w:tblCellMar>
          <w:top w:w="28" w:type="dxa"/>
          <w:left w:w="28" w:type="dxa"/>
          <w:bottom w:w="28" w:type="dxa"/>
          <w:right w:w="28" w:type="dxa"/>
        </w:tblCellMar>
      </w:tblPr>
      <w:tblGrid>
        <w:gridCol w:w="776"/>
        <w:gridCol w:w="682"/>
        <w:gridCol w:w="687"/>
        <w:gridCol w:w="1164"/>
        <w:gridCol w:w="1164"/>
        <w:gridCol w:w="1164"/>
        <w:gridCol w:w="1164"/>
        <w:gridCol w:w="1164"/>
        <w:gridCol w:w="1655"/>
      </w:tblGrid>
      <w:tr>
        <w:trPr/>
        <w:tc>
          <w:tcPr>
            <w:tcW w:w="776"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Signature</w:t>
            </w:r>
          </w:p>
        </w:tc>
        <w:tc>
          <w:tcPr>
            <w:tcW w:w="747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w:t>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Toby J. Williams</w:t>
            </w:r>
          </w:p>
        </w:tc>
        <w:tc>
          <w:tcPr>
            <w:tcW w:w="7475" w:type="dxa"/>
            <w:gridSpan w:val="6"/>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President, Chief Executive Officer (Principal Executive Officer) and Director</w:t>
            </w:r>
          </w:p>
        </w:tc>
      </w:tr>
      <w:tr>
        <w:trPr/>
        <w:tc>
          <w:tcPr>
            <w:tcW w:w="2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Toby J. Williams</w:t>
            </w:r>
          </w:p>
        </w:tc>
        <w:tc>
          <w:tcPr>
            <w:tcW w:w="7475" w:type="dxa"/>
            <w:gridSpan w:val="6"/>
            <w:vMerge w:val="continue"/>
            <w:tcBorders/>
            <w:tcMar>
              <w:top w:w="0" w:type="dxa"/>
              <w:left w:w="0" w:type="dxa"/>
              <w:bottom w:w="0" w:type="dxa"/>
              <w:right w:w="0" w:type="dxa"/>
            </w:tcMar>
            <w:vAlign w:val="center"/>
          </w:tcPr>
          <w:p>
            <w:pPr>
              <w:pStyle w:val="Normal"/>
              <w:bidi w:val="0"/>
              <w:jc w:val="left"/>
              <w:rPr/>
            </w:pPr>
            <w:r>
              <w:rPr/>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Ryan Glenn</w:t>
            </w:r>
          </w:p>
        </w:tc>
        <w:tc>
          <w:tcPr>
            <w:tcW w:w="7475" w:type="dxa"/>
            <w:gridSpan w:val="6"/>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Chief Financial Officer (Principal Financial Officer)</w:t>
            </w:r>
          </w:p>
        </w:tc>
      </w:tr>
      <w:tr>
        <w:trPr/>
        <w:tc>
          <w:tcPr>
            <w:tcW w:w="2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Ryan Glenn</w:t>
            </w:r>
          </w:p>
        </w:tc>
        <w:tc>
          <w:tcPr>
            <w:tcW w:w="7475" w:type="dxa"/>
            <w:gridSpan w:val="6"/>
            <w:vMerge w:val="continue"/>
            <w:tcBorders/>
            <w:tcMar>
              <w:top w:w="0" w:type="dxa"/>
              <w:left w:w="0" w:type="dxa"/>
              <w:bottom w:w="0" w:type="dxa"/>
              <w:right w:w="0" w:type="dxa"/>
            </w:tcMar>
            <w:vAlign w:val="center"/>
          </w:tcPr>
          <w:p>
            <w:pPr>
              <w:pStyle w:val="Normal"/>
              <w:bidi w:val="0"/>
              <w:jc w:val="left"/>
              <w:rPr/>
            </w:pPr>
            <w:r>
              <w:rPr/>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Nicholas Rost</w:t>
            </w:r>
          </w:p>
        </w:tc>
        <w:tc>
          <w:tcPr>
            <w:tcW w:w="7475" w:type="dxa"/>
            <w:gridSpan w:val="6"/>
            <w:vMerge w:val="restart"/>
            <w:tcBorders/>
            <w:tcMar>
              <w:top w:w="0" w:type="dxa"/>
              <w:left w:w="0" w:type="dxa"/>
              <w:bottom w:w="0" w:type="dxa"/>
              <w:right w:w="0" w:type="dxa"/>
            </w:tcMar>
            <w:vAlign w:val="center"/>
          </w:tcPr>
          <w:p>
            <w:pPr>
              <w:pStyle w:val="TableContents"/>
              <w:bidi w:val="0"/>
              <w:spacing w:lineRule="auto" w:line="240" w:before="0" w:after="20"/>
              <w:ind w:left="0" w:right="0" w:firstLine="410"/>
              <w:jc w:val="center"/>
              <w:rPr>
                <w:rFonts w:ascii="Times New Roman;serif" w:hAnsi="Times New Roman;serif"/>
                <w:b w:val="false"/>
                <w:color w:val="000000"/>
                <w:sz w:val="20"/>
              </w:rPr>
            </w:pPr>
            <w:r>
              <w:rPr>
                <w:rFonts w:ascii="Times New Roman;serif" w:hAnsi="Times New Roman;serif"/>
                <w:b w:val="false"/>
                <w:color w:val="000000"/>
                <w:sz w:val="20"/>
              </w:rPr>
              <w:t>Vice President Chief Accounting Officer and Treasurer (Principal Accounting Officer)</w:t>
            </w:r>
          </w:p>
        </w:tc>
      </w:tr>
      <w:tr>
        <w:trPr/>
        <w:tc>
          <w:tcPr>
            <w:tcW w:w="2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Nicholas Rost</w:t>
            </w:r>
          </w:p>
        </w:tc>
        <w:tc>
          <w:tcPr>
            <w:tcW w:w="7475" w:type="dxa"/>
            <w:gridSpan w:val="6"/>
            <w:vMerge w:val="continue"/>
            <w:tcBorders/>
            <w:tcMar>
              <w:top w:w="0" w:type="dxa"/>
              <w:left w:w="0" w:type="dxa"/>
              <w:bottom w:w="0" w:type="dxa"/>
              <w:right w:w="0" w:type="dxa"/>
            </w:tcMar>
            <w:vAlign w:val="center"/>
          </w:tcPr>
          <w:p>
            <w:pPr>
              <w:pStyle w:val="Normal"/>
              <w:bidi w:val="0"/>
              <w:jc w:val="left"/>
              <w:rPr/>
            </w:pPr>
            <w:r>
              <w:rPr/>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Steven R. Beauchamp</w:t>
            </w:r>
          </w:p>
        </w:tc>
        <w:tc>
          <w:tcPr>
            <w:tcW w:w="7475" w:type="dxa"/>
            <w:gridSpan w:val="6"/>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Executive Chairman and Director</w:t>
            </w:r>
          </w:p>
        </w:tc>
      </w:tr>
      <w:tr>
        <w:trPr/>
        <w:tc>
          <w:tcPr>
            <w:tcW w:w="2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Steven R. Beauchamp</w:t>
            </w:r>
          </w:p>
        </w:tc>
        <w:tc>
          <w:tcPr>
            <w:tcW w:w="7475" w:type="dxa"/>
            <w:gridSpan w:val="6"/>
            <w:vMerge w:val="continue"/>
            <w:tcBorders/>
            <w:tcMar>
              <w:top w:w="0" w:type="dxa"/>
              <w:left w:w="0" w:type="dxa"/>
              <w:bottom w:w="0" w:type="dxa"/>
              <w:right w:w="0" w:type="dxa"/>
            </w:tcMar>
            <w:vAlign w:val="center"/>
          </w:tcPr>
          <w:p>
            <w:pPr>
              <w:pStyle w:val="Normal"/>
              <w:bidi w:val="0"/>
              <w:jc w:val="left"/>
              <w:rPr/>
            </w:pPr>
            <w:r>
              <w:rPr/>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Linda M. Breard</w:t>
            </w:r>
          </w:p>
        </w:tc>
        <w:tc>
          <w:tcPr>
            <w:tcW w:w="747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14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Linda M. Breard</w:t>
            </w:r>
          </w:p>
        </w:tc>
        <w:tc>
          <w:tcPr>
            <w:tcW w:w="74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Virginia G. Breen</w:t>
            </w:r>
          </w:p>
        </w:tc>
        <w:tc>
          <w:tcPr>
            <w:tcW w:w="747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14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Virginia G. Breen</w:t>
            </w:r>
          </w:p>
        </w:tc>
        <w:tc>
          <w:tcPr>
            <w:tcW w:w="74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Craig A. Conway</w:t>
            </w:r>
          </w:p>
        </w:tc>
        <w:tc>
          <w:tcPr>
            <w:tcW w:w="747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Craig A. Conway</w:t>
            </w:r>
          </w:p>
        </w:tc>
        <w:tc>
          <w:tcPr>
            <w:tcW w:w="74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Robin L. Pederson</w:t>
            </w:r>
          </w:p>
        </w:tc>
        <w:tc>
          <w:tcPr>
            <w:tcW w:w="747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Robin L. Pederson</w:t>
            </w:r>
          </w:p>
        </w:tc>
        <w:tc>
          <w:tcPr>
            <w:tcW w:w="74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Andres D. Reiner</w:t>
            </w:r>
          </w:p>
        </w:tc>
        <w:tc>
          <w:tcPr>
            <w:tcW w:w="747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Andres D. Reiner</w:t>
            </w:r>
          </w:p>
        </w:tc>
        <w:tc>
          <w:tcPr>
            <w:tcW w:w="74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Kenneth B. Robinson</w:t>
            </w:r>
          </w:p>
        </w:tc>
        <w:tc>
          <w:tcPr>
            <w:tcW w:w="747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Kenneth B. Robinson</w:t>
            </w:r>
          </w:p>
        </w:tc>
        <w:tc>
          <w:tcPr>
            <w:tcW w:w="74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Steven I. Sarowitz</w:t>
            </w:r>
          </w:p>
        </w:tc>
        <w:tc>
          <w:tcPr>
            <w:tcW w:w="747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Steven I. Sarowitz</w:t>
            </w:r>
          </w:p>
        </w:tc>
        <w:tc>
          <w:tcPr>
            <w:tcW w:w="7475"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Ronald V. Waters, III</w:t>
            </w:r>
          </w:p>
        </w:tc>
        <w:tc>
          <w:tcPr>
            <w:tcW w:w="747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Ronald V. Waters, III</w:t>
            </w:r>
          </w:p>
        </w:tc>
        <w:tc>
          <w:tcPr>
            <w:tcW w:w="74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160"/>
        <w:jc w:val="right"/>
        <w:rPr>
          <w:rFonts w:ascii="Times New Roman;serif" w:hAnsi="Times New Roman;serif"/>
          <w:b/>
          <w:color w:val="000000"/>
          <w:sz w:val="20"/>
        </w:rPr>
      </w:pPr>
      <w:r>
        <w:rPr>
          <w:rFonts w:ascii="Times New Roman;serif" w:hAnsi="Times New Roman;serif"/>
          <w:b/>
          <w:color w:val="000000"/>
          <w:sz w:val="20"/>
        </w:rPr>
        <w:t>Exhibit 107</w:t>
      </w:r>
    </w:p>
    <w:p>
      <w:pPr>
        <w:pStyle w:val="TextBody"/>
        <w:bidi w:val="0"/>
        <w:spacing w:before="0" w:after="160"/>
        <w:jc w:val="right"/>
        <w:rPr/>
      </w:pPr>
      <w:r>
        <w:rPr/>
      </w:r>
    </w:p>
    <w:p>
      <w:pPr>
        <w:pStyle w:val="TextBody"/>
        <w:bidi w:val="0"/>
        <w:spacing w:lineRule="auto" w:line="300" w:before="0" w:after="160"/>
        <w:jc w:val="center"/>
        <w:rPr>
          <w:rFonts w:ascii="Times New Roman;serif" w:hAnsi="Times New Roman;serif"/>
          <w:b/>
          <w:color w:val="000000"/>
          <w:sz w:val="22"/>
        </w:rPr>
      </w:pPr>
      <w:r>
        <w:rPr>
          <w:rFonts w:ascii="Times New Roman;serif" w:hAnsi="Times New Roman;serif"/>
          <w:b/>
          <w:color w:val="000000"/>
          <w:sz w:val="22"/>
        </w:rPr>
        <w:t xml:space="preserve">Calculation of Filing Fee Table </w:t>
      </w:r>
    </w:p>
    <w:p>
      <w:pPr>
        <w:pStyle w:val="TextBody"/>
        <w:bidi w:val="0"/>
        <w:spacing w:lineRule="auto" w:line="300" w:before="0" w:after="0"/>
        <w:jc w:val="center"/>
        <w:rPr>
          <w:rFonts w:ascii="Times New Roman;serif" w:hAnsi="Times New Roman;serif"/>
          <w:b/>
          <w:color w:val="000000"/>
          <w:sz w:val="22"/>
        </w:rPr>
      </w:pPr>
      <w:r>
        <w:rPr>
          <w:rFonts w:ascii="Times New Roman;serif" w:hAnsi="Times New Roman;serif"/>
          <w:b/>
          <w:color w:val="000000"/>
          <w:sz w:val="22"/>
        </w:rPr>
        <w:t>Form S-8</w:t>
      </w:r>
    </w:p>
    <w:p>
      <w:pPr>
        <w:pStyle w:val="TextBody"/>
        <w:bidi w:val="0"/>
        <w:spacing w:lineRule="auto" w:line="300" w:before="0" w:after="160"/>
        <w:jc w:val="center"/>
        <w:rPr>
          <w:rFonts w:ascii="Times New Roman;serif" w:hAnsi="Times New Roman;serif"/>
          <w:b w:val="false"/>
          <w:color w:val="000000"/>
          <w:sz w:val="16"/>
        </w:rPr>
      </w:pPr>
      <w:r>
        <w:rPr>
          <w:rFonts w:ascii="Times New Roman;serif" w:hAnsi="Times New Roman;serif"/>
          <w:b w:val="false"/>
          <w:color w:val="000000"/>
          <w:sz w:val="16"/>
        </w:rPr>
        <w:t xml:space="preserve">(Form Type) </w:t>
      </w:r>
    </w:p>
    <w:p>
      <w:pPr>
        <w:pStyle w:val="TextBody"/>
        <w:bidi w:val="0"/>
        <w:spacing w:lineRule="auto" w:line="300" w:before="0" w:after="0"/>
        <w:jc w:val="center"/>
        <w:rPr>
          <w:rFonts w:ascii="Times New Roman;serif" w:hAnsi="Times New Roman;serif"/>
          <w:b/>
          <w:color w:val="000000"/>
          <w:sz w:val="22"/>
        </w:rPr>
      </w:pPr>
      <w:r>
        <w:rPr>
          <w:rFonts w:ascii="Times New Roman;serif" w:hAnsi="Times New Roman;serif"/>
          <w:b/>
          <w:color w:val="000000"/>
          <w:sz w:val="22"/>
        </w:rPr>
        <w:t>Paylocity Holding Corporation</w:t>
      </w:r>
    </w:p>
    <w:p>
      <w:pPr>
        <w:pStyle w:val="TextBody"/>
        <w:bidi w:val="0"/>
        <w:spacing w:lineRule="auto" w:line="300" w:before="0" w:after="160"/>
        <w:jc w:val="center"/>
        <w:rPr>
          <w:rFonts w:ascii="Times New Roman;serif" w:hAnsi="Times New Roman;serif"/>
          <w:b w:val="false"/>
          <w:color w:val="000000"/>
          <w:sz w:val="16"/>
        </w:rPr>
      </w:pPr>
      <w:r>
        <w:rPr>
          <w:rFonts w:ascii="Times New Roman;serif" w:hAnsi="Times New Roman;serif"/>
          <w:b w:val="false"/>
          <w:color w:val="000000"/>
          <w:sz w:val="16"/>
        </w:rPr>
        <w:t xml:space="preserve">(Exact Name of Registrant as Specified in its Charter) </w:t>
      </w:r>
    </w:p>
    <w:p>
      <w:pPr>
        <w:pStyle w:val="TextBody"/>
        <w:bidi w:val="0"/>
        <w:spacing w:before="0" w:after="160"/>
        <w:jc w:val="center"/>
        <w:rPr/>
      </w:pPr>
      <w:r>
        <w:rPr/>
      </w:r>
    </w:p>
    <w:p>
      <w:pPr>
        <w:pStyle w:val="TextBody"/>
        <w:bidi w:val="0"/>
        <w:spacing w:lineRule="auto" w:line="300" w:before="0" w:after="160"/>
        <w:jc w:val="center"/>
        <w:rPr>
          <w:rFonts w:ascii="Times New Roman;serif" w:hAnsi="Times New Roman;serif"/>
          <w:b/>
          <w:color w:val="000000"/>
          <w:sz w:val="20"/>
          <w:u w:val="single"/>
        </w:rPr>
      </w:pPr>
      <w:r>
        <w:rPr>
          <w:rFonts w:ascii="Times New Roman;serif" w:hAnsi="Times New Roman;serif"/>
          <w:b/>
          <w:color w:val="000000"/>
          <w:sz w:val="20"/>
          <w:u w:val="single"/>
        </w:rPr>
        <w:t xml:space="preserve">Table 1: Newly Registered Securities </w:t>
      </w:r>
    </w:p>
    <w:tbl>
      <w:tblPr>
        <w:tblW w:w="10205" w:type="dxa"/>
        <w:jc w:val="left"/>
        <w:tblInd w:w="0" w:type="dxa"/>
        <w:tblLayout w:type="fixed"/>
        <w:tblCellMar>
          <w:top w:w="28" w:type="dxa"/>
          <w:left w:w="28" w:type="dxa"/>
          <w:bottom w:w="28" w:type="dxa"/>
          <w:right w:w="28" w:type="dxa"/>
        </w:tblCellMar>
      </w:tblPr>
      <w:tblGrid>
        <w:gridCol w:w="273"/>
        <w:gridCol w:w="240"/>
        <w:gridCol w:w="241"/>
        <w:gridCol w:w="109"/>
        <w:gridCol w:w="109"/>
        <w:gridCol w:w="109"/>
        <w:gridCol w:w="281"/>
        <w:gridCol w:w="251"/>
        <w:gridCol w:w="252"/>
        <w:gridCol w:w="109"/>
        <w:gridCol w:w="109"/>
        <w:gridCol w:w="109"/>
        <w:gridCol w:w="331"/>
        <w:gridCol w:w="331"/>
        <w:gridCol w:w="332"/>
        <w:gridCol w:w="109"/>
        <w:gridCol w:w="109"/>
        <w:gridCol w:w="109"/>
        <w:gridCol w:w="322"/>
        <w:gridCol w:w="322"/>
        <w:gridCol w:w="323"/>
        <w:gridCol w:w="109"/>
        <w:gridCol w:w="109"/>
        <w:gridCol w:w="109"/>
        <w:gridCol w:w="307"/>
        <w:gridCol w:w="307"/>
        <w:gridCol w:w="308"/>
        <w:gridCol w:w="109"/>
        <w:gridCol w:w="109"/>
        <w:gridCol w:w="109"/>
        <w:gridCol w:w="841"/>
        <w:gridCol w:w="305"/>
        <w:gridCol w:w="306"/>
        <w:gridCol w:w="109"/>
        <w:gridCol w:w="109"/>
        <w:gridCol w:w="109"/>
        <w:gridCol w:w="262"/>
        <w:gridCol w:w="262"/>
        <w:gridCol w:w="267"/>
        <w:gridCol w:w="109"/>
        <w:gridCol w:w="109"/>
        <w:gridCol w:w="109"/>
        <w:gridCol w:w="212"/>
        <w:gridCol w:w="876"/>
        <w:gridCol w:w="164"/>
      </w:tblGrid>
      <w:tr>
        <w:trPr/>
        <w:tc>
          <w:tcPr>
            <w:tcW w:w="27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54"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Security Type</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center"/>
              <w:rPr>
                <w:color w:val="000000"/>
              </w:rPr>
            </w:pPr>
            <w:r>
              <w:rPr>
                <w:color w:val="000000"/>
              </w:rPr>
              <w:t> </w:t>
            </w:r>
          </w:p>
        </w:tc>
        <w:tc>
          <w:tcPr>
            <w:tcW w:w="784"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Security Class 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Fee Calculation Rule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Amount Registered</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cMar>
              <w:top w:w="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color w:val="000000"/>
                <w:sz w:val="18"/>
              </w:rPr>
              <w:t>Proposed Maximum Offering Price Per Share</w:t>
            </w:r>
            <w:r>
              <w:rPr>
                <w:rFonts w:ascii="Times New Roman;serif" w:hAnsi="Times New Roman;serif"/>
                <w:b/>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lineRule="auto" w:line="300" w:before="0" w:after="2"/>
              <w:jc w:val="center"/>
              <w:rPr/>
            </w:pPr>
            <w:r>
              <w:rPr>
                <w:rFonts w:ascii="Times New Roman;serif" w:hAnsi="Times New Roman;serif"/>
                <w:b/>
                <w:color w:val="000000"/>
                <w:sz w:val="18"/>
              </w:rPr>
              <w:t>Maximum Aggregate Offering Price</w:t>
            </w:r>
            <w:r>
              <w:rPr>
                <w:rFonts w:ascii="Times New Roman;serif" w:hAnsi="Times New Roman;serif"/>
                <w:b/>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Fee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Amount of Registration Fee</w:t>
            </w:r>
          </w:p>
        </w:tc>
      </w:tr>
      <w:tr>
        <w:trPr/>
        <w:tc>
          <w:tcPr>
            <w:tcW w:w="7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par value $0.001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center"/>
              <w:rPr/>
            </w:pPr>
            <w:r>
              <w:rPr>
                <w:rFonts w:ascii="Times New Roman;serif" w:hAnsi="Times New Roman;serif"/>
                <w:b w:val="false"/>
                <w:color w:val="000000"/>
                <w:sz w:val="18"/>
              </w:rPr>
              <w:t>Other</w:t>
            </w:r>
            <w:r>
              <w:rPr>
                <w:rFonts w:ascii="Times New Roman;serif" w:hAnsi="Times New Roman;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444,000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
              <w:jc w:val="center"/>
              <w:rPr/>
            </w:pPr>
            <w:r>
              <w:rPr>
                <w:rFonts w:ascii="Times New Roman;serif" w:hAnsi="Times New Roman;serif"/>
                <w:b w:val="false"/>
                <w:color w:val="000000"/>
                <w:sz w:val="20"/>
              </w:rPr>
              <w:t>$147.74</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val="false"/>
                <w:color w:val="000000"/>
                <w:sz w:val="20"/>
              </w:rPr>
              <w:t>$65,596,560.00</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$138.10 per million dollars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9,058.88 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0" w:type="dxa"/>
            <w:gridSpan w:val="21"/>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Total Offering Amounts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9,058.88 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0" w:type="dxa"/>
            <w:gridSpan w:val="21"/>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Total Fee Offsets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0" w:type="dxa"/>
            <w:gridSpan w:val="21"/>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Net Fees Due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9,058.88 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p>
      <w:pPr>
        <w:pStyle w:val="TextBody"/>
        <w:bidi w:val="0"/>
        <w:spacing w:lineRule="auto" w:line="268" w:before="0" w:after="240"/>
        <w:ind w:left="0" w:right="0" w:hanging="360"/>
        <w:jc w:val="left"/>
        <w:rPr/>
      </w:pPr>
      <w:r>
        <w:rPr>
          <w:rFonts w:ascii="Times New Roman;serif" w:hAnsi="Times New Roman;serif"/>
          <w:b w:val="false"/>
          <w:color w:val="000000"/>
          <w:sz w:val="13"/>
        </w:rPr>
        <w:t>(1)</w:t>
      </w:r>
      <w:r>
        <w:rPr>
          <w:color w:val="000000"/>
        </w:rPr>
        <w:t>    </w:t>
      </w:r>
      <w:r>
        <w:rPr>
          <w:rFonts w:ascii="Times New Roman;serif" w:hAnsi="Times New Roman;serif"/>
          <w:b w:val="false"/>
          <w:color w:val="000000"/>
          <w:sz w:val="20"/>
        </w:rPr>
        <w:t xml:space="preserve">This registration statement covers a total of 444,000 shares of common stock, par value $0.001 per share (the “Common Stock”), of Paylocity Holding Corporation (the “Registrant”) reserved for issuance under the Registrant’s Amended and Restated 2023 Equity Incentive Plan (the “Plan”). Pursuant to Rule 416(a) under the Securities Act of 1933, as amended (the “Securities Act”), this registration statement shall also cover any additional shares of common stock that become issuable under the Plan, as may be amended from time to time, by reason of any stock dividend, stock split, recapitalization or other similar transaction effected without the receipt of consideration that increases the number of the Registrant’s outstanding shares of Common Stock. </w:t>
      </w:r>
    </w:p>
    <w:p>
      <w:pPr>
        <w:pStyle w:val="TextBody"/>
        <w:bidi w:val="0"/>
        <w:spacing w:lineRule="auto" w:line="268" w:before="0" w:after="240"/>
        <w:ind w:left="0" w:right="0" w:hanging="360"/>
        <w:jc w:val="left"/>
        <w:rPr/>
      </w:pPr>
      <w:r>
        <w:rPr>
          <w:rFonts w:ascii="Times New Roman;serif" w:hAnsi="Times New Roman;serif"/>
          <w:b w:val="false"/>
          <w:color w:val="000000"/>
          <w:sz w:val="13"/>
        </w:rPr>
        <w:t>(2)</w:t>
      </w:r>
      <w:r>
        <w:rPr>
          <w:color w:val="000000"/>
        </w:rPr>
        <w:t>    </w:t>
      </w:r>
      <w:r>
        <w:rPr>
          <w:rFonts w:ascii="Times New Roman;serif" w:hAnsi="Times New Roman;serif"/>
          <w:b w:val="false"/>
          <w:color w:val="000000"/>
          <w:sz w:val="20"/>
        </w:rPr>
        <w:t>Estimated in accordance with paragraphs (c) and (h) of Rule 457 under the Securities Act solely for the purpose of calculating the registration fee on the basis of $147.74 per share of Common Stock, which represents the average of the high and low price per share of the Registrant’s Common Stock on December 1, 2025 as reported on the Nasdaq Global Select Market.</w:t>
      </w:r>
    </w:p>
    <w:p>
      <w:pPr>
        <w:pStyle w:val="TextBody"/>
        <w:bidi w:val="0"/>
        <w:spacing w:before="0" w:after="160"/>
        <w:ind w:left="0" w:right="0" w:firstLine="360"/>
        <w:jc w:val="left"/>
        <w:rPr/>
      </w:pPr>
      <w:r>
        <w:rPr/>
      </w:r>
    </w:p>
    <w:p>
      <w:pPr>
        <w:pStyle w:val="TextBody"/>
        <w:bidi w:val="0"/>
        <w:spacing w:before="0" w:after="160"/>
        <w:jc w:val="center"/>
        <w:rPr/>
      </w:pPr>
      <w:r>
        <w:rPr/>
      </w:r>
    </w:p>
    <w:p>
      <w:pPr>
        <w:pStyle w:val="TextBody"/>
        <w:bidi w:val="0"/>
        <w:spacing w:before="0" w:after="16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Exhibit 5.1</w:t>
      </w:r>
    </w:p>
    <w:p>
      <w:pPr>
        <w:pStyle w:val="TextBody"/>
        <w:bidi w:val="0"/>
        <w:spacing w:before="0" w:after="0"/>
        <w:jc w:val="right"/>
        <w:rPr/>
      </w:pPr>
      <w:r>
        <w:rPr/>
      </w:r>
    </w:p>
    <w:p>
      <w:pPr>
        <w:pStyle w:val="TextBody"/>
        <w:bidi w:val="0"/>
        <w:spacing w:lineRule="auto" w:line="240" w:before="0" w:after="0"/>
        <w:jc w:val="left"/>
        <w:rPr/>
      </w:pPr>
      <w:r>
        <w:rPr>
          <w:rFonts w:ascii="Times New Roman;serif" w:hAnsi="Times New Roman;serif"/>
          <w:b/>
          <w:color w:val="000000"/>
          <w:sz w:val="17"/>
        </w:rPr>
        <w:t>DLA Piper</w:t>
      </w:r>
      <w:r>
        <w:rPr>
          <w:color w:val="000000"/>
        </w:rPr>
        <w:t xml:space="preserve"> </w:t>
      </w:r>
      <w:r>
        <w:rPr>
          <w:rFonts w:ascii="Times New Roman;serif" w:hAnsi="Times New Roman;serif"/>
          <w:b/>
          <w:color w:val="000000"/>
          <w:sz w:val="13"/>
        </w:rPr>
        <w:t>LLP (US)</w:t>
      </w:r>
    </w:p>
    <w:p>
      <w:pPr>
        <w:pStyle w:val="TextBody"/>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 xml:space="preserve">303 Colorado Street, Suite 3000 </w:t>
      </w:r>
    </w:p>
    <w:p>
      <w:pPr>
        <w:pStyle w:val="TextBody"/>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Austin, Texas 78701</w:t>
      </w:r>
    </w:p>
    <w:p>
      <w:pPr>
        <w:pStyle w:val="TextBody"/>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www.dlapiper.com</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pPr>
      <w:r>
        <w:rPr>
          <w:rFonts w:ascii="Times New Roman;serif" w:hAnsi="Times New Roman;serif"/>
          <w:b/>
          <w:color w:val="000000"/>
          <w:sz w:val="17"/>
        </w:rPr>
        <w:t>T</w:t>
      </w:r>
      <w:r>
        <w:rPr>
          <w:color w:val="000000"/>
        </w:rPr>
        <w:t xml:space="preserve"> </w:t>
      </w:r>
      <w:r>
        <w:rPr>
          <w:rFonts w:ascii="Times New Roman;serif" w:hAnsi="Times New Roman;serif"/>
          <w:b w:val="false"/>
          <w:color w:val="000000"/>
          <w:sz w:val="17"/>
        </w:rPr>
        <w:t>512.457.7000</w:t>
      </w:r>
    </w:p>
    <w:p>
      <w:pPr>
        <w:pStyle w:val="TextBody"/>
        <w:bidi w:val="0"/>
        <w:spacing w:lineRule="auto" w:line="240" w:before="0" w:after="0"/>
        <w:jc w:val="left"/>
        <w:rPr/>
      </w:pPr>
      <w:r>
        <w:rPr>
          <w:rFonts w:ascii="Times New Roman;serif" w:hAnsi="Times New Roman;serif"/>
          <w:b/>
          <w:color w:val="000000"/>
          <w:sz w:val="17"/>
        </w:rPr>
        <w:t>F</w:t>
      </w:r>
      <w:r>
        <w:rPr>
          <w:color w:val="000000"/>
        </w:rPr>
        <w:t xml:space="preserve"> </w:t>
      </w:r>
      <w:r>
        <w:rPr>
          <w:rFonts w:ascii="Times New Roman;serif" w:hAnsi="Times New Roman;serif"/>
          <w:b w:val="false"/>
          <w:color w:val="000000"/>
          <w:sz w:val="17"/>
        </w:rPr>
        <w:t>512.457.7001</w: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December 5, 2025</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Paylocity Holding Corporation </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1400 American Lane</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Schaumburg, Illinois 60173</w:t>
      </w:r>
    </w:p>
    <w:p>
      <w:pPr>
        <w:pStyle w:val="TextBody"/>
        <w:bidi w:val="0"/>
        <w:spacing w:before="0" w:after="0"/>
        <w:jc w:val="left"/>
        <w:rPr/>
      </w:pPr>
      <w:r>
        <w:rPr/>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Ladies and Gentlemen:</w:t>
      </w:r>
    </w:p>
    <w:p>
      <w:pPr>
        <w:pStyle w:val="TextBody"/>
        <w:bidi w:val="0"/>
        <w:spacing w:lineRule="auto" w:line="268" w:before="0" w:after="240"/>
        <w:jc w:val="both"/>
        <w:rPr/>
      </w:pPr>
      <w:r>
        <w:rPr>
          <w:rFonts w:ascii="Times New Roman;serif" w:hAnsi="Times New Roman;serif"/>
          <w:b w:val="false"/>
          <w:color w:val="000000"/>
          <w:sz w:val="20"/>
        </w:rPr>
        <w:t>As legal counsel for Paylocity Holding Corporation, a Delaware corporation (the “</w:t>
      </w:r>
      <w:r>
        <w:rPr>
          <w:rFonts w:ascii="Times New Roman;serif" w:hAnsi="Times New Roman;serif"/>
          <w:b/>
          <w:i/>
          <w:color w:val="000000"/>
          <w:sz w:val="20"/>
        </w:rPr>
        <w:t>Company</w:t>
      </w:r>
      <w:r>
        <w:rPr>
          <w:color w:val="000000"/>
        </w:rPr>
        <w:t>”</w:t>
      </w:r>
      <w:r>
        <w:rPr>
          <w:rFonts w:ascii="Times New Roman;serif" w:hAnsi="Times New Roman;serif"/>
          <w:b w:val="false"/>
          <w:color w:val="000000"/>
          <w:sz w:val="20"/>
        </w:rPr>
        <w:t>), we are rendering this opinion in connection with the registration on Form S-8 (the “</w:t>
      </w:r>
      <w:r>
        <w:rPr>
          <w:rFonts w:ascii="Times New Roman;serif" w:hAnsi="Times New Roman;serif"/>
          <w:b/>
          <w:i/>
          <w:color w:val="000000"/>
          <w:sz w:val="20"/>
        </w:rPr>
        <w:t>Registration Statement</w:t>
      </w:r>
      <w:r>
        <w:rPr>
          <w:color w:val="000000"/>
        </w:rPr>
        <w:t>”</w:t>
      </w:r>
      <w:r>
        <w:rPr>
          <w:rFonts w:ascii="Times New Roman;serif" w:hAnsi="Times New Roman;serif"/>
          <w:b w:val="false"/>
          <w:color w:val="000000"/>
          <w:sz w:val="20"/>
        </w:rPr>
        <w:t>) under the Securities Act of 1933, as amended (the “</w:t>
      </w:r>
      <w:r>
        <w:rPr>
          <w:rFonts w:ascii="Times New Roman;serif" w:hAnsi="Times New Roman;serif"/>
          <w:b/>
          <w:i/>
          <w:color w:val="000000"/>
          <w:sz w:val="20"/>
        </w:rPr>
        <w:t>Securities Act</w:t>
      </w:r>
      <w:r>
        <w:rPr>
          <w:color w:val="000000"/>
        </w:rPr>
        <w:t>”</w:t>
      </w:r>
      <w:r>
        <w:rPr>
          <w:rFonts w:ascii="Times New Roman;serif" w:hAnsi="Times New Roman;serif"/>
          <w:b w:val="false"/>
          <w:color w:val="000000"/>
          <w:sz w:val="20"/>
        </w:rPr>
        <w:t>), of up to 444,000 shares (the “</w:t>
      </w:r>
      <w:r>
        <w:rPr>
          <w:rFonts w:ascii="Times New Roman;serif" w:hAnsi="Times New Roman;serif"/>
          <w:b/>
          <w:i/>
          <w:color w:val="000000"/>
          <w:sz w:val="20"/>
        </w:rPr>
        <w:t>Shares</w:t>
      </w:r>
      <w:r>
        <w:rPr>
          <w:color w:val="000000"/>
        </w:rPr>
        <w:t>”</w:t>
      </w:r>
      <w:r>
        <w:rPr>
          <w:rFonts w:ascii="Times New Roman;serif" w:hAnsi="Times New Roman;serif"/>
          <w:b w:val="false"/>
          <w:color w:val="000000"/>
          <w:sz w:val="20"/>
        </w:rPr>
        <w:t>) of the Company’s common stock, par value $0.001 per share (the “</w:t>
      </w:r>
      <w:r>
        <w:rPr>
          <w:rFonts w:ascii="Times New Roman;serif" w:hAnsi="Times New Roman;serif"/>
          <w:b/>
          <w:i/>
          <w:color w:val="000000"/>
          <w:sz w:val="20"/>
        </w:rPr>
        <w:t>Common Stock</w:t>
      </w:r>
      <w:r>
        <w:rPr>
          <w:color w:val="000000"/>
        </w:rPr>
        <w:t>”</w:t>
      </w:r>
      <w:r>
        <w:rPr>
          <w:rFonts w:ascii="Times New Roman;serif" w:hAnsi="Times New Roman;serif"/>
          <w:b w:val="false"/>
          <w:color w:val="000000"/>
          <w:sz w:val="20"/>
        </w:rPr>
        <w:t>), which may be issued pursuant to awards granted under the Company’s Amended and Restated 2023 Equity Incentive Plan (the “</w:t>
      </w:r>
      <w:r>
        <w:rPr>
          <w:rFonts w:ascii="Times New Roman;serif" w:hAnsi="Times New Roman;serif"/>
          <w:b/>
          <w:i/>
          <w:color w:val="000000"/>
          <w:sz w:val="20"/>
        </w:rPr>
        <w:t>2023 Incentive Plan</w:t>
      </w:r>
      <w:r>
        <w:rPr>
          <w:color w:val="000000"/>
        </w:rPr>
        <w:t>”</w:t>
      </w:r>
      <w:r>
        <w:rPr>
          <w:rFonts w:ascii="Times New Roman;serif" w:hAnsi="Times New Roman;serif"/>
          <w:b w:val="false"/>
          <w:color w:val="000000"/>
          <w:sz w:val="20"/>
        </w:rPr>
        <w:t>).</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We have examined such instruments, documents and records which we deemed relevant and necessary for the basis of our opinion hereinafter expressed. In such examination, we have assumed the genuineness of all signatures and the authenticity of all documents submitted to us as originals and the conformity to the originals of all documents submitted to us as copies. We express no opinion concerning any law other than the law of the State of Texas, the corporation laws of the State of Delaware and the federal law of the United States. As to matters of Delaware corporation law, we have based our opinion solely upon our examination of such laws and the rules and regulations of the authorities administering such laws, all as reported in standard, unofficial compilations. We have not obtained opinions of counsel licensed to practice in jurisdictions other than the State of Texas.</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Based on such examination, we are of the opinion that the Shares which may be issued under the 2023 Incentive Plan are duly authorized shares of the Company’s Common Stock, and, when issued against receipt of the consideration therefore in accordance with the provisions of the 2023 Incentive Plan, will be validly issued, fully paid and nonassessable. We hereby consent to the filing of this opinion as an exhibit to the Registration Statement referred to above and the use of our name wherever it appears in such Registration Statement. In giving this consent, we do not admit that we are within the category of persons whose consent is required under Section 7 of the Securities Act, the rules and regulations of the Securities and Exchange Commission promulgated thereunder or Item 509 of Regulation S-K.</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This opinion letter is given to you solely for use in connection with the issuance of the Shares in accordance with the Registration Statement and is not to be relied on for any other purpose. Our opinion is expressly limited to the matters set forth above, and we render no opinion, whether by implication or otherwise, as to any other matters relating to the Company, the Shares or the Registration Statement.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Very truly yours,</w:t>
      </w:r>
    </w:p>
    <w:p>
      <w:pPr>
        <w:pStyle w:val="TextBody"/>
        <w:bidi w:val="0"/>
        <w:spacing w:before="0" w:after="0"/>
        <w:jc w:val="left"/>
        <w:rPr/>
      </w:pPr>
      <w:r>
        <w:rPr/>
      </w:r>
    </w:p>
    <w:p>
      <w:pPr>
        <w:pStyle w:val="TextBody"/>
        <w:bidi w:val="0"/>
        <w:spacing w:lineRule="auto" w:line="268"/>
        <w:jc w:val="left"/>
        <w:rPr>
          <w:rFonts w:ascii="Times New Roman;serif" w:hAnsi="Times New Roman;serif"/>
          <w:b w:val="false"/>
          <w:color w:val="000000"/>
          <w:sz w:val="20"/>
        </w:rPr>
      </w:pPr>
      <w:r>
        <w:rPr>
          <w:rFonts w:ascii="Times New Roman;serif" w:hAnsi="Times New Roman;serif"/>
          <w:b w:val="false"/>
          <w:color w:val="000000"/>
          <w:sz w:val="20"/>
        </w:rPr>
        <w:t>/s/ DLA Piper LLP (US)</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6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50520"/>
                <wp:effectExtent l="0" t="0" r="0" b="0"/>
                <wp:wrapNone/>
                <wp:docPr id="7" name="Frame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400"/>
        <w:jc w:val="right"/>
        <w:rPr>
          <w:rFonts w:ascii="Times New Roman;serif" w:hAnsi="Times New Roman;serif"/>
          <w:b/>
          <w:color w:val="000000"/>
          <w:sz w:val="20"/>
        </w:rPr>
      </w:pPr>
      <w:r>
        <w:rPr>
          <w:rFonts w:ascii="Times New Roman;serif" w:hAnsi="Times New Roman;serif"/>
          <w:b/>
          <w:color w:val="000000"/>
          <w:sz w:val="20"/>
        </w:rPr>
        <w:t>Exhibit 23.1</w:t>
      </w:r>
    </w:p>
    <w:p>
      <w:pPr>
        <w:pStyle w:val="TextBody"/>
        <w:bidi w:val="0"/>
        <w:spacing w:lineRule="auto" w:line="333" w:before="0" w:after="400"/>
        <w:jc w:val="center"/>
        <w:rPr>
          <w:rFonts w:ascii="Times New Roman;serif" w:hAnsi="Times New Roman;serif"/>
          <w:b/>
          <w:color w:val="000000"/>
          <w:sz w:val="20"/>
        </w:rPr>
      </w:pPr>
      <w:r>
        <w:rPr>
          <w:rFonts w:ascii="Times New Roman;serif" w:hAnsi="Times New Roman;serif"/>
          <w:b/>
          <w:color w:val="000000"/>
          <w:sz w:val="20"/>
        </w:rPr>
        <w:t>Consent of Independent Registered Public Accounting Firm</w:t>
      </w:r>
    </w:p>
    <w:p>
      <w:pPr>
        <w:pStyle w:val="TextBody"/>
        <w:bidi w:val="0"/>
        <w:spacing w:lineRule="auto" w:line="240" w:before="20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We consent to the use of our report dated August 6, 2025, with respect to the consolidated financial statements of Paylocity Holding Corporation, and the effectiveness of internal control over financial reporting, incorporated herein by reference. </w:t>
      </w:r>
    </w:p>
    <w:p>
      <w:pPr>
        <w:pStyle w:val="TextBody"/>
        <w:bidi w:val="0"/>
        <w:spacing w:lineRule="auto" w:line="288" w:before="200" w:after="200"/>
        <w:jc w:val="center"/>
        <w:rPr>
          <w:rFonts w:ascii="Times New Roman;serif" w:hAnsi="Times New Roman;serif"/>
          <w:b w:val="false"/>
          <w:color w:val="000000"/>
          <w:sz w:val="20"/>
        </w:rPr>
      </w:pPr>
      <w:r>
        <w:rPr>
          <w:rFonts w:ascii="Times New Roman;serif" w:hAnsi="Times New Roman;serif"/>
          <w:b w:val="false"/>
          <w:color w:val="000000"/>
          <w:sz w:val="20"/>
        </w:rPr>
        <w:t>/s/ KPMG LLP</w:t>
      </w:r>
    </w:p>
    <w:p>
      <w:pPr>
        <w:pStyle w:val="TextBody"/>
        <w:bidi w:val="0"/>
        <w:spacing w:lineRule="auto" w:line="288" w:before="200" w:after="200"/>
        <w:jc w:val="left"/>
        <w:rPr>
          <w:rFonts w:ascii="Times New Roman;serif" w:hAnsi="Times New Roman;serif"/>
          <w:b w:val="false"/>
          <w:color w:val="000000"/>
          <w:sz w:val="20"/>
        </w:rPr>
      </w:pPr>
      <w:r>
        <w:rPr>
          <w:rFonts w:ascii="Times New Roman;serif" w:hAnsi="Times New Roman;serif"/>
          <w:b w:val="false"/>
          <w:color w:val="000000"/>
          <w:sz w:val="20"/>
        </w:rPr>
        <w:t>Chicago, Illinois</w:t>
        <w:br/>
        <w:t>December 5, 2025</w:t>
      </w:r>
    </w:p>
    <w:p>
      <w:pPr>
        <w:pStyle w:val="TextBody"/>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0001591698/000159169825000087/pcty-20250630.htm" TargetMode="External"/><Relationship Id="rId3" Type="http://schemas.openxmlformats.org/officeDocument/2006/relationships/hyperlink" Target="https://www.sec.gov/ix?doc=/Archives/edgar/data/0001591698/000159169825000087/pcty-20250630.htm" TargetMode="External"/><Relationship Id="rId4" Type="http://schemas.openxmlformats.org/officeDocument/2006/relationships/hyperlink" Target="https://www.sec.gov/ix?doc=/Archives/edgar/data/0001591698/000159169825000087/pcty-20250630.htm" TargetMode="External"/><Relationship Id="rId5" Type="http://schemas.openxmlformats.org/officeDocument/2006/relationships/hyperlink" Target="https://www.sec.gov/ix?doc=/Archives/edgar/data/0001591698/000159169825000087/pcty-20250630.htm" TargetMode="External"/><Relationship Id="rId6" Type="http://schemas.openxmlformats.org/officeDocument/2006/relationships/hyperlink" Target="https://www.sec.gov/Archives/edgar/data/1591698/000159169824000151/pcty-20240630xexx42.htm" TargetMode="External"/><Relationship Id="rId7" Type="http://schemas.openxmlformats.org/officeDocument/2006/relationships/hyperlink" Target="https://www.sec.gov/Archives/edgar/data/1591698/000159169823000278/pcty-20231130xexhibit31.htm" TargetMode="External"/><Relationship Id="rId8" Type="http://schemas.openxmlformats.org/officeDocument/2006/relationships/hyperlink" Target="https://www.sec.gov/Archives/edgar/data/1591698/000159169823000278/pcty-20231130xexhibit31.htm" TargetMode="External"/><Relationship Id="rId9" Type="http://schemas.openxmlformats.org/officeDocument/2006/relationships/hyperlink" Target="https://www.sec.gov/Archives/edgar/data/1591698/000159169823000278/pcty-20231130xexhibit31.htm" TargetMode="External"/><Relationship Id="rId10" Type="http://schemas.openxmlformats.org/officeDocument/2006/relationships/hyperlink" Target="https://www.sec.gov/Archives/edgar/data/1591698/000159169823000278/pcty-20231130xexhibit32.htm" TargetMode="External"/><Relationship Id="rId11" Type="http://schemas.openxmlformats.org/officeDocument/2006/relationships/hyperlink" Target="https://www.sec.gov/Archives/edgar/data/1591698/000159169823000278/pcty-20231130xexhibit32.htm" TargetMode="External"/><Relationship Id="rId12" Type="http://schemas.openxmlformats.org/officeDocument/2006/relationships/hyperlink" Target="https://www.sec.gov/Archives/edgar/data/1591698/000159169823000278/pcty-20231130xexhibit32.htm" TargetMode="External"/><Relationship Id="rId13" Type="http://schemas.openxmlformats.org/officeDocument/2006/relationships/hyperlink" Target="https://www.sec.gov/Archives/edgar/data/1591698/000159169825000132/pcty-20251204xexx101.htm"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2138</Words>
  <Characters>11730</Characters>
  <CharactersWithSpaces>13736</CharactersWithSpaces>
  <Paragraphs>199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