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90"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75"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203"/>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4"/>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3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2380" w:type="dxa"/>
            <w:vAlign w:val="bottom"/>
          </w:tcPr>
          <w:p>
            <w:pPr>
              <w:spacing w:after="0"/>
              <w:rPr>
                <w:sz w:val="23"/>
                <w:szCs w:val="23"/>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3"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43"/>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19"/>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190"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3"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51,963,311 shares of Common Stock, $0.001 par value per share, as of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6320" w:type="dxa"/>
            <w:vAlign w:val="bottom"/>
            <w:gridSpan w:val="10"/>
            <w:vMerge w:val="restart"/>
          </w:tcPr>
          <w:p>
            <w:pPr>
              <w:jc w:val="center"/>
              <w:ind w:right="344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6320" w:type="dxa"/>
            <w:vAlign w:val="bottom"/>
            <w:gridSpan w:val="10"/>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8"/>
          </w:tcPr>
          <w:p>
            <w:pPr>
              <w:spacing w:after="0"/>
              <w:rPr>
                <w:sz w:val="24"/>
                <w:szCs w:val="24"/>
                <w:color w:val="auto"/>
              </w:rPr>
            </w:pPr>
          </w:p>
        </w:tc>
        <w:tc>
          <w:tcPr>
            <w:tcW w:w="34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8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560" w:type="dxa"/>
            <w:vAlign w:val="bottom"/>
            <w:tcBorders>
              <w:top w:val="single" w:sz="8" w:color="0000FF"/>
            </w:tcBorders>
            <w:gridSpan w:val="5"/>
          </w:tcPr>
          <w:p>
            <w:pPr>
              <w:spacing w:after="0"/>
              <w:rPr>
                <w:sz w:val="24"/>
                <w:szCs w:val="24"/>
                <w:color w:val="auto"/>
              </w:rPr>
            </w:pPr>
          </w:p>
        </w:tc>
        <w:tc>
          <w:tcPr>
            <w:tcW w:w="36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center"/>
              <w:ind w:left="4330"/>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194,523</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56,945</w:t>
            </w: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72,721</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324,189</w:t>
            </w: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3,210,504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2,888,615</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3,590,096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3,212,804</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70,326</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83,425</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578,697</w:t>
            </w:r>
          </w:p>
        </w:tc>
      </w:tr>
      <w:tr>
        <w:trPr>
          <w:trHeight w:val="243"/>
        </w:trPr>
        <w:tc>
          <w:tcPr>
            <w:tcW w:w="81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w:t>
            </w: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11,870</w:t>
            </w:r>
          </w:p>
        </w:tc>
      </w:tr>
      <w:tr>
        <w:trPr>
          <w:trHeight w:val="26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4,884,358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4,545,635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r>
      <w:tr>
        <w:trPr>
          <w:trHeight w:val="24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200,279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187,467</w:t>
            </w:r>
          </w:p>
        </w:tc>
      </w:tr>
      <w:tr>
        <w:trPr>
          <w:trHeight w:val="23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196,180</w:t>
            </w:r>
          </w:p>
        </w:tc>
      </w:tr>
      <w:tr>
        <w:trPr>
          <w:trHeight w:val="24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3,209,015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2,899,337</w:t>
            </w:r>
          </w:p>
        </w:tc>
      </w:tr>
      <w:tr>
        <w:trPr>
          <w:trHeight w:val="23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3,095,517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131,250</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106,094</w:t>
            </w:r>
          </w:p>
        </w:tc>
      </w:tr>
      <w:tr>
        <w:trPr>
          <w:trHeight w:val="23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3,662,941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3,396,051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89"/>
        </w:trPr>
        <w:tc>
          <w:tcPr>
            <w:tcW w:w="81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2026 and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30, 2026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81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2026 and September 30, 2026;</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53,271 shares issued and outstanding at June 30, 2026 and 52,307 shares issued and outstanding at</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30, 2026</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1,160,234</w:t>
            </w:r>
          </w:p>
        </w:tc>
      </w:tr>
      <w:tr>
        <w:trPr>
          <w:trHeight w:val="24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w:t>
            </w:r>
          </w:p>
        </w:tc>
      </w:tr>
      <w:tr>
        <w:trPr>
          <w:trHeight w:val="23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1,221,417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1,149,584</w:t>
            </w:r>
          </w:p>
        </w:tc>
      </w:tr>
      <w:tr>
        <w:trPr>
          <w:trHeight w:val="236"/>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4,884,358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4,545,635</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3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82"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29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378,858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424,470</w:t>
            </w: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451,669</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147,568</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101,132</w:t>
            </w: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r>
      <w:tr>
        <w:trPr>
          <w:trHeight w:val="24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61,727</w:t>
            </w: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221,895</w:t>
            </w:r>
          </w:p>
        </w:tc>
      </w:tr>
      <w:tr>
        <w:trPr>
          <w:trHeight w:val="237"/>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7"/>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82,584</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55,859</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53,721</w:t>
            </w:r>
          </w:p>
        </w:tc>
      </w:tr>
      <w:tr>
        <w:trPr>
          <w:trHeight w:val="20"/>
        </w:trPr>
        <w:tc>
          <w:tcPr>
            <w:tcW w:w="8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20" w:type="dxa"/>
            <w:vAlign w:val="bottom"/>
            <w:gridSpan w:val="11"/>
          </w:tcPr>
          <w:p>
            <w:pPr>
              <w:ind w:left="3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6"/>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restart"/>
          </w:tcPr>
          <w:p>
            <w:pPr>
              <w:jc w:val="center"/>
              <w:ind w:right="280"/>
              <w:spacing w:after="0" w:line="111"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ind w:left="100"/>
              <w:spacing w:after="0" w:line="111"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5"/>
                <w:szCs w:val="5"/>
                <w:color w:val="auto"/>
              </w:rPr>
            </w:pPr>
          </w:p>
        </w:tc>
        <w:tc>
          <w:tcPr>
            <w:tcW w:w="1420" w:type="dxa"/>
            <w:vAlign w:val="bottom"/>
            <w:gridSpan w:val="3"/>
            <w:vMerge w:val="restart"/>
          </w:tcPr>
          <w:p>
            <w:pPr>
              <w:jc w:val="center"/>
              <w:ind w:right="280"/>
              <w:spacing w:after="0" w:line="111"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142"/>
              <w:spacing w:after="0" w:line="111"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55,366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327,518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900,583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5,591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1,233,747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41,501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41,501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settlement for taxes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(201,715)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47,991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47,991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September 30, 2025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148,581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948,574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6,270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1,103,479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20" w:type="dxa"/>
            <w:vAlign w:val="bottom"/>
            <w:gridSpan w:val="11"/>
          </w:tcPr>
          <w:p>
            <w:pPr>
              <w:ind w:left="3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6"/>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restart"/>
          </w:tcPr>
          <w:p>
            <w:pPr>
              <w:jc w:val="center"/>
              <w:ind w:right="240"/>
              <w:spacing w:after="0" w:line="12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5"/>
                <w:szCs w:val="5"/>
                <w:color w:val="auto"/>
              </w:rPr>
            </w:pPr>
          </w:p>
        </w:tc>
        <w:tc>
          <w:tcPr>
            <w:tcW w:w="1420" w:type="dxa"/>
            <w:vAlign w:val="bottom"/>
            <w:gridSpan w:val="3"/>
            <w:vMerge w:val="restart"/>
          </w:tcPr>
          <w:p>
            <w:pPr>
              <w:jc w:val="center"/>
              <w:ind w:right="2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122"/>
              <w:spacing w:after="0" w:line="125"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2026</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53,271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53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52,271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1,170,324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1,221,417</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420" w:type="dxa"/>
            <w:vAlign w:val="bottom"/>
            <w:gridSpan w:val="3"/>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settlement for taxes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420" w:type="dxa"/>
            <w:vAlign w:val="bottom"/>
            <w:gridSpan w:val="3"/>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(86,088)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(153,821)</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losses on securities, 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September 30, 2026</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52,307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1,149,584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57,642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43,254</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29,904</w:t>
            </w: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0" w:type="dxa"/>
            <w:vAlign w:val="bottom"/>
          </w:tcPr>
          <w:p>
            <w:pPr>
              <w:spacing w:after="0"/>
              <w:rPr>
                <w:sz w:val="1"/>
                <w:szCs w:val="1"/>
                <w:color w:val="auto"/>
              </w:rPr>
            </w:pPr>
          </w:p>
        </w:tc>
      </w:tr>
      <w:tr>
        <w:trPr>
          <w:trHeight w:val="193"/>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(16,197)</w:t>
            </w:r>
          </w:p>
        </w:tc>
        <w:tc>
          <w:tcPr>
            <w:tcW w:w="0" w:type="dxa"/>
            <w:vAlign w:val="bottom"/>
          </w:tcPr>
          <w:p>
            <w:pPr>
              <w:spacing w:after="0"/>
              <w:rPr>
                <w:sz w:val="1"/>
                <w:szCs w:val="1"/>
                <w:color w:val="auto"/>
              </w:rPr>
            </w:pPr>
          </w:p>
        </w:tc>
      </w:tr>
      <w:tr>
        <w:trPr>
          <w:trHeight w:val="193"/>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0" w:type="dxa"/>
            <w:vAlign w:val="bottom"/>
          </w:tcPr>
          <w:p>
            <w:pPr>
              <w:spacing w:after="0"/>
              <w:rPr>
                <w:sz w:val="1"/>
                <w:szCs w:val="1"/>
                <w:color w:val="auto"/>
              </w:rPr>
            </w:pPr>
          </w:p>
        </w:tc>
      </w:tr>
      <w:tr>
        <w:trPr>
          <w:trHeight w:val="186"/>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86,456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79,690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0" w:type="dxa"/>
            <w:vAlign w:val="bottom"/>
          </w:tcPr>
          <w:p>
            <w:pPr>
              <w:spacing w:after="0"/>
              <w:rPr>
                <w:sz w:val="1"/>
                <w:szCs w:val="1"/>
                <w:color w:val="auto"/>
              </w:rPr>
            </w:pPr>
          </w:p>
        </w:tc>
      </w:tr>
      <w:tr>
        <w:trPr>
          <w:trHeight w:val="186"/>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(30,584)</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(309,678)</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(152,495)</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0" w:type="dxa"/>
            <w:vAlign w:val="bottom"/>
          </w:tcPr>
          <w:p>
            <w:pPr>
              <w:spacing w:after="0"/>
              <w:rPr>
                <w:sz w:val="1"/>
                <w:szCs w:val="1"/>
                <w:color w:val="auto"/>
              </w:rPr>
            </w:pPr>
          </w:p>
        </w:tc>
      </w:tr>
      <w:tr>
        <w:trPr>
          <w:trHeight w:val="186"/>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(229,692)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(430,197)</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(160,929)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(381,091)</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2,482,526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2,869,966</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2,321,597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2,488,875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165,192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2,156,405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2,294,352</w:t>
            </w: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2,321,597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2,488,875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00" w:lineRule="exact"/>
        <w:rPr>
          <w:sz w:val="20"/>
          <w:szCs w:val="20"/>
          <w:color w:val="auto"/>
        </w:rPr>
      </w:pPr>
    </w:p>
    <w:p>
      <w:pPr>
        <w:spacing w:after="0" w:line="23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(“HCM”), finance and IT software solutions. Services are provided in a Software-as-a-Service (“SaaS”) delivery model. The Company offers a product suite that enables businesses to streamline HR, finance, and IT operations, manage spend and talent, and build culture and connection with artificial intelligence (“AI”) embedded directly into everyday workflows.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4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Certain amounts in the prior period have been reclassified to conform to the current period presentation. Specifically, deferred contract costs are now presented in a single caption on the Consolidated Balance Sheets. These reclassifications had no material effect on the reported financial results.</w:t>
      </w:r>
    </w:p>
    <w:p>
      <w:pPr>
        <w:spacing w:after="0" w:line="11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2026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2026 included in the Company’s Annual Report on Form 10-K.</w:t>
      </w:r>
    </w:p>
    <w:p>
      <w:pPr>
        <w:spacing w:after="0" w:line="21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0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Targeted Improvements to the Accounting for Internal-Use Software ("ASU 2025-06"). ASU 2025-06 removes all references to software development stages in existing guidance and, instead, requires the capitalization of software development costs when the Company's management has authorized and committed to funding a project and it is probable the project will be completed and the software will be used to perform its intended function. This ASU may be applied on a prospective, retrospective or on a modified transition basis based on project and capitalization status before the adoption date. This ASU is effective for all fiscal years beginning after December 15, 2027 and interim periods beginning within those annual reporting periods, with early adoption permitted as of the beginning of an annual reporting period. The Company is currently assessing the impact of this ASU on its consolidated financial statements and is evaluating the method and timing of adoption.</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revenue from recurring service fees under customer contracts. While the majority of its agreements are generally cancellable by the client upon 60 days’ notice or less, the Company also offers term agreements to its clients, which are generally two years in length. Recurring fees are mostly derived from cloud-based payroll and HCM software solutions which include payroll processing and related services such as payroll reporting and tax filing services, time and labor services, time clock rentals, and HCM-related software solutions, including employee management and benefits enrollment and administration, substantially all of which are delivered on a monthly basis. 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 Implementation services and other consists primarily of nonrefundable implementation fees, which involve setting the client up in, and loading data into, the Company’s cloud-based solutions.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6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4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409,324</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4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4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4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8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is recorded within Accrued expenses and Other long-term liabilities on the Unaudited Consolidated Balance Sheets. The Company expects to recognize these deferred revenue balances as follows: $21,030 in fiscal 2027, $12,699 in fiscal 2028 and $3,095 in fiscal 2029 and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the Company increased from 7 years to 8 years effective June 30, 2026, on a prospective basis, based on the Company’s average client life and growth of term contract renewals beyond their initial terms.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287,437</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234,031</w:t>
            </w:r>
          </w:p>
        </w:tc>
      </w:tr>
      <w:tr>
        <w:trPr>
          <w:trHeight w:val="26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706"/>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4"/>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322,648</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256,049</w:t>
            </w:r>
          </w:p>
        </w:tc>
      </w:tr>
      <w:tr>
        <w:trPr>
          <w:trHeight w:val="26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578,697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2"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$274,009 as of September 30, 2026,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acquisitions disclosed below using the acquisition method of accounting and recognized the assets and liabilities at their fair values as of the respective dates of acquisitions, with the excess recorded to goodwill.</w:t>
      </w:r>
    </w:p>
    <w:p>
      <w:pPr>
        <w:spacing w:after="0" w:line="6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On April 6, 2026, the Company acquired all of the outstanding shares of Grayscale Labs, Inc. ("Grayscale") through a merger for cash consideration of $50,361, which reflects working capital and other customary purchase price adjustments. Grayscale is an AI-powered recruiting automation company. This acquisition expands the Company's recruiting capabilities with AI-powered automation to enable its clients to engage candidates earlier and move faster through time-sensitive hiring workflows. The preliminary allocation of the purchase price for Grayscale, which reflects certain immaterial measurement period adjustments recorded during the three months ended September 30, 2026, was $36,010 of goodwill, $11,600 of proprietary technology, $3,200 of client relationships and other immaterial assets and liabilities.</w:t>
      </w:r>
    </w:p>
    <w:p>
      <w:pPr>
        <w:spacing w:after="0" w:line="195" w:lineRule="exact"/>
        <w:rPr>
          <w:sz w:val="20"/>
          <w:szCs w:val="20"/>
          <w:color w:val="auto"/>
        </w:rPr>
      </w:pPr>
    </w:p>
    <w:p>
      <w:pPr>
        <w:ind w:right="300" w:firstLine="648"/>
        <w:spacing w:after="0" w:line="272" w:lineRule="auto"/>
        <w:rPr>
          <w:sz w:val="20"/>
          <w:szCs w:val="20"/>
          <w:color w:val="auto"/>
        </w:rPr>
      </w:pPr>
      <w:r>
        <w:rPr>
          <w:rFonts w:ascii="Times New Roman" w:cs="Times New Roman" w:eastAsia="Times New Roman" w:hAnsi="Times New Roman"/>
          <w:sz w:val="17"/>
          <w:szCs w:val="17"/>
          <w:color w:val="auto"/>
        </w:rPr>
        <w:t>On July 8, 2026, the Company acquired all of the outstanding shares of Aidora Inc. ("Aidora"), an AI-native leave management compliance software company, through a merger for cash consideration of $10,515, subject to working capital and other customary purchase price adjustments. The preliminary purchase price allocation for Aidora was $7,339 of goodwill, $3,200 of proprietary technology and other immaterial assets and liabilities.</w:t>
      </w:r>
    </w:p>
    <w:p>
      <w:pPr>
        <w:spacing w:after="0" w:line="1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due to these acquisitions are currently provisional and are subject to change over their respective measurement periods, which will end no later than one year from the respective acquisition dates. The goodwill related to these transactions is primarily attributable to the assembled workforces and growth opportunities from the expansion and enhancement of the Company’s product offerings and is not deductible for income tax purposes. The results from these acquisitions have been included in the Company’s consolidated financial statements since the respective closing dates of the transactions. Direct costs related to the acquisitions were not material and were expensed as incurred as General and administrative expense in the Unaudited Consolidated Statements of Operations and Comprehensive Income. Pro forma information is not presented for the acquisitions because the effects of the acquisitions are not material to the Company’s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the allowance for credit losses related to accounts receivable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6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6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5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8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6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840" w:type="dxa"/>
            <w:vAlign w:val="bottom"/>
            <w:vMerge w:val="restart"/>
          </w:tcPr>
          <w:p>
            <w:pPr>
              <w:jc w:val="right"/>
              <w:ind w:right="4010"/>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58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481,895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9"/>
              </w:rPr>
              <w:t>506,813</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rPr>
              <w:t>(338,301)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8"/>
                <w:szCs w:val="18"/>
                <w:color w:val="auto"/>
              </w:rPr>
              <w:t>(356,871)</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143,594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9"/>
              </w:rPr>
              <w:t>149,942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$17,250 and $18,570 for the three months ended September 30, 2025 and 2026,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81,495</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62,319</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188,747</w:t>
            </w:r>
          </w:p>
        </w:tc>
      </w:tr>
      <w:tr>
        <w:trPr>
          <w:trHeight w:val="26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(118,421)</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amounted to $4,942 and $5,419 for the three months ended September 30, 2025 and 2026,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attributable to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Company’s amortizable intangible assets and estimated useful lives are as follows: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847" w:hanging="847"/>
        <w:spacing w:after="0"/>
        <w:tabs>
          <w:tab w:leader="none" w:pos="84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378,964</w:t>
      </w:r>
    </w:p>
    <w:p>
      <w:pPr>
        <w:spacing w:after="0" w:line="74" w:lineRule="exact"/>
        <w:rPr>
          <w:rFonts w:ascii="Times New Roman" w:cs="Times New Roman" w:eastAsia="Times New Roman" w:hAnsi="Times New Roman"/>
          <w:sz w:val="17"/>
          <w:szCs w:val="17"/>
          <w:color w:val="auto"/>
        </w:rPr>
      </w:pPr>
    </w:p>
    <w:p>
      <w:pPr>
        <w:ind w:left="102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7,339</w:t>
      </w:r>
    </w:p>
    <w:p>
      <w:pPr>
        <w:spacing w:after="0" w:line="74" w:lineRule="exact"/>
        <w:rPr>
          <w:rFonts w:ascii="Times New Roman" w:cs="Times New Roman" w:eastAsia="Times New Roman" w:hAnsi="Times New Roman"/>
          <w:sz w:val="17"/>
          <w:szCs w:val="17"/>
          <w:color w:val="auto"/>
        </w:rPr>
      </w:pPr>
    </w:p>
    <w:p>
      <w:pPr>
        <w:ind w:left="11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42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8" w:lineRule="exact"/>
        <w:rPr>
          <w:sz w:val="20"/>
          <w:szCs w:val="20"/>
          <w:color w:val="auto"/>
        </w:rPr>
      </w:pPr>
    </w:p>
    <w:p>
      <w:pPr>
        <w:ind w:left="847" w:hanging="847"/>
        <w:spacing w:after="0"/>
        <w:tabs>
          <w:tab w:leader="none" w:pos="84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386,507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429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59055</wp:posOffset>
            </wp:positionV>
            <wp:extent cx="9429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145" w:lineRule="exact"/>
        <w:rPr>
          <w:sz w:val="20"/>
          <w:szCs w:val="20"/>
          <w:color w:val="auto"/>
        </w:rPr>
      </w:pPr>
    </w:p>
    <w:p>
      <w:pPr>
        <w:sectPr>
          <w:pgSz w:w="11900" w:h="16838" w:orient="portrait"/>
          <w:cols w:equalWidth="0" w:num="2">
            <w:col w:w="9053" w:space="720"/>
            <w:col w:w="1467"/>
          </w:cols>
          <w:pgMar w:left="320" w:top="256" w:right="3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r>
      <w:tr>
        <w:trPr>
          <w:trHeight w:val="29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$5,261 and $5,915 for the three months ended September 30, 2025 and 2026, respectively, and is included in Cost of revenues and General and administrative.</w:t>
      </w:r>
    </w:p>
    <w:p>
      <w:pPr>
        <w:sectPr>
          <w:pgSz w:w="11900" w:h="16838" w:orient="portrait"/>
          <w:cols w:equalWidth="0" w:num="1">
            <w:col w:w="11240"/>
          </w:cols>
          <w:pgMar w:left="320" w:top="256"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amortization expense for acquired intangible assets as of September 30, 2026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fiscal 2027</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2029</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2031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20" w:hanging="907"/>
        <w:spacing w:after="0"/>
        <w:tabs>
          <w:tab w:leader="none" w:pos="2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15,928</w:t>
      </w:r>
    </w:p>
    <w:p>
      <w:pPr>
        <w:spacing w:after="0" w:line="74"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19,992</w:t>
      </w:r>
    </w:p>
    <w:p>
      <w:pPr>
        <w:spacing w:after="0" w:line="74"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16,525</w:t>
      </w:r>
    </w:p>
    <w:p>
      <w:pPr>
        <w:spacing w:after="0" w:line="74"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14,638</w:t>
      </w:r>
    </w:p>
    <w:p>
      <w:pPr>
        <w:spacing w:after="0" w:line="74"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13,644</w:t>
      </w:r>
    </w:p>
    <w:p>
      <w:pPr>
        <w:spacing w:after="0" w:line="74"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2,698</w:t>
      </w:r>
    </w:p>
    <w:p>
      <w:pPr>
        <w:spacing w:after="0" w:line="88" w:lineRule="exact"/>
        <w:rPr>
          <w:sz w:val="20"/>
          <w:szCs w:val="20"/>
          <w:color w:val="auto"/>
        </w:rPr>
      </w:pPr>
    </w:p>
    <w:p>
      <w:pPr>
        <w:ind w:left="2020" w:hanging="907"/>
        <w:spacing w:after="0"/>
        <w:tabs>
          <w:tab w:leader="none" w:pos="2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59055</wp:posOffset>
            </wp:positionV>
            <wp:extent cx="942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September 30,</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2026</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sectPr>
      </w:pPr>
    </w:p>
    <w:tbl>
      <w:tblPr>
        <w:tblLayout w:type="fixed"/>
        <w:tblInd w:w="0" w:type="dxa"/>
        <w:tblCellMar>
          <w:top w:w="0" w:type="dxa"/>
          <w:left w:w="0" w:type="dxa"/>
          <w:bottom w:w="0" w:type="dxa"/>
          <w:right w:w="0" w:type="dxa"/>
        </w:tblCellMar>
      </w:tblPr>
      <w:tr>
        <w:trPr>
          <w:trHeight w:val="283"/>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00" w:type="dxa"/>
            <w:vAlign w:val="bottom"/>
            <w:tcBorders>
              <w:top w:val="single" w:sz="8" w:color="CCEEFF"/>
            </w:tcBorders>
            <w:shd w:val="clear" w:color="auto" w:fill="CCEEFF"/>
          </w:tcPr>
          <w:p>
            <w:pPr>
              <w:spacing w:after="0"/>
              <w:rPr>
                <w:sz w:val="24"/>
                <w:szCs w:val="24"/>
                <w:color w:val="auto"/>
              </w:rPr>
            </w:pPr>
          </w:p>
        </w:tc>
        <w:tc>
          <w:tcPr>
            <w:tcW w:w="12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108,617</w:t>
            </w: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95,442</w:t>
            </w:r>
          </w:p>
        </w:tc>
        <w:tc>
          <w:tcPr>
            <w:tcW w:w="0" w:type="dxa"/>
            <w:vAlign w:val="bottom"/>
          </w:tcPr>
          <w:p>
            <w:pPr>
              <w:spacing w:after="0"/>
              <w:rPr>
                <w:sz w:val="1"/>
                <w:szCs w:val="1"/>
                <w:color w:val="auto"/>
              </w:rPr>
            </w:pPr>
          </w:p>
        </w:tc>
      </w:tr>
      <w:tr>
        <w:trPr>
          <w:trHeight w:val="26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39,706</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0" w:type="dxa"/>
            <w:vAlign w:val="bottom"/>
          </w:tcPr>
          <w:p>
            <w:pPr>
              <w:spacing w:after="0"/>
              <w:rPr>
                <w:sz w:val="1"/>
                <w:szCs w:val="1"/>
                <w:color w:val="auto"/>
              </w:rPr>
            </w:pPr>
          </w:p>
        </w:tc>
      </w:tr>
      <w:tr>
        <w:trPr>
          <w:trHeight w:val="29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Cash and Cash Equivalents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4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7"/>
                <w:szCs w:val="17"/>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7"/>
                <w:szCs w:val="17"/>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271,917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271,917</w:t>
            </w:r>
          </w:p>
        </w:tc>
        <w:tc>
          <w:tcPr>
            <w:tcW w:w="0" w:type="dxa"/>
            <w:vAlign w:val="bottom"/>
          </w:tcPr>
          <w:p>
            <w:pPr>
              <w:spacing w:after="0"/>
              <w:rPr>
                <w:sz w:val="1"/>
                <w:szCs w:val="1"/>
                <w:color w:val="auto"/>
              </w:rPr>
            </w:pPr>
          </w:p>
        </w:tc>
      </w:tr>
      <w:tr>
        <w:trPr>
          <w:trHeight w:val="26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2,598,049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2,598,049</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506,538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505,670</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w:t>
            </w:r>
          </w:p>
        </w:tc>
        <w:tc>
          <w:tcPr>
            <w:tcW w:w="0" w:type="dxa"/>
            <w:vAlign w:val="bottom"/>
          </w:tcPr>
          <w:p>
            <w:pPr>
              <w:spacing w:after="0"/>
              <w:rPr>
                <w:sz w:val="1"/>
                <w:szCs w:val="1"/>
                <w:color w:val="auto"/>
              </w:rPr>
            </w:pP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29,016</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613,341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612,455</w:t>
            </w:r>
          </w:p>
        </w:tc>
        <w:tc>
          <w:tcPr>
            <w:tcW w:w="0" w:type="dxa"/>
            <w:vAlign w:val="bottom"/>
          </w:tcPr>
          <w:p>
            <w:pPr>
              <w:spacing w:after="0"/>
              <w:rPr>
                <w:sz w:val="1"/>
                <w:szCs w:val="1"/>
                <w:color w:val="auto"/>
              </w:rPr>
            </w:pPr>
          </w:p>
        </w:tc>
      </w:tr>
      <w:tr>
        <w:trPr>
          <w:trHeight w:val="29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3,483,307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3,482,421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4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7"/>
                <w:szCs w:val="17"/>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7"/>
                <w:szCs w:val="17"/>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194,523</w:t>
            </w:r>
          </w:p>
        </w:tc>
        <w:tc>
          <w:tcPr>
            <w:tcW w:w="0" w:type="dxa"/>
            <w:vAlign w:val="bottom"/>
          </w:tcPr>
          <w:p>
            <w:pPr>
              <w:spacing w:after="0"/>
              <w:rPr>
                <w:sz w:val="1"/>
                <w:szCs w:val="1"/>
                <w:color w:val="auto"/>
              </w:rPr>
            </w:pPr>
          </w:p>
        </w:tc>
      </w:tr>
      <w:tr>
        <w:trPr>
          <w:trHeight w:val="26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2,294,352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2,294,352</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503,337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491,318</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0" w:type="dxa"/>
            <w:vAlign w:val="bottom"/>
          </w:tcPr>
          <w:p>
            <w:pPr>
              <w:spacing w:after="0"/>
              <w:rPr>
                <w:sz w:val="1"/>
                <w:szCs w:val="1"/>
                <w:color w:val="auto"/>
              </w:rPr>
            </w:pP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607,761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594,263</w:t>
            </w:r>
          </w:p>
        </w:tc>
        <w:tc>
          <w:tcPr>
            <w:tcW w:w="0" w:type="dxa"/>
            <w:vAlign w:val="bottom"/>
          </w:tcPr>
          <w:p>
            <w:pPr>
              <w:spacing w:after="0"/>
              <w:rPr>
                <w:sz w:val="1"/>
                <w:szCs w:val="1"/>
                <w:color w:val="auto"/>
              </w:rPr>
            </w:pPr>
          </w:p>
        </w:tc>
      </w:tr>
      <w:tr>
        <w:trPr>
          <w:trHeight w:val="29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3,096,636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3,083,138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2026 and September 30, 2026.</w:t>
      </w:r>
    </w:p>
    <w:p>
      <w:pPr>
        <w:sectPr>
          <w:pgSz w:w="11900" w:h="16838" w:orient="portrait"/>
          <w:cols w:equalWidth="0" w:num="1">
            <w:col w:w="11240"/>
          </w:cols>
          <w:pgMar w:left="320" w:top="2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2026 and September 30, 2026.</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194,523</w:t>
            </w: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3,210,504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2,888,615</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3,482,421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Available-for-sale securities in an unrealized loss position for a period of less and greater than 12 months as of June 30, 2026 and September 30, 2026 had fair market value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4"/>
                <w:szCs w:val="14"/>
                <w:color w:val="auto"/>
              </w:rPr>
            </w:pPr>
          </w:p>
        </w:tc>
        <w:tc>
          <w:tcPr>
            <w:tcW w:w="28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480" w:type="dxa"/>
            <w:vAlign w:val="bottom"/>
          </w:tcPr>
          <w:p>
            <w:pPr>
              <w:spacing w:after="0"/>
              <w:rPr>
                <w:sz w:val="16"/>
                <w:szCs w:val="16"/>
                <w:color w:val="auto"/>
              </w:rPr>
            </w:pP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00" w:type="dxa"/>
            <w:vAlign w:val="bottom"/>
          </w:tcPr>
          <w:p>
            <w:pPr>
              <w:spacing w:after="0"/>
              <w:rPr>
                <w:sz w:val="17"/>
                <w:szCs w:val="17"/>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255,519</w:t>
            </w:r>
          </w:p>
        </w:tc>
        <w:tc>
          <w:tcPr>
            <w:tcW w:w="0" w:type="dxa"/>
            <w:vAlign w:val="bottom"/>
          </w:tcPr>
          <w:p>
            <w:pPr>
              <w:spacing w:after="0"/>
              <w:rPr>
                <w:sz w:val="1"/>
                <w:szCs w:val="1"/>
                <w:color w:val="auto"/>
              </w:rPr>
            </w:pPr>
          </w:p>
        </w:tc>
      </w:tr>
      <w:tr>
        <w:trPr>
          <w:trHeight w:val="26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0" w:type="dxa"/>
            <w:vAlign w:val="bottom"/>
          </w:tcPr>
          <w:p>
            <w:pPr>
              <w:spacing w:after="0"/>
              <w:rPr>
                <w:sz w:val="1"/>
                <w:szCs w:val="1"/>
                <w:color w:val="auto"/>
              </w:rPr>
            </w:pPr>
          </w:p>
        </w:tc>
      </w:tr>
      <w:tr>
        <w:trPr>
          <w:trHeight w:val="27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w:t>
            </w:r>
          </w:p>
        </w:tc>
        <w:tc>
          <w:tcPr>
            <w:tcW w:w="0" w:type="dxa"/>
            <w:vAlign w:val="bottom"/>
          </w:tcPr>
          <w:p>
            <w:pPr>
              <w:spacing w:after="0"/>
              <w:rPr>
                <w:sz w:val="1"/>
                <w:szCs w:val="1"/>
                <w:color w:val="auto"/>
              </w:rPr>
            </w:pPr>
          </w:p>
        </w:tc>
      </w:tr>
      <w:tr>
        <w:trPr>
          <w:trHeight w:val="26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0" w:type="dxa"/>
            <w:vAlign w:val="bottom"/>
          </w:tcPr>
          <w:p>
            <w:pPr>
              <w:spacing w:after="0"/>
              <w:rPr>
                <w:sz w:val="1"/>
                <w:szCs w:val="1"/>
                <w:color w:val="auto"/>
              </w:rPr>
            </w:pP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317,682</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4"/>
                <w:szCs w:val="14"/>
                <w:color w:val="auto"/>
              </w:rPr>
            </w:pPr>
          </w:p>
        </w:tc>
        <w:tc>
          <w:tcPr>
            <w:tcW w:w="28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480" w:type="dxa"/>
            <w:vAlign w:val="bottom"/>
          </w:tcPr>
          <w:p>
            <w:pPr>
              <w:spacing w:after="0"/>
              <w:rPr>
                <w:sz w:val="16"/>
                <w:szCs w:val="16"/>
                <w:color w:val="auto"/>
              </w:rPr>
            </w:pP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00" w:type="dxa"/>
            <w:vAlign w:val="bottom"/>
          </w:tcPr>
          <w:p>
            <w:pPr>
              <w:spacing w:after="0"/>
              <w:rPr>
                <w:sz w:val="17"/>
                <w:szCs w:val="17"/>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438,023</w:t>
            </w:r>
          </w:p>
        </w:tc>
        <w:tc>
          <w:tcPr>
            <w:tcW w:w="0" w:type="dxa"/>
            <w:vAlign w:val="bottom"/>
          </w:tcPr>
          <w:p>
            <w:pPr>
              <w:spacing w:after="0"/>
              <w:rPr>
                <w:sz w:val="1"/>
                <w:szCs w:val="1"/>
                <w:color w:val="auto"/>
              </w:rPr>
            </w:pPr>
          </w:p>
        </w:tc>
      </w:tr>
      <w:tr>
        <w:trPr>
          <w:trHeight w:val="26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w:t>
            </w:r>
          </w:p>
        </w:tc>
        <w:tc>
          <w:tcPr>
            <w:tcW w:w="0" w:type="dxa"/>
            <w:vAlign w:val="bottom"/>
          </w:tcPr>
          <w:p>
            <w:pPr>
              <w:spacing w:after="0"/>
              <w:rPr>
                <w:sz w:val="1"/>
                <w:szCs w:val="1"/>
                <w:color w:val="auto"/>
              </w:rPr>
            </w:pPr>
          </w:p>
        </w:tc>
      </w:tr>
      <w:tr>
        <w:trPr>
          <w:trHeight w:val="27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24,794</w:t>
            </w: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8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527,599</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527,599</w:t>
            </w:r>
          </w:p>
        </w:tc>
        <w:tc>
          <w:tcPr>
            <w:tcW w:w="0" w:type="dxa"/>
            <w:vAlign w:val="bottom"/>
          </w:tcPr>
          <w:p>
            <w:pPr>
              <w:spacing w:after="0"/>
              <w:rPr>
                <w:sz w:val="1"/>
                <w:szCs w:val="1"/>
                <w:color w:val="auto"/>
              </w:rPr>
            </w:pPr>
          </w:p>
        </w:tc>
      </w:tr>
      <w:tr>
        <w:trPr>
          <w:trHeight w:val="24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months ended September 30, 2025 or 2026. All securities in the Company’s portfolio held an A rating or better as of September 30, 2026.</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months ended September 30, 2025 or 2026. Realized gains or losses on sales of available-for-sale securities were immaterial for both the three months ended September 30, 2025 and 2026.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September 30, 2026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84,771</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262,545</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years and thereafter</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607,761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594,263</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34"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cash and cash equivalents and funds held for clients' cash and cash equivalents at fair value on a recurring basis using Level 1 inputs. The carrying amounts of accounts receivable, accounts payable and client fund obligations approximate fair value due to the short-term nature of these instruments. The carrying value of the borrowings under the credit facility approximates fair value because the borrowings bear interest at market rates for debt instruments with similar terms and maturities. Accordingly, the Company considers the carrying amounts of these financial assets and liabilities to approximate their respective fair values at June 30, 2026 and September 30, 2026.</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certificates of deposit,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2026 or September 30, 2026.</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levels for the Company’s cash and cash equivalents and available-for-sale securities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9"/>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271,917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271,917</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2,598,049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2,598,049</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505,670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505,670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612,455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612,455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9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3,482,421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2,869,966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612,455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2,294,352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2,294,352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594,263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594,263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9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3,083,138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2,488,875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594,263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 using Level 3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September 2026, the Company entered into an amended and restated revolving credit agreement ("credit agreement") with PNC Bank, National Association, and other lenders, which replaced the Company's previous credit agreement. The credit agreement is secured by substantially all of the Company’s assets, subject to certain exceptions, and provides for a senior secured revolving credit facility ("credit facility") with borrowing capacity up to $1,750,000, which may be increased up to $2,625,000, subject to obtaining additional lender commitments and certain approvals and satisfying other requirements. The credit facility includes a $175,000 sublimit for swing loans and a $175,000 sublimit for letters of credit. The credit facility is scheduled to expire in September 2031, but the Company may request up to two one-year maturity extensions. Any outstanding borrowings will mature and be payable upon expiration. At June 30, 2026, the Company had $81,250 in outstanding borrowings under its credit facility. During the three months ended September 30, 2026, the Company borrowed an additional $50,000 and made no repayments. As a result, $131,250 remained outstanding at September 30, 2026.</w:t>
      </w:r>
    </w:p>
    <w:p>
      <w:pPr>
        <w:spacing w:after="0" w:line="16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the credit facility expiration without a premium or a penalty, other than customary “breakage” costs.</w:t>
      </w:r>
    </w:p>
    <w:p>
      <w:pPr>
        <w:spacing w:after="0" w:line="13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Any borrowings under the credit facility will bear interest, at the Company’s option, at a rate per annum determined by reference to either the Term Secured Overnight Financing Rate ("SOFR") rate or an adjusted base rate, in</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each case plus an applicable margin ranging from 1.000% to 1.625% and 0.000% to 0.625%,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and a minimum interest coverage ratio of not less than 2.00 to 1.00. As of September 30, 2026, the Company was in compliance with all of the aforementioned covenants.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407 shares available for future grant under the amended and restated 2023 Equity Incentive Plan ("2023 Plan"), and 2,698 shares were subject to outstanding awards. Generally, the Company issues previously unissued shares for the vesting of awards; however, shares previously subject to 2023 Plan grants or awards that are forfeited or net settled at exercise or release may be reissued to satisfy future issuances.</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restricted stock units ("RSUs"), performance stock units ("PSUs"), market stock units ("MSUs") and the Company's Employee Stock Purchase Plan is included in the following line items in the accompanying Unaudited Consolidated Statements of Operations and Comprehensive Income:</w:t>
      </w:r>
    </w:p>
    <w:p>
      <w:pPr>
        <w:spacing w:after="0" w:line="18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r>
      <w:tr>
        <w:trPr>
          <w:trHeight w:val="26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15,877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20,038</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37,846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$2,916 and $3,902 of stock-based compensation expense in its capitalized internal-use software costs for the three months ended September 30, 2025 and 2026, respectively.</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2023 Plan with terms determined at the discretion of the Compensation Committee of the Company's board of directors ("the Committee"). RSUs are time-based awards that generally vest over four years following the grant date.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RSU activity during the three months ended September 30,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r>
      <w:tr>
        <w:trPr>
          <w:trHeight w:val="26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r>
      <w:tr>
        <w:trPr>
          <w:trHeight w:val="26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161.71</w:t>
            </w:r>
          </w:p>
        </w:tc>
      </w:tr>
      <w:tr>
        <w:trPr>
          <w:trHeight w:val="29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September 30, 2026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grants PSUs under the 2023 Plan with terms determined at the discretion of the Committee. The actual number of PSUs that will be eligible to vest is based on the achievement of Recurring and other revenue targets over a one year period with vesting taking place annually over three years. Up to 200% of the target number of shares subject to each PSU are eligible to be earned.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PSU activity during the three months ended September 30,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balance at July 1, 2026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w:t>
            </w:r>
          </w:p>
        </w:tc>
      </w:tr>
      <w:tr>
        <w:trPr>
          <w:trHeight w:val="263"/>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vested</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w:t>
            </w:r>
          </w:p>
        </w:tc>
      </w:tr>
      <w:tr>
        <w:trPr>
          <w:trHeight w:val="27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 balance at September 30, 2026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w:t>
            </w:r>
          </w:p>
        </w:tc>
      </w:tr>
      <w:tr>
        <w:trPr>
          <w:trHeight w:val="21"/>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vest at the end of each TSR measurement period, and up to 200% of the target number of shares subject to each MSU are eligible to be earned.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MSU activity during the three months ended September 30,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243.98</w:t>
            </w:r>
          </w:p>
        </w:tc>
      </w:tr>
      <w:tr>
        <w:trPr>
          <w:trHeight w:val="263"/>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w:t>
            </w:r>
          </w:p>
        </w:tc>
      </w:tr>
      <w:tr>
        <w:trPr>
          <w:trHeight w:val="27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September 30, 2026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r>
      <w:tr>
        <w:trPr>
          <w:trHeight w:val="20"/>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4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100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6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7"/>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6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7"/>
        </w:trPr>
        <w:tc>
          <w:tcPr>
            <w:tcW w:w="89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r>
    </w:tbl>
    <w:p>
      <w:pPr>
        <w:spacing w:after="0" w:line="25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there was $259,713 of total unrecognized compensation cost, net of estimated forfeitures, related to unvested RSUs, PSUs and MSUs. That cost is expected to be recognized over a weighted average period of 1.9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spacing w:after="0" w:line="1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35.9% and 30.2% for the three months ended September 30, 2025 and 2026, respectively. The Company's effective tax rate for the three months ended September 30, 2025 was higher than the federal statutory rate of 21% primarily due to stock-based compensation shortfalls realized, state and local income taxes and an increase in the valuation allowance. The Company's effective tax rate for the three months ended September 30, 2026 was higher than the federal statutory rate of 21% primarily due to stock-based compensation shortfalls realized and state and local income taxes.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release of RSUs, PSUs and MSUs as of the balance sheet date. The following table presents the calculation of basic and diluted net income per share:</w:t>
      </w:r>
    </w:p>
    <w:p>
      <w:pPr>
        <w:spacing w:after="0" w:line="21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47,991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57,642</w:t>
            </w:r>
          </w:p>
        </w:tc>
      </w:tr>
      <w:tr>
        <w:trPr>
          <w:trHeight w:val="277"/>
        </w:trPr>
        <w:tc>
          <w:tcPr>
            <w:tcW w:w="8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55,013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53,027</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RSUs, PSUs and MSUs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7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55,859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53,721</w:t>
            </w:r>
          </w:p>
        </w:tc>
      </w:tr>
      <w:tr>
        <w:trPr>
          <w:trHeight w:val="270"/>
        </w:trPr>
        <w:tc>
          <w:tcPr>
            <w:tcW w:w="8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performance stock units and market stock units as of September 30, 2025 and 2026 that were excluded from the diluted per share calculation for the periods presented because to include them would have been antidilutive:</w:t>
      </w:r>
    </w:p>
    <w:p>
      <w:pPr>
        <w:spacing w:after="0" w:line="18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63"/>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w:t>
            </w:r>
          </w:p>
        </w:tc>
        <w:tc>
          <w:tcPr>
            <w:tcW w:w="10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0"/>
        </w:trPr>
        <w:tc>
          <w:tcPr>
            <w:tcW w:w="8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1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Company determined that it operates as one reportable segment and derives revenues from customers by providing its HCM, finance and IT software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significant expenses and other segment items as included in consolidated net income:</w:t>
      </w: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(118,470)</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sales and marketing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w:t>
            </w: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(70,257)</w:t>
            </w:r>
          </w:p>
        </w:tc>
      </w:tr>
      <w:tr>
        <w:trPr>
          <w:trHeight w:val="26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80" w:firstLine="648"/>
        <w:spacing w:after="0" w:line="266" w:lineRule="auto"/>
        <w:rPr>
          <w:sz w:val="20"/>
          <w:szCs w:val="20"/>
          <w:color w:val="auto"/>
        </w:rPr>
      </w:pPr>
      <w:r>
        <w:rPr>
          <w:rFonts w:ascii="Times New Roman" w:cs="Times New Roman" w:eastAsia="Times New Roman" w:hAnsi="Times New Roman"/>
          <w:sz w:val="18"/>
          <w:szCs w:val="18"/>
          <w:color w:val="auto"/>
        </w:rPr>
        <w:t>Other segment items primarily include amortization of capitalized internal-use software and acquired intangible assets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2026 filed with the SEC on August 5,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59"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We are a leading cloud-based provider of HCM, finance and IT software solutions that deliver a comprehensive platform for the modern workforce. Our platform offers an intuitive, easy-to-use product suite that helps businesses automate and streamline HR, finance and IT processes, attract and retain talent, and build culture and connection with artificial intelligence ("AI") embedded directly into everyday workflows to save time, reduce manual effort, and support better decision-making.</w:t>
      </w:r>
    </w:p>
    <w:p>
      <w:pPr>
        <w:spacing w:after="0" w:line="158"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Effective management of human capital, finance and IT operations is a core function in all organizations and requires a significant commitment of resources. Our cloud-based software solutions, combined with our unified database architecture, are highly flexible and configurable and feature a modern, intuitive user experience. The platform is built on a single employee record with workflows and integrations designed to automate processes across teams and systems. AI, analytics and reporting capabilities are embedded throughout the platform to deliver value with intelligent automation, tailored insights, and real-time guidance to administrators and employees. Our platform also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49"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4"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designed to meet the needs of our clients and sales prospects. We expect to continue to invest in and grow our implementation and client service organization as our client base grows.</w:t>
      </w:r>
    </w:p>
    <w:p>
      <w:pPr>
        <w:spacing w:after="0" w:line="13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4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0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$408.2 million for the three months ended September 30, 2025 to $451.7 million for the three months ended September 30, 2026, representing an 11% year-over-year increase. The increase in year-over-year revenue growth was driven by the strong performance by our sales team. Uncertainties around market and economic conditions may impact revenue growth through fluctuations in client employee counts, elongated sales cycles, client losses, and a changing interest rate environment, among other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other items as described below. We define Adjusted EBITDA as net income before interest expense, income tax expense, depreciation and amortization expense, stock-based compensation expense and employer payroll taxes related to stock releases and other items as described below.</w:t>
      </w:r>
    </w:p>
    <w:p>
      <w:pPr>
        <w:spacing w:after="0" w:line="19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304,101</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333,199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0" w:type="dxa"/>
            <w:vAlign w:val="bottom"/>
          </w:tcPr>
          <w:p>
            <w:pPr>
              <w:spacing w:after="0"/>
              <w:rPr>
                <w:sz w:val="1"/>
                <w:szCs w:val="1"/>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113,730</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60" w:right="380" w:hanging="652"/>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transaction-related costs and severance costs related to certain roles that have been eliminated. We exclude one-off severance costs that we incur as part of the normal course of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software solutions.</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necessarily a good indicator of our financial results in any given period. Recurring and other revenue accounted for 93% and 94% of our total revenues for the three months ended September 30, 2025 and 2026, respectively.</w:t>
      </w:r>
    </w:p>
    <w:p>
      <w:pPr>
        <w:spacing w:after="0" w:line="15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employee-related expenses, including wages, stock-based compensation, bonuses and benefits, and costs related to ongoing client support and implementation activities, payroll tax filing, distribution of printed checks and other materials as well as delivery and computing costs, amortization of certain acquired intangible assets and bank fees associated with client fund transfers. Costs related to recurring support are generally expensed as incurred. We capitalize implementation costs related to our proprietary products. For the year ended June 30,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2026 and earlier, such capitalized costs were generally amortized over a period of 7 years. At the end of fiscal 2026, we reassessed the expected period of benefit and, effective June 30, 2026, extended the amortization period to 8 years on a prospective basis.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3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$17.3 million and $18.6 million of capitalized internal-use software costs for the three months ended September 30, 2025 and 2026,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and benefits, and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For the year ended June 30, 2026 and earlier, we generally amortized these costs over a period of 7 years. At the end of fiscal 2026, we reassessed the expected period of benefit and, effective June 30, 2026, extended the amortization period to 8 years on a prospective basis.</w:t>
      </w:r>
    </w:p>
    <w:p>
      <w:pPr>
        <w:spacing w:after="0" w:line="16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5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2025 and 2026.</w:t>
      </w:r>
    </w:p>
    <w:p>
      <w:pPr>
        <w:spacing w:after="0" w:line="18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55,607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74,261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interest expense related to our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4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424,470</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451,669</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128,380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147,568</w:t>
            </w: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4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279,792</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304,101</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101,132</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61,727</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221,895</w:t>
            </w: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82,584</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0" w:type="dxa"/>
            <w:vAlign w:val="bottom"/>
          </w:tcPr>
          <w:p>
            <w:pPr>
              <w:spacing w:after="0"/>
              <w:rPr>
                <w:sz w:val="1"/>
                <w:szCs w:val="1"/>
                <w:color w:val="auto"/>
              </w:rPr>
            </w:pPr>
          </w:p>
        </w:tc>
      </w:tr>
      <w:tr>
        <w:trPr>
          <w:trHeight w:val="25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3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4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3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13335</wp:posOffset>
            </wp:positionV>
            <wp:extent cx="2100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6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7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43"/>
        </w:trPr>
        <w:tc>
          <w:tcPr>
            <w:tcW w:w="7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7"/>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6"/>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243"/>
        </w:trPr>
        <w:tc>
          <w:tcPr>
            <w:tcW w:w="8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8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6"/>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7"/>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7"/>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2025 and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378,858</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424,470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45,612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29,314</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27,199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September 30, 2026 increased by $45.6 million, or 12%, to $424.5 million from $378.9 million for the three months ended September 30, 2025. Recurring and other revenue increased primarily as a result of incremental revenues from new and existing clients due to the strong performance by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September 30, 2026 decreased by $2.1 million, or 7%, to $27.2 million from $29.3 million for the three months ended September 30, 2025. Interest income on funds held for clients decreased due to lower interest rates partially offset by higher average daily balances of funds held for new and existing clients as compared to the prior fiscal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128,380</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147,568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19,188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2026 increased by $19.2 million, or 15%, to $147.6 million from $128.4 million for the three months ended September 30, 2025. Cost of revenues increased primarily as a result of the continued growth of our business, in particular, $14.3 million in additional employee-related costs, which were partially offset by $1.6 million in additional contract cost deferrals and $1.6 million in lower deferred contract cost amortization attributable to the extension of the amortization period of such deferrals from 7 years to 8 years effective June 30, 2026. The increase is also the result of $5.5 million in additional processing and delivery-related costs. Gross margin decreased from 69% for the three months ended September 30, 2025 to 67% for the three months ended September 30,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96,368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101,132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4,764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2026 increased by $4.8 million, or 5%, to $101.1 million from $96.4 million for the three months ended September 30, 2025. The increase in sales and marketing expense was primarily due to $7.6 million of additional employee-related costs, which was partially offset by $3.1 million in additional contract cost deferrals and $2.3 million in lower deferred contract cost amortization attributable to the extension of the amortization period of such deferrals from 7 years to 8 years effective June 30,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55,607</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59,036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3,429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20" w:firstLine="648"/>
        <w:spacing w:after="0" w:line="297"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2026 increased by $3.4 million, or 6%, to $59.0 million from $55.6 million for the three months ended September 30, 2025. The increase in research and development expenses was primarily due to $7.1 million of</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additional employee-related costs related to additional development personnel partially offset by $5.3 million higher capitalization of employee-related internal-use software costs.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53,606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61,727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60" w:firstLine="648"/>
        <w:spacing w:after="0" w:line="273"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2026 increased by $8.1 million, or 15%, to $61.7 million from $53.6 million for the three months ended September 30, 2025. General and administrative expenses increased primarily due to $4.2 million in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and $2.1 million in additional employee-related costs during the three months ended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for the three months ended September 30, 2026 was not materially different as compared to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17"/>
          <w:szCs w:val="17"/>
          <w:color w:val="auto"/>
        </w:rPr>
        <w:t>Our effective tax rate was 35.9% and 30.2% for the three months ended September 30, 2025 and 2026, respectively. Our effective tax rate for the three months ended September 30, 2025 was higher than the federal statutory rate of 21% primarily due to stock-based compensation shortfalls realized, state and local income taxes and an increase in the valuation allowance. Our effective tax rate for the three months ended September 30, 2026 was higher</w:t>
      </w:r>
    </w:p>
    <w:p>
      <w:pPr>
        <w:ind w:right="1660"/>
        <w:spacing w:after="0" w:line="453" w:lineRule="auto"/>
        <w:rPr>
          <w:sz w:val="20"/>
          <w:szCs w:val="20"/>
          <w:color w:val="auto"/>
        </w:rPr>
      </w:pPr>
      <w:r>
        <w:rPr>
          <w:rFonts w:ascii="Times New Roman" w:cs="Times New Roman" w:eastAsia="Times New Roman" w:hAnsi="Times New Roman"/>
          <w:sz w:val="18"/>
          <w:szCs w:val="18"/>
          <w:color w:val="auto"/>
        </w:rPr>
        <w:t xml:space="preserve">than the federal statutory rate of 21% primarily due to stock-based compensation shortfalls realized and state and local income taxes. </w:t>
      </w:r>
      <w:r>
        <w:rPr>
          <w:rFonts w:ascii="Times New Roman" w:cs="Times New Roman" w:eastAsia="Times New Roman" w:hAnsi="Times New Roman"/>
          <w:sz w:val="18"/>
          <w:szCs w:val="18"/>
          <w:b w:val="1"/>
          <w:bCs w:val="1"/>
          <w:color w:val="auto"/>
        </w:rPr>
        <w:t>Quarterly Trends and Seasonality</w:t>
      </w:r>
    </w:p>
    <w:p>
      <w:pPr>
        <w:spacing w:after="0" w:line="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3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There have been no material changes in our critical accounting policies and use of estimates from the information provided in Item 7 of our audited consolidated financial statements for the year ended June 30, 2026 included in our Annual Report on Form 10-K filed with the SEC on August 5, 2026.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September 30, 2026, our principal source of liquidity was $194.5 million of cash and cash equivalents. In September 2026, we entered into an amended and restated revolving credit agreement, which replaced our previous credit agreement. The amended and restated credit agreement provides for a $1,750.0 million revolving credit facility, which may be increased up to $2,625.0 million. At June 30, 2026, we had $81.3 million in outstanding borrowings under the credit facility. During the three months ended September 30, 2026, we borrowed $50.0 million to fund share repurchases as discussed further below. Consequently, we had $131.3 million in outstanding borrowings under this credit facility at September 30, 2026. Refer to Note 8 of the Notes to the Unaudited Consolidated Financial Statements for additional details on the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$500.0 million of our common stock (the "Repurchase Program"). In July</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2025 and April 2026, our board of directors approved $500.0 million and $1.0 billion increases, respectively, to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the three months ended September 30, 2026, we repurchased an aggregate of 1.1 million shares for approximately $152.5 million at an average cost per share of $138.66 under the Repurchase Program. As of September 30, 2026, approximately $1,149.8 million remains authorized for repurchases under the Repurchase Program.</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bonds, asset-backed securities, certificates of deposit, U.S. treasury securities, and other securities with credit quality ratings of A-1 or higher as well as in money market funds. As of September 30, 2026, we did not have any corporate investments classified as available-for-sale securities.</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HCM and payroll services via ACH transactions at the same time we debit the client’s account for payroll and payroll tax obligations and thus are able to reduce collectability and accounts receivable risks.</w:t>
      </w:r>
    </w:p>
    <w:p>
      <w:pPr>
        <w:spacing w:after="0" w:line="15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our current cash and cash equivalents, future cash flow from operations, and access to our credit facility will be sufficient to meet our ongoing working capital, capital expenditure, share repurchase and other liquidity requirements for at least the next 12 months, and thereafter, for the foreseeable future.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r>
      <w:tr>
        <w:trPr>
          <w:trHeight w:val="24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7"/>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(152,495)</w:t>
            </w: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(13,612)</w:t>
            </w:r>
          </w:p>
        </w:tc>
      </w:tr>
      <w:tr>
        <w:trPr>
          <w:trHeight w:val="24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37"/>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(229,692)</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(430,197)</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(160,929)</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(381,091)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$86.5 million and $79.7 million for the three months ended September 30, 2025 and 2026, respectively. The change in net cash provided by operating activities from the three months ended September 30, 2025 to the three months ended September 30, 2026 was primarily driven by changes in operating assets and liabilities and lower income tax payments resulting from the provisions of the One Big Beautiful Bill Act during the three months ended September 30, 2025, partially offset by improved operating results after adjusting for non-cash items including stock-based compensation expense, depreciation and amortization expense and deferred income tax expense (benefit) during the three months ended September 30, 2026 as compared to the three months ended September 30,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$17.7 million and $30.6 million for the three months ended September 30, 2025 and 2026,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a $26.4 million decrease in proceeds from the sales and maturities of available-for-sale securities and $10.6 million paid for acquisitions, net of cash acquired, partially offset by a $30.5 million decrease in purchases of available-for-sale securities during the three months ended September 30, 2026 as compared to the three months ended September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$229.7 million and $430.2 million for the three months ended September 30, 2025 and 2026, respectively. The change in net cash used in financing activities was primarily due to the net change in client fund obligations of $380.0 million due to the timing of client funds collected and related remittance of those funds to client employees and taxing authorities. This was partially offset by an $81.3</w:t>
      </w:r>
    </w:p>
    <w:p>
      <w:pPr>
        <w:ind w:right="200"/>
        <w:spacing w:after="0" w:line="282" w:lineRule="auto"/>
        <w:rPr>
          <w:sz w:val="20"/>
          <w:szCs w:val="20"/>
          <w:color w:val="auto"/>
        </w:rPr>
      </w:pPr>
      <w:r>
        <w:rPr>
          <w:rFonts w:ascii="Times New Roman" w:cs="Times New Roman" w:eastAsia="Times New Roman" w:hAnsi="Times New Roman"/>
          <w:sz w:val="18"/>
          <w:szCs w:val="18"/>
          <w:color w:val="auto"/>
        </w:rPr>
        <w:t>million repayment of borrowings under our credit facility during the three months ended September 30, 2025, and $50.0 million of borrowings under our credit facility and $47.5 million of lower share repurchases during the three months ended September 30,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right="400" w:firstLine="648"/>
        <w:spacing w:after="0" w:line="289" w:lineRule="auto"/>
        <w:rPr>
          <w:sz w:val="20"/>
          <w:szCs w:val="20"/>
          <w:color w:val="auto"/>
        </w:rPr>
      </w:pPr>
      <w:r>
        <w:rPr>
          <w:rFonts w:ascii="Times New Roman" w:cs="Times New Roman" w:eastAsia="Times New Roman" w:hAnsi="Times New Roman"/>
          <w:sz w:val="17"/>
          <w:szCs w:val="17"/>
          <w:color w:val="auto"/>
        </w:rPr>
        <w:t>At September 30, 2026, our principal commitments consisted of $131.3 million in borrowings on our revolving credit facility, which is contractually not due in the next twelve months, and related interest payments, as well as $64.8 million in operating lease obligations, of which $12.1 million is due in the next twelve months. We also had $131.6 million in purchase obligations, of which $69.6 million is due in the next twelve months.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$3.8 million and $3.1 million for the three months ended September 30, 2025 and 2026, respectively, exclusive of capitalized internal-use software costs of $15.5 million and $20.5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5, 2026 for risks related to our business.</w:t>
      </w:r>
    </w:p>
    <w:p>
      <w:pPr>
        <w:spacing w:after="0" w:line="13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$194.5 million and funds held for clients of $2,888.6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bonds, asset-backed securities, certificates of deposit, U.S. treasury securities, and other securities, as well as in money market funds.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$14.2 million as of September 30, 2026.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$14.7 million as of September 30, 2026.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12529"/>
        </w:rPr>
        <w:t xml:space="preserve">Additionally, as described in </w:t>
      </w:r>
      <w:r>
        <w:rPr>
          <w:rFonts w:ascii="Times New Roman" w:cs="Times New Roman" w:eastAsia="Times New Roman" w:hAnsi="Times New Roman"/>
          <w:sz w:val="17"/>
          <w:szCs w:val="17"/>
          <w:color w:val="000000"/>
        </w:rPr>
        <w:t>Note 8 of the Notes to the Unaudited Consolidated Financial Statements,</w:t>
      </w:r>
      <w:r>
        <w:rPr>
          <w:rFonts w:ascii="Times New Roman" w:cs="Times New Roman" w:eastAsia="Times New Roman" w:hAnsi="Times New Roman"/>
          <w:sz w:val="17"/>
          <w:szCs w:val="17"/>
          <w:color w:val="212529"/>
        </w:rPr>
        <w:t xml:space="preserve"> we maintain an amended and restated credit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agreement that provides for a revolving credit facility (“credit facility”) in the aggregate amount of </w:t>
      </w:r>
      <w:r>
        <w:rPr>
          <w:rFonts w:ascii="Times New Roman" w:cs="Times New Roman" w:eastAsia="Times New Roman" w:hAnsi="Times New Roman"/>
          <w:sz w:val="18"/>
          <w:szCs w:val="18"/>
          <w:color w:val="000000"/>
        </w:rPr>
        <w:t>$1,750.0</w:t>
      </w:r>
      <w:r>
        <w:rPr>
          <w:rFonts w:ascii="Times New Roman" w:cs="Times New Roman" w:eastAsia="Times New Roman" w:hAnsi="Times New Roman"/>
          <w:sz w:val="18"/>
          <w:szCs w:val="18"/>
          <w:color w:val="212529"/>
        </w:rPr>
        <w:t xml:space="preserve"> million, which may be increased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$2,625.0 </w:t>
      </w:r>
      <w:r>
        <w:rPr>
          <w:rFonts w:ascii="Times New Roman" w:cs="Times New Roman" w:eastAsia="Times New Roman" w:hAnsi="Times New Roman"/>
          <w:sz w:val="18"/>
          <w:szCs w:val="18"/>
          <w:color w:val="212529"/>
        </w:rPr>
        <w:t>million. Borrowings under the credit facility generally bear interest at a rate based upon the Term Secured Overnight Financing Rate (“SOFR”)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an adjusted base rate plus an applicable margin based on our then-applicable net total leverage ratio. As of </w:t>
      </w:r>
      <w:r>
        <w:rPr>
          <w:rFonts w:ascii="Times New Roman" w:cs="Times New Roman" w:eastAsia="Times New Roman" w:hAnsi="Times New Roman"/>
          <w:sz w:val="18"/>
          <w:szCs w:val="18"/>
          <w:color w:val="000000"/>
        </w:rPr>
        <w:t>September 30, 2026</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$131.3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borrowings outstanding under our credit facility. </w:t>
      </w:r>
      <w:r>
        <w:rPr>
          <w:rFonts w:ascii="Times New Roman" w:cs="Times New Roman" w:eastAsia="Times New Roman" w:hAnsi="Times New Roman"/>
          <w:sz w:val="18"/>
          <w:szCs w:val="18"/>
          <w:color w:val="212529"/>
        </w:rPr>
        <w:t>Because interest rates applicable to the credit facility are variable, we are exposed to market risk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changes in the underlying index rates, which affects our interest expense. A hypothetical change of 100 basis points in interest rates would not have had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significant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September 30, 2026,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2026 filed with the SEC on August 5,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Company’s purchases of its common stock during the three months ended September 30,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2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20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Yet Be Purchased Under</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 (1)</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the Plans or Programs (2)</w:t>
            </w:r>
          </w:p>
        </w:tc>
        <w:tc>
          <w:tcPr>
            <w:tcW w:w="0" w:type="dxa"/>
            <w:vAlign w:val="bottom"/>
          </w:tcPr>
          <w:p>
            <w:pPr>
              <w:spacing w:after="0"/>
              <w:rPr>
                <w:sz w:val="1"/>
                <w:szCs w:val="1"/>
                <w:color w:val="auto"/>
              </w:rPr>
            </w:pPr>
          </w:p>
        </w:tc>
      </w:tr>
      <w:tr>
        <w:trPr>
          <w:trHeight w:val="26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 July 31, 2026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10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1,277,249,942</w:t>
            </w:r>
          </w:p>
        </w:tc>
        <w:tc>
          <w:tcPr>
            <w:tcW w:w="0" w:type="dxa"/>
            <w:vAlign w:val="bottom"/>
          </w:tcPr>
          <w:p>
            <w:pPr>
              <w:spacing w:after="0"/>
              <w:rPr>
                <w:sz w:val="1"/>
                <w:szCs w:val="1"/>
                <w:color w:val="auto"/>
              </w:rPr>
            </w:pPr>
          </w:p>
        </w:tc>
      </w:tr>
      <w:tr>
        <w:trPr>
          <w:trHeight w:val="27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1,266,255,227</w:t>
            </w: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 September 30,</w:t>
            </w: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807,309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1,149,754,007</w:t>
            </w:r>
          </w:p>
        </w:tc>
        <w:tc>
          <w:tcPr>
            <w:tcW w:w="0" w:type="dxa"/>
            <w:vAlign w:val="bottom"/>
          </w:tcPr>
          <w:p>
            <w:pPr>
              <w:spacing w:after="0"/>
              <w:rPr>
                <w:sz w:val="1"/>
                <w:szCs w:val="1"/>
                <w:color w:val="auto"/>
              </w:rPr>
            </w:pPr>
          </w:p>
        </w:tc>
      </w:tr>
      <w:tr>
        <w:trPr>
          <w:trHeight w:val="237"/>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excludes excise taxes payable on shares repurchased.</w:t>
      </w:r>
    </w:p>
    <w:p>
      <w:pPr>
        <w:spacing w:after="0" w:line="225" w:lineRule="exact"/>
        <w:rPr>
          <w:rFonts w:ascii="Times New Roman" w:cs="Times New Roman" w:eastAsia="Times New Roman" w:hAnsi="Times New Roman"/>
          <w:sz w:val="18"/>
          <w:szCs w:val="18"/>
          <w:color w:val="auto"/>
        </w:rPr>
      </w:pPr>
    </w:p>
    <w:p>
      <w:pPr>
        <w:ind w:right="100" w:firstLine="8"/>
        <w:spacing w:after="0" w:line="261"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the Company's board of directors approved a share repurchase program (the “Repurchase Program”) under which we are authorized to purchase (in the aggregate) up to $500 million of our issued and outstanding common stock at such times and prices that management deems to be appropriate. In July 2025 and April 2026, the Company's board of directors approved $500 million and $1 billion increases, respectively, to the Repurchase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following directors and/or officers (as defined in Rule 16a-1(f)) adopted a “Rule 10b5-1 trading arrangement,” as defined in Item 408(a) of Regulation S-K intending to satisfy the affirmative defense conditions of Rule 10b5-1(c):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00" w:type="dxa"/>
            <w:vAlign w:val="bottom"/>
            <w:vMerge w:val="restart"/>
          </w:tcPr>
          <w:p>
            <w:pPr>
              <w:spacing w:after="0"/>
              <w:rPr>
                <w:sz w:val="17"/>
                <w:szCs w:val="17"/>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Total Shares of Common</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Duration</w:t>
            </w:r>
            <w:r>
              <w:rPr>
                <w:rFonts w:ascii="Times New Roman" w:cs="Times New Roman" w:eastAsia="Times New Roman" w:hAnsi="Times New Roman"/>
                <w:sz w:val="23"/>
                <w:szCs w:val="23"/>
                <w:b w:val="1"/>
                <w:bCs w:val="1"/>
                <w:color w:val="auto"/>
                <w:vertAlign w:val="superscript"/>
              </w:rPr>
              <w:t>(2)</w:t>
            </w:r>
          </w:p>
        </w:tc>
        <w:tc>
          <w:tcPr>
            <w:tcW w:w="100" w:type="dxa"/>
            <w:vAlign w:val="bottom"/>
            <w:vMerge w:val="restart"/>
          </w:tcPr>
          <w:p>
            <w:pPr>
              <w:spacing w:after="0"/>
              <w:rPr>
                <w:sz w:val="17"/>
                <w:szCs w:val="17"/>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00" w:type="dxa"/>
            <w:vAlign w:val="bottom"/>
            <w:vMerge w:val="restart"/>
          </w:tcPr>
          <w:p>
            <w:pPr>
              <w:spacing w:after="0"/>
              <w:rPr>
                <w:sz w:val="17"/>
                <w:szCs w:val="17"/>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9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rPr>
              <w:t>Stock to be Sold</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Cappotelli</w:t>
            </w: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of Operations and</w:t>
            </w: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November 27, 2026 -</w:t>
            </w: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Client Officer</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Up to 23,175</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November 19, 2027</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28,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19, 2027</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Glenn</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December 1, 2026 -</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Up to 27,855</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22, 2027</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1, 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22, 2027</w:t>
            </w: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Melissa King</w:t>
            </w: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of Product and</w:t>
            </w: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14, 2026 -</w:t>
            </w: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Technology and Chief Product and</w:t>
            </w: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gridSpan w:val="2"/>
            <w:vMerge w:val="continue"/>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Officer</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Up to 20,742</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23, 2027</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14,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23, 2027</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Nicholas Rost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27, 2026 -</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Treasurer</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Up to 4,740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23, 2027</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28, 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23, 2027</w:t>
            </w: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Scutt</w:t>
            </w: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of Sales and</w:t>
            </w: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19, 2027 -</w:t>
            </w: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Chief Sales Officer</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Up to 22,565</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25, 2027</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3,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25, 2027</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hanging="652"/>
        <w:spacing w:after="0" w:line="222"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shares subject to certain outstanding equity awards with time- and/or performance-based vesting conditions. The number of shares that will be sold may be determined, in part, based on pricing triggers outlined in the adopting person's trading arrangement. For shares subject to performance-based vesting conditions, the number of shares included in the table above assumes the target achievement of the performance-based conditions. Additionally, for both time- and performance-based vesting awards, the actual number of shares that may be sold will be net of the number of shares withheld by the Company to satisfy tax withholding obligations arising from the vesting of such awards, which is not determinable at this time.</w:t>
      </w:r>
    </w:p>
    <w:p>
      <w:pPr>
        <w:spacing w:after="0" w:line="13" w:lineRule="exact"/>
        <w:rPr>
          <w:rFonts w:ascii="Times New Roman" w:cs="Times New Roman" w:eastAsia="Times New Roman" w:hAnsi="Times New Roman"/>
          <w:sz w:val="23"/>
          <w:szCs w:val="23"/>
          <w:color w:val="auto"/>
          <w:vertAlign w:val="superscript"/>
        </w:rPr>
      </w:pPr>
    </w:p>
    <w:p>
      <w:pPr>
        <w:ind w:left="660" w:right="20" w:hanging="652"/>
        <w:spacing w:after="0" w:line="215" w:lineRule="auto"/>
        <w:tabs>
          <w:tab w:leader="none" w:pos="265"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spacing w:after="0" w:line="32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60" w:type="dxa"/>
            <w:vAlign w:val="bottom"/>
            <w:gridSpan w:val="11"/>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20" w:type="dxa"/>
            <w:vAlign w:val="bottom"/>
            <w:gridSpan w:val="14"/>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2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8-K on December 4, 2023 (File No. 001-36348)).</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gridSpan w:val="14"/>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Third Amended and Restated Bylaws of Paylocity Holding Corporation (filed as Exhibit 3.2 of Paylocity Holding Corporation’s Current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77"/>
        </w:trPr>
        <w:tc>
          <w:tcPr>
            <w:tcW w:w="440" w:type="dxa"/>
            <w:vAlign w:val="bottom"/>
            <w:gridSpan w:val="4"/>
          </w:tcPr>
          <w:p>
            <w:pPr>
              <w:ind w:left="20"/>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gridSpan w:val="14"/>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Revolving Credit Agreement, dated as of September 17, 2026, by and among Paylocity Holding Corporation,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the Guarantors party thereto, the Lenders party thereto and PNC Bank, National Association, as Administrative Agent(filed as Exhibit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20" w:type="dxa"/>
            <w:vAlign w:val="bottom"/>
            <w:gridSpan w:val="12"/>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Paylocity Holding Corporation's Current Report on Form 8-K on September 17, 2026).</w:t>
              </w:r>
            </w:hyperlink>
          </w:p>
        </w:tc>
        <w:tc>
          <w:tcPr>
            <w:tcW w:w="200" w:type="dxa"/>
            <w:vAlign w:val="bottom"/>
            <w:gridSpan w:val="2"/>
          </w:tcPr>
          <w:p>
            <w:pPr>
              <w:spacing w:after="0"/>
              <w:rPr>
                <w:sz w:val="13"/>
                <w:szCs w:val="13"/>
                <w:color w:val="auto"/>
              </w:rPr>
            </w:pPr>
          </w:p>
        </w:tc>
      </w:tr>
      <w:tr>
        <w:trPr>
          <w:trHeight w:val="20"/>
        </w:trPr>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13a-14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20" w:type="dxa"/>
            <w:vAlign w:val="bottom"/>
            <w:gridSpan w:val="3"/>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13a-14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8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40" w:type="dxa"/>
            <w:vAlign w:val="bottom"/>
            <w:gridSpan w:val="4"/>
          </w:tcPr>
          <w:p>
            <w:pPr>
              <w:spacing w:after="0"/>
              <w:rPr>
                <w:sz w:val="14"/>
                <w:szCs w:val="14"/>
                <w:color w:val="auto"/>
              </w:rPr>
            </w:pPr>
          </w:p>
        </w:tc>
      </w:tr>
      <w:tr>
        <w:trPr>
          <w:trHeight w:val="20"/>
        </w:trPr>
        <w:tc>
          <w:tcPr>
            <w:tcW w:w="5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277"/>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3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480" w:type="dxa"/>
            <w:vAlign w:val="bottom"/>
            <w:gridSpan w:val="7"/>
          </w:tcPr>
          <w:p>
            <w:pPr>
              <w:spacing w:after="0"/>
              <w:rPr>
                <w:sz w:val="14"/>
                <w:szCs w:val="14"/>
                <w:color w:val="auto"/>
              </w:rPr>
            </w:pPr>
          </w:p>
        </w:tc>
      </w:tr>
      <w:tr>
        <w:trPr>
          <w:trHeight w:val="20"/>
        </w:trPr>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60" w:type="dxa"/>
            <w:vAlign w:val="bottom"/>
            <w:gridSpan w:val="5"/>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r>
      <w:tr>
        <w:trPr>
          <w:trHeight w:val="277"/>
        </w:trPr>
        <w:tc>
          <w:tcPr>
            <w:tcW w:w="12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8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8"/>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300" w:type="dxa"/>
            <w:vAlign w:val="bottom"/>
            <w:gridSpan w:val="13"/>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3"/>
                <w:szCs w:val="23"/>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7"/>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97"/>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7"/>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97"/>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97"/>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80" w:lineRule="exact"/>
        <w:rPr>
          <w:sz w:val="20"/>
          <w:szCs w:val="20"/>
          <w:color w:val="auto"/>
        </w:rPr>
      </w:pPr>
    </w:p>
    <w:p>
      <w:pPr>
        <w:ind w:left="560" w:hanging="534"/>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560" w:hanging="534"/>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9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2026</w:t>
            </w: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37"/>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9"/>
        </w:trPr>
        <w:tc>
          <w:tcPr>
            <w:tcW w:w="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40" w:type="dxa"/>
            <w:vAlign w:val="bottom"/>
          </w:tcPr>
          <w:p>
            <w:pPr>
              <w:ind w:left="1800"/>
              <w:spacing w:after="0" w:line="189"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w:t>
            </w:r>
          </w:p>
        </w:tc>
      </w:tr>
      <w:tr>
        <w:trPr>
          <w:trHeight w:val="238"/>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2026</w:t>
            </w: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37"/>
        </w:trPr>
        <w:tc>
          <w:tcPr>
            <w:tcW w:w="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243"/>
        </w:trPr>
        <w:tc>
          <w:tcPr>
            <w:tcW w:w="5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5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r>
        <w:trPr>
          <w:trHeight w:val="904"/>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34</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36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ectPr>
          <w:pgSz w:w="11900" w:h="16838" w:orient="portrait"/>
          <w:cols w:equalWidth="0" w:num="1">
            <w:col w:w="11240"/>
          </w:cols>
          <w:pgMar w:left="320" w:top="36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2026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September 30, 2026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Letter"/>
      <w:start w:val="3"/>
    </w:lvl>
  </w:abstractNum>
  <w:abstractNum w:abstractNumId="5">
    <w:nsid w:val="66EF438D"/>
    <w:multiLevelType w:val="hybridMultilevel"/>
    <w:lvl w:ilvl="0">
      <w:lvlJc w:val="left"/>
      <w:lvlText w:val="(%1)"/>
      <w:numFmt w:val="lowerLetter"/>
      <w:start w:val="4"/>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7" Type="http://schemas.openxmlformats.org/officeDocument/2006/relationships/hyperlink" Target="https://www.sec.gov/Archives/edgar/data/1591698/000159169823000278/pcty-20231130xexhibit31.htm" TargetMode="External"/><Relationship Id="rId78" Type="http://schemas.openxmlformats.org/officeDocument/2006/relationships/hyperlink" Target="https://www.sec.gov/Archives/edgar/data/1591698/000159169823000278/pcty-20231130xexhibit32.htm" TargetMode="External"/><Relationship Id="rId79" Type="http://schemas.openxmlformats.org/officeDocument/2006/relationships/hyperlink" Target="https://www.sec.gov/Archives/edgar/data/1591698/000159169826000131/pcty-202609178k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2026-11-06T09:07:03Z</dcterms:created>
  <dcterms:modified xsi:type="dcterms:W3CDTF">2026-11-06T09:07:03Z</dcterms:modified>
</cp:coreProperties>
</file>