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PAYLOCITY HOLDING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jc w:val="center"/>
              <w:ind w:left="154"/>
              <w:spacing w:after="0"/>
              <w:rPr>
                <w:sz w:val="20"/>
                <w:szCs w:val="20"/>
                <w:color w:val="auto"/>
              </w:rPr>
            </w:pPr>
            <w:r>
              <w:rPr>
                <w:rFonts w:ascii="Arial" w:cs="Arial" w:eastAsia="Arial" w:hAnsi="Arial"/>
                <w:sz w:val="18"/>
                <w:szCs w:val="18"/>
                <w:b w:val="1"/>
                <w:bCs w:val="1"/>
                <w:color w:val="auto"/>
                <w:w w:val="91"/>
              </w:rPr>
              <w:t>Delaware</w:t>
            </w:r>
          </w:p>
        </w:tc>
        <w:tc>
          <w:tcPr>
            <w:tcW w:w="412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0"/>
              </w:rPr>
              <w:t>001-36348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jc w:val="center"/>
              <w:ind w:right="134"/>
              <w:spacing w:after="0"/>
              <w:rPr>
                <w:sz w:val="20"/>
                <w:szCs w:val="20"/>
                <w:color w:val="auto"/>
              </w:rPr>
            </w:pPr>
            <w:r>
              <w:rPr>
                <w:rFonts w:ascii="Arial" w:cs="Arial" w:eastAsia="Arial" w:hAnsi="Arial"/>
                <w:sz w:val="18"/>
                <w:szCs w:val="18"/>
                <w:b w:val="1"/>
                <w:bCs w:val="1"/>
                <w:color w:val="auto"/>
                <w:w w:val="91"/>
              </w:rPr>
              <w:t>46-4066644</w:t>
            </w:r>
          </w:p>
        </w:tc>
      </w:tr>
      <w:tr>
        <w:trPr>
          <w:trHeight w:val="216"/>
        </w:trPr>
        <w:tc>
          <w:tcPr>
            <w:tcW w:w="3440" w:type="dxa"/>
            <w:vAlign w:val="bottom"/>
          </w:tcPr>
          <w:p>
            <w:pPr>
              <w:jc w:val="center"/>
              <w:ind w:left="154"/>
              <w:spacing w:after="0"/>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gridSpan w:val="3"/>
          </w:tcPr>
          <w:p>
            <w:pPr>
              <w:jc w:val="center"/>
              <w:ind w:right="440"/>
              <w:spacing w:after="0"/>
              <w:rPr>
                <w:sz w:val="20"/>
                <w:szCs w:val="20"/>
                <w:color w:val="auto"/>
              </w:rPr>
            </w:pPr>
            <w:r>
              <w:rPr>
                <w:rFonts w:ascii="Arial" w:cs="Arial" w:eastAsia="Arial" w:hAnsi="Arial"/>
                <w:sz w:val="18"/>
                <w:szCs w:val="18"/>
                <w:color w:val="auto"/>
                <w:w w:val="92"/>
              </w:rPr>
              <w:t>(Commission File Number)</w:t>
            </w:r>
          </w:p>
        </w:tc>
        <w:tc>
          <w:tcPr>
            <w:tcW w:w="3420" w:type="dxa"/>
            <w:vAlign w:val="bottom"/>
          </w:tcPr>
          <w:p>
            <w:pPr>
              <w:jc w:val="center"/>
              <w:ind w:right="134"/>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440" w:type="dxa"/>
            <w:vAlign w:val="bottom"/>
          </w:tcPr>
          <w:p>
            <w:pPr>
              <w:jc w:val="center"/>
              <w:ind w:left="154"/>
              <w:spacing w:after="0"/>
              <w:rPr>
                <w:sz w:val="20"/>
                <w:szCs w:val="20"/>
                <w:color w:val="auto"/>
              </w:rPr>
            </w:pPr>
            <w:r>
              <w:rPr>
                <w:rFonts w:ascii="Arial" w:cs="Arial" w:eastAsia="Arial" w:hAnsi="Arial"/>
                <w:sz w:val="18"/>
                <w:szCs w:val="18"/>
                <w:color w:val="auto"/>
                <w:w w:val="93"/>
              </w:rPr>
              <w:t>Incorporation)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jc w:val="center"/>
              <w:ind w:right="134"/>
              <w:spacing w:after="0"/>
              <w:rPr>
                <w:sz w:val="20"/>
                <w:szCs w:val="20"/>
                <w:color w:val="auto"/>
              </w:rPr>
            </w:pPr>
            <w:r>
              <w:rPr>
                <w:rFonts w:ascii="Arial" w:cs="Arial" w:eastAsia="Arial" w:hAnsi="Arial"/>
                <w:sz w:val="18"/>
                <w:szCs w:val="18"/>
                <w:color w:val="auto"/>
                <w:w w:val="91"/>
              </w:rPr>
              <w:t>Number)</w:t>
            </w:r>
          </w:p>
        </w:tc>
      </w:tr>
      <w:tr>
        <w:trPr>
          <w:trHeight w:val="414"/>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1400 American Lane</w:t>
            </w:r>
          </w:p>
        </w:tc>
        <w:tc>
          <w:tcPr>
            <w:tcW w:w="3420" w:type="dxa"/>
            <w:vAlign w:val="bottom"/>
          </w:tcPr>
          <w:p>
            <w:pPr>
              <w:spacing w:after="0"/>
              <w:rPr>
                <w:sz w:val="24"/>
                <w:szCs w:val="24"/>
                <w:color w:val="auto"/>
              </w:rPr>
            </w:pPr>
          </w:p>
        </w:tc>
      </w:tr>
      <w:tr>
        <w:trPr>
          <w:trHeight w:val="220"/>
        </w:trPr>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Schaumburg, Illinois, 60173</w:t>
            </w:r>
          </w:p>
        </w:tc>
        <w:tc>
          <w:tcPr>
            <w:tcW w:w="342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4560" w:type="dxa"/>
            <w:vAlign w:val="bottom"/>
            <w:gridSpan w:val="5"/>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420" w:type="dxa"/>
            <w:vAlign w:val="bottom"/>
          </w:tcPr>
          <w:p>
            <w:pPr>
              <w:spacing w:after="0"/>
              <w:rPr>
                <w:sz w:val="20"/>
                <w:szCs w:val="20"/>
                <w:color w:val="auto"/>
              </w:rPr>
            </w:pPr>
          </w:p>
        </w:tc>
      </w:tr>
      <w:tr>
        <w:trPr>
          <w:trHeight w:val="418"/>
        </w:trPr>
        <w:tc>
          <w:tcPr>
            <w:tcW w:w="3440" w:type="dxa"/>
            <w:vAlign w:val="bottom"/>
          </w:tcPr>
          <w:p>
            <w:pPr>
              <w:spacing w:after="0"/>
              <w:rPr>
                <w:sz w:val="24"/>
                <w:szCs w:val="24"/>
                <w:color w:val="auto"/>
              </w:rPr>
            </w:pPr>
          </w:p>
        </w:tc>
        <w:tc>
          <w:tcPr>
            <w:tcW w:w="412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0"/>
              </w:rPr>
              <w:t>(847) 463-3200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(Registrant’s telephone number, including area code)</w:t>
            </w:r>
          </w:p>
        </w:tc>
        <w:tc>
          <w:tcPr>
            <w:tcW w:w="3420" w:type="dxa"/>
            <w:vAlign w:val="bottom"/>
          </w:tcPr>
          <w:p>
            <w:pPr>
              <w:spacing w:after="0"/>
              <w:rPr>
                <w:sz w:val="20"/>
                <w:szCs w:val="20"/>
                <w:color w:val="auto"/>
              </w:rPr>
            </w:pPr>
          </w:p>
        </w:tc>
      </w:tr>
      <w:tr>
        <w:trPr>
          <w:trHeight w:val="418"/>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Not Applicable</w:t>
            </w:r>
          </w:p>
        </w:tc>
        <w:tc>
          <w:tcPr>
            <w:tcW w:w="342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3420" w:type="dxa"/>
            <w:vAlign w:val="bottom"/>
          </w:tcPr>
          <w:p>
            <w:pPr>
              <w:spacing w:after="0"/>
              <w:rPr>
                <w:sz w:val="20"/>
                <w:szCs w:val="20"/>
                <w:color w:val="auto"/>
              </w:rPr>
            </w:pPr>
          </w:p>
        </w:tc>
      </w:tr>
      <w:tr>
        <w:trPr>
          <w:trHeight w:val="432"/>
        </w:trPr>
        <w:tc>
          <w:tcPr>
            <w:tcW w:w="3440" w:type="dxa"/>
            <w:vAlign w:val="bottom"/>
          </w:tcPr>
          <w:p>
            <w:pPr>
              <w:spacing w:after="0"/>
              <w:rPr>
                <w:sz w:val="24"/>
                <w:szCs w:val="24"/>
                <w:color w:val="auto"/>
              </w:rPr>
            </w:pPr>
          </w:p>
        </w:tc>
        <w:tc>
          <w:tcPr>
            <w:tcW w:w="4560" w:type="dxa"/>
            <w:vAlign w:val="bottom"/>
            <w:gridSpan w:val="5"/>
          </w:tcPr>
          <w:p>
            <w:pPr>
              <w:jc w:val="center"/>
              <w:ind w:right="2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20" w:type="dxa"/>
            <w:vAlign w:val="bottom"/>
          </w:tcPr>
          <w:p>
            <w:pPr>
              <w:spacing w:after="0"/>
              <w:rPr>
                <w:sz w:val="24"/>
                <w:szCs w:val="24"/>
                <w:color w:val="auto"/>
              </w:rPr>
            </w:pPr>
          </w:p>
        </w:tc>
      </w:tr>
      <w:tr>
        <w:trPr>
          <w:trHeight w:val="365"/>
        </w:trPr>
        <w:tc>
          <w:tcPr>
            <w:tcW w:w="3440" w:type="dxa"/>
            <w:vAlign w:val="bottom"/>
          </w:tcPr>
          <w:p>
            <w:pPr>
              <w:jc w:val="center"/>
              <w:ind w:left="154"/>
              <w:spacing w:after="0"/>
              <w:rPr>
                <w:sz w:val="20"/>
                <w:szCs w:val="20"/>
                <w:color w:val="auto"/>
              </w:rPr>
            </w:pPr>
            <w:r>
              <w:rPr>
                <w:rFonts w:ascii="Arial" w:cs="Arial" w:eastAsia="Arial" w:hAnsi="Arial"/>
                <w:sz w:val="14"/>
                <w:szCs w:val="14"/>
                <w:b w:val="1"/>
                <w:bCs w:val="1"/>
                <w:color w:val="auto"/>
                <w:w w:val="89"/>
              </w:rPr>
              <w:t>Title of each class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Trading Symbol(s)</w:t>
            </w:r>
          </w:p>
        </w:tc>
        <w:tc>
          <w:tcPr>
            <w:tcW w:w="3420" w:type="dxa"/>
            <w:vAlign w:val="bottom"/>
          </w:tcPr>
          <w:p>
            <w:pPr>
              <w:jc w:val="center"/>
              <w:ind w:right="134"/>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440" w:type="dxa"/>
            <w:vAlign w:val="bottom"/>
            <w:tcBorders>
              <w:top w:val="single" w:sz="8" w:color="auto"/>
            </w:tcBorders>
          </w:tcPr>
          <w:p>
            <w:pPr>
              <w:jc w:val="center"/>
              <w:ind w:left="154"/>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PCTY</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420" w:type="dxa"/>
            <w:vAlign w:val="bottom"/>
            <w:tcBorders>
              <w:top w:val="single" w:sz="8" w:color="auto"/>
            </w:tcBorders>
          </w:tcPr>
          <w:p>
            <w:pPr>
              <w:jc w:val="center"/>
              <w:ind w:right="134"/>
              <w:spacing w:after="0"/>
              <w:rPr>
                <w:sz w:val="20"/>
                <w:szCs w:val="20"/>
                <w:color w:val="auto"/>
              </w:rPr>
            </w:pPr>
            <w:r>
              <w:rPr>
                <w:rFonts w:ascii="Arial" w:cs="Arial" w:eastAsia="Arial" w:hAnsi="Arial"/>
                <w:sz w:val="18"/>
                <w:szCs w:val="18"/>
                <w:color w:val="auto"/>
                <w:w w:val="94"/>
              </w:rPr>
              <w:t>The NASDAQ Global Select Market LLC</w:t>
            </w: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Emerging growth company</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On May 2, 2019, Paylocity Holding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issued a press release announcing financial results for the three month period ended March 31, 2019. The press release contains </w:t>
      </w:r>
      <w:r>
        <w:rPr>
          <w:rFonts w:ascii="Arial" w:cs="Arial" w:eastAsia="Arial" w:hAnsi="Arial"/>
          <w:sz w:val="17"/>
          <w:szCs w:val="17"/>
          <w:color w:val="auto"/>
        </w:rPr>
        <w:t>forward-looking statements regarding the Company, and includes cautionary statements identifying important</w:t>
      </w:r>
      <w:r>
        <w:rPr>
          <w:rFonts w:ascii="Arial" w:cs="Arial" w:eastAsia="Arial" w:hAnsi="Arial"/>
          <w:sz w:val="18"/>
          <w:szCs w:val="18"/>
          <w:color w:val="auto"/>
        </w:rPr>
        <w:t xml:space="preserve"> </w:t>
      </w:r>
      <w:r>
        <w:rPr>
          <w:rFonts w:ascii="Arial" w:cs="Arial" w:eastAsia="Arial" w:hAnsi="Arial"/>
          <w:sz w:val="17"/>
          <w:szCs w:val="17"/>
          <w:color w:val="auto"/>
        </w:rPr>
        <w:t>factors that could cause actual results to differ materially from those anticipated.</w:t>
      </w:r>
    </w:p>
    <w:p>
      <w:pPr>
        <w:spacing w:after="0" w:line="18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press release issued May 2, 2019 is furnished herewith as Exhibit 99.1. The information in this Item 2.02, including Exhibit 99.1, is being furnished and shall not be deemed filed for purposes of Section 18 of the Securities Exchange Act of 1934 or otherwise subject to the liability of that Section, nor shall such information be deemed to be incorporated by reference in any registration statement or other document filed under the Securities Act of 1933 or the Securities Exchange Act of 1934, except as otherwise stated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9920" w:type="dxa"/>
            <w:vAlign w:val="bottom"/>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tcPr>
          <w:p>
            <w:pPr>
              <w:jc w:val="right"/>
              <w:ind w:right="4419"/>
              <w:spacing w:after="0"/>
              <w:rPr>
                <w:sz w:val="20"/>
                <w:szCs w:val="20"/>
                <w:color w:val="auto"/>
              </w:rPr>
            </w:pPr>
            <w:r>
              <w:rPr>
                <w:rFonts w:ascii="Arial" w:cs="Arial" w:eastAsia="Arial" w:hAnsi="Arial"/>
                <w:sz w:val="18"/>
                <w:szCs w:val="18"/>
                <w:color w:val="auto"/>
                <w:w w:val="90"/>
              </w:rPr>
              <w:t>Press Release issued by Paylocity Holding Corporation dated May 2, 2019.</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gridSpan w:val="2"/>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54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issued by Paylocity Holding Corporation dated May 2, 2019.</w:t>
              </w:r>
            </w:hyperlink>
          </w:p>
        </w:tc>
        <w:tc>
          <w:tcPr>
            <w:tcW w:w="4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760" w:type="dxa"/>
            <w:vAlign w:val="bottom"/>
            <w:gridSpan w:val="2"/>
          </w:tcPr>
          <w:p>
            <w:pPr>
              <w:jc w:val="right"/>
              <w:ind w:right="1076"/>
              <w:spacing w:after="0"/>
              <w:rPr>
                <w:sz w:val="20"/>
                <w:szCs w:val="20"/>
                <w:color w:val="auto"/>
              </w:rPr>
            </w:pPr>
            <w:r>
              <w:rPr>
                <w:rFonts w:ascii="Arial" w:cs="Arial" w:eastAsia="Arial" w:hAnsi="Arial"/>
                <w:sz w:val="18"/>
                <w:szCs w:val="18"/>
                <w:color w:val="auto"/>
              </w:rPr>
              <w:t>3</w:t>
            </w: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42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PAYLOCITY HOLDING CORPORATION</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May 2, 2019</w:t>
            </w:r>
          </w:p>
        </w:tc>
        <w:tc>
          <w:tcPr>
            <w:tcW w:w="2900" w:type="dxa"/>
            <w:vAlign w:val="bottom"/>
          </w:tcPr>
          <w:p>
            <w:pPr>
              <w:jc w:val="right"/>
              <w:ind w:right="29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Toby J. Williams</w:t>
            </w:r>
          </w:p>
        </w:tc>
        <w:tc>
          <w:tcPr>
            <w:tcW w:w="4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Toby J. Williams</w:t>
            </w:r>
          </w:p>
        </w:tc>
        <w:tc>
          <w:tcPr>
            <w:tcW w:w="4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900" w:type="dxa"/>
            <w:vAlign w:val="bottom"/>
          </w:tcPr>
          <w:p>
            <w:pPr>
              <w:jc w:val="right"/>
              <w:ind w:right="570"/>
              <w:spacing w:after="0"/>
              <w:rPr>
                <w:sz w:val="20"/>
                <w:szCs w:val="20"/>
                <w:color w:val="auto"/>
              </w:rPr>
            </w:pPr>
            <w:r>
              <w:rPr>
                <w:rFonts w:ascii="Arial" w:cs="Arial" w:eastAsia="Arial" w:hAnsi="Arial"/>
                <w:sz w:val="18"/>
                <w:szCs w:val="18"/>
                <w:color w:val="auto"/>
              </w:rPr>
              <w:t>4</w:t>
            </w:r>
          </w:p>
        </w:tc>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20" w:type="dxa"/>
            <w:vAlign w:val="bottom"/>
            <w:tcBorders>
              <w:bottom w:val="single" w:sz="8" w:color="808080"/>
            </w:tcBorders>
          </w:tcPr>
          <w:p>
            <w:pPr>
              <w:spacing w:after="0"/>
              <w:rPr>
                <w:sz w:val="11"/>
                <w:szCs w:val="11"/>
                <w:color w:val="auto"/>
              </w:rPr>
            </w:pPr>
          </w:p>
        </w:tc>
        <w:tc>
          <w:tcPr>
            <w:tcW w:w="2900" w:type="dxa"/>
            <w:vAlign w:val="bottom"/>
            <w:tcBorders>
              <w:bottom w:val="single" w:sz="8" w:color="808080"/>
            </w:tcBorders>
          </w:tcPr>
          <w:p>
            <w:pPr>
              <w:spacing w:after="0"/>
              <w:rPr>
                <w:sz w:val="11"/>
                <w:szCs w:val="11"/>
                <w:color w:val="auto"/>
              </w:rPr>
            </w:pPr>
          </w:p>
        </w:tc>
        <w:tc>
          <w:tcPr>
            <w:tcW w:w="50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4098925" cy="1440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9892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Paylocity Announces Third Quarter Fiscal Year 2019 Financial Results</w:t>
      </w:r>
    </w:p>
    <w:p>
      <w:pPr>
        <w:spacing w:after="0" w:line="225" w:lineRule="exact"/>
        <w:rPr>
          <w:sz w:val="20"/>
          <w:szCs w:val="20"/>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Q3 2019 Total Revenue of $139.6 million, up 25% year-over-year</w:t>
      </w:r>
    </w:p>
    <w:p>
      <w:pPr>
        <w:spacing w:after="0" w:line="27"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Q3 2019 Recurring Revenue of $136.2 million, up 25% year-over-year</w:t>
      </w:r>
    </w:p>
    <w:p>
      <w:pPr>
        <w:spacing w:after="0" w:line="207"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color w:val="auto"/>
        </w:rPr>
        <w:t xml:space="preserve">SCHAUMBURG, IL. — May 2, 2019 — </w:t>
      </w:r>
      <w:r>
        <w:rPr>
          <w:rFonts w:ascii="Arial" w:cs="Arial" w:eastAsia="Arial" w:hAnsi="Arial"/>
          <w:sz w:val="17"/>
          <w:szCs w:val="17"/>
          <w:color w:val="auto"/>
        </w:rPr>
        <w:t>Paylocity Holding Corporation (Nasdaq: PCTY), a leading provider of cloud-based payroll and human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software solutions, today announced financial results for the third quarter of fiscal year 2019, which ended March 31, 2019.</w:t>
      </w:r>
    </w:p>
    <w:p>
      <w:pPr>
        <w:spacing w:after="0" w:line="14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were pleased with our performance during the third quarter of fiscal 2019, with $139.6 million in total revenue and 25% growth over the third quarter of last fiscal year, which included on boarding a record number of new clients,” said Steve Beauchamp, Chief Executive Officer of Paylocity. “The third quarter is always the busiest time of the year for our operations teams, and I was very pleased with our ability to proactively partner with our clients to manage the wide variety of year end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Third Quarter Fiscal 2019 Financial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was $139.6 million, an increase of 25% from third quarter fiscal year 2018 revenue, as adjusted and as presented on a non-GAAP basis in the table below.</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recurring revenue was $136.2 million, representing 98% of total revenue and an increase of 25% from third quarter fiscal year 2018 total recurring revenue, as adjusted and as presented on a non-GAAP basis in the table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operating income was $36.2 million and non-GAAP operating income was $46.4 million in the third quarter of fiscal year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left="660" w:right="44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net income was $28.0 million or $0.51 per share for the third quarter of fiscal year 2019 based on 55.5 million diluted weighted average common shares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 non-GAAP measure, was $54.8 million in the third quarter of fiscal year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29"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cash equivalents and invested corporate cash totaled $140.0 million as of the end of the quarter.</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flow from operations for the third quarter of fiscal year 2019 was $44.9 million compared to $35.2 million for the third quarter of fiscal year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Update: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adopted ASC 606 using the modified retrospective method in fiscal 2019, which began on July 1, 2018. Under ASC 606 we will amortize certain sales and implementation expenses over a period of 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Also as of July 1, 2018 we began recognizing implementation revenue ratably over a period of generally up to 24 months.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the interest of comparability during this transition year, in the reconciliation table below we are providing revenue for each quarter of fiscal 2018 on a GAAP and non-GAAP, 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forma basis giving effect to the change in recognition of implementation revenue for fiscal 2018.</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Paylocity Holding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Reconciliation of GAAP to non-GAAP Revenue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0" w:type="dxa"/>
            <w:vAlign w:val="bottom"/>
            <w:gridSpan w:val="9"/>
          </w:tcPr>
          <w:p>
            <w:pPr>
              <w:jc w:val="center"/>
              <w:ind w:right="280"/>
              <w:spacing w:after="0"/>
              <w:rPr>
                <w:sz w:val="20"/>
                <w:szCs w:val="20"/>
                <w:color w:val="auto"/>
              </w:rPr>
            </w:pPr>
            <w:r>
              <w:rPr>
                <w:rFonts w:ascii="Arial" w:cs="Arial" w:eastAsia="Arial" w:hAnsi="Arial"/>
                <w:sz w:val="11"/>
                <w:szCs w:val="11"/>
                <w:b w:val="1"/>
                <w:bCs w:val="1"/>
                <w:color w:val="auto"/>
                <w:w w:val="89"/>
              </w:rPr>
              <w:t>Three Months Ended September 30, 2017</w:t>
            </w:r>
          </w:p>
        </w:tc>
        <w:tc>
          <w:tcPr>
            <w:tcW w:w="80" w:type="dxa"/>
            <w:vAlign w:val="bottom"/>
          </w:tcPr>
          <w:p>
            <w:pPr>
              <w:spacing w:after="0"/>
              <w:rPr>
                <w:sz w:val="11"/>
                <w:szCs w:val="11"/>
                <w:color w:val="auto"/>
              </w:rPr>
            </w:pPr>
          </w:p>
        </w:tc>
        <w:tc>
          <w:tcPr>
            <w:tcW w:w="2940" w:type="dxa"/>
            <w:vAlign w:val="bottom"/>
            <w:gridSpan w:val="8"/>
          </w:tcPr>
          <w:p>
            <w:pPr>
              <w:ind w:left="400"/>
              <w:spacing w:after="0"/>
              <w:rPr>
                <w:sz w:val="20"/>
                <w:szCs w:val="20"/>
                <w:color w:val="auto"/>
              </w:rPr>
            </w:pPr>
            <w:r>
              <w:rPr>
                <w:rFonts w:ascii="Arial" w:cs="Arial" w:eastAsia="Arial" w:hAnsi="Arial"/>
                <w:sz w:val="11"/>
                <w:szCs w:val="11"/>
                <w:b w:val="1"/>
                <w:bCs w:val="1"/>
                <w:color w:val="auto"/>
              </w:rPr>
              <w:t>Three Months Ended December 31, 2017</w:t>
            </w:r>
          </w:p>
        </w:tc>
        <w:tc>
          <w:tcPr>
            <w:tcW w:w="80" w:type="dxa"/>
            <w:vAlign w:val="bottom"/>
          </w:tcPr>
          <w:p>
            <w:pPr>
              <w:spacing w:after="0"/>
              <w:rPr>
                <w:sz w:val="11"/>
                <w:szCs w:val="11"/>
                <w:color w:val="auto"/>
              </w:rPr>
            </w:pPr>
          </w:p>
        </w:tc>
        <w:tc>
          <w:tcPr>
            <w:tcW w:w="2820" w:type="dxa"/>
            <w:vAlign w:val="bottom"/>
            <w:gridSpan w:val="8"/>
          </w:tcPr>
          <w:p>
            <w:pPr>
              <w:jc w:val="center"/>
              <w:ind w:right="180"/>
              <w:spacing w:after="0"/>
              <w:rPr>
                <w:sz w:val="20"/>
                <w:szCs w:val="20"/>
                <w:color w:val="auto"/>
              </w:rPr>
            </w:pPr>
            <w:r>
              <w:rPr>
                <w:rFonts w:ascii="Arial" w:cs="Arial" w:eastAsia="Arial" w:hAnsi="Arial"/>
                <w:sz w:val="11"/>
                <w:szCs w:val="11"/>
                <w:b w:val="1"/>
                <w:bCs w:val="1"/>
                <w:color w:val="auto"/>
                <w:w w:val="90"/>
              </w:rPr>
              <w:t>Three Months Ended March 31, 2018</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tcPr>
          <w:p>
            <w:pPr>
              <w:jc w:val="center"/>
              <w:ind w:right="142"/>
              <w:spacing w:after="0" w:line="102" w:lineRule="exact"/>
              <w:rPr>
                <w:sz w:val="20"/>
                <w:szCs w:val="20"/>
                <w:color w:val="auto"/>
              </w:rPr>
            </w:pPr>
            <w:r>
              <w:rPr>
                <w:rFonts w:ascii="Arial" w:cs="Arial" w:eastAsia="Arial" w:hAnsi="Arial"/>
                <w:sz w:val="11"/>
                <w:szCs w:val="11"/>
                <w:b w:val="1"/>
                <w:bCs w:val="1"/>
                <w:color w:val="auto"/>
                <w:w w:val="94"/>
              </w:rPr>
              <w:t>Non-GAAP</w:t>
            </w: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tcPr>
          <w:p>
            <w:pPr>
              <w:jc w:val="right"/>
              <w:ind w:right="322"/>
              <w:spacing w:after="0" w:line="102" w:lineRule="exact"/>
              <w:rPr>
                <w:sz w:val="20"/>
                <w:szCs w:val="20"/>
                <w:color w:val="auto"/>
              </w:rPr>
            </w:pPr>
            <w:r>
              <w:rPr>
                <w:rFonts w:ascii="Arial" w:cs="Arial" w:eastAsia="Arial" w:hAnsi="Arial"/>
                <w:sz w:val="11"/>
                <w:szCs w:val="11"/>
                <w:b w:val="1"/>
                <w:bCs w:val="1"/>
                <w:color w:val="auto"/>
              </w:rPr>
              <w:t>Non-GAAP</w:t>
            </w: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gridSpan w:val="2"/>
          </w:tcPr>
          <w:p>
            <w:pPr>
              <w:jc w:val="center"/>
              <w:ind w:right="182"/>
              <w:spacing w:after="0" w:line="102" w:lineRule="exact"/>
              <w:rPr>
                <w:sz w:val="20"/>
                <w:szCs w:val="20"/>
                <w:color w:val="auto"/>
              </w:rPr>
            </w:pPr>
            <w:r>
              <w:rPr>
                <w:rFonts w:ascii="Arial" w:cs="Arial" w:eastAsia="Arial" w:hAnsi="Arial"/>
                <w:sz w:val="11"/>
                <w:szCs w:val="11"/>
                <w:b w:val="1"/>
                <w:bCs w:val="1"/>
                <w:color w:val="auto"/>
                <w:w w:val="94"/>
              </w:rPr>
              <w:t>Non-GAAP</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b w:val="1"/>
                <w:bCs w:val="1"/>
                <w:color w:val="auto"/>
                <w:w w:val="88"/>
              </w:rPr>
              <w:t>As Reported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142"/>
              <w:spacing w:after="0"/>
              <w:rPr>
                <w:sz w:val="20"/>
                <w:szCs w:val="20"/>
                <w:color w:val="auto"/>
              </w:rPr>
            </w:pPr>
            <w:r>
              <w:rPr>
                <w:rFonts w:ascii="Arial" w:cs="Arial" w:eastAsia="Arial" w:hAnsi="Arial"/>
                <w:sz w:val="11"/>
                <w:szCs w:val="11"/>
                <w:b w:val="1"/>
                <w:bCs w:val="1"/>
                <w:color w:val="auto"/>
                <w:w w:val="88"/>
              </w:rPr>
              <w:t>Adjustments (1)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As Adjusted</w:t>
            </w:r>
          </w:p>
        </w:tc>
        <w:tc>
          <w:tcPr>
            <w:tcW w:w="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b w:val="1"/>
                <w:bCs w:val="1"/>
                <w:color w:val="auto"/>
                <w:w w:val="88"/>
              </w:rPr>
              <w:t>As Reported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1"/>
                <w:szCs w:val="11"/>
                <w:b w:val="1"/>
                <w:bCs w:val="1"/>
                <w:color w:val="auto"/>
                <w:w w:val="88"/>
              </w:rPr>
              <w:t>Adjustments (1)</w:t>
            </w:r>
          </w:p>
        </w:tc>
        <w:tc>
          <w:tcPr>
            <w:tcW w:w="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As Adjusted</w:t>
            </w:r>
          </w:p>
        </w:tc>
        <w:tc>
          <w:tcPr>
            <w:tcW w:w="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b w:val="1"/>
                <w:bCs w:val="1"/>
                <w:color w:val="auto"/>
                <w:w w:val="88"/>
              </w:rPr>
              <w:t>As Reported</w:t>
            </w:r>
          </w:p>
        </w:tc>
        <w:tc>
          <w:tcPr>
            <w:tcW w:w="220" w:type="dxa"/>
            <w:vAlign w:val="bottom"/>
          </w:tcPr>
          <w:p>
            <w:pPr>
              <w:spacing w:after="0"/>
              <w:rPr>
                <w:sz w:val="11"/>
                <w:szCs w:val="11"/>
                <w:color w:val="auto"/>
              </w:rPr>
            </w:pPr>
          </w:p>
        </w:tc>
        <w:tc>
          <w:tcPr>
            <w:tcW w:w="1000" w:type="dxa"/>
            <w:vAlign w:val="bottom"/>
            <w:gridSpan w:val="2"/>
          </w:tcPr>
          <w:p>
            <w:pPr>
              <w:jc w:val="center"/>
              <w:ind w:right="182"/>
              <w:spacing w:after="0"/>
              <w:rPr>
                <w:sz w:val="20"/>
                <w:szCs w:val="20"/>
                <w:color w:val="auto"/>
              </w:rPr>
            </w:pPr>
            <w:r>
              <w:rPr>
                <w:rFonts w:ascii="Arial" w:cs="Arial" w:eastAsia="Arial" w:hAnsi="Arial"/>
                <w:sz w:val="11"/>
                <w:szCs w:val="11"/>
                <w:b w:val="1"/>
                <w:bCs w:val="1"/>
                <w:color w:val="auto"/>
                <w:w w:val="88"/>
              </w:rPr>
              <w:t>Adjustments (1)</w:t>
            </w:r>
          </w:p>
        </w:tc>
        <w:tc>
          <w:tcPr>
            <w:tcW w:w="100" w:type="dxa"/>
            <w:vAlign w:val="bottom"/>
          </w:tcPr>
          <w:p>
            <w:pPr>
              <w:spacing w:after="0"/>
              <w:rPr>
                <w:sz w:val="11"/>
                <w:szCs w:val="11"/>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As Adjusted</w:t>
            </w:r>
          </w:p>
        </w:tc>
        <w:tc>
          <w:tcPr>
            <w:tcW w:w="0" w:type="dxa"/>
            <w:vAlign w:val="bottom"/>
          </w:tcPr>
          <w:p>
            <w:pPr>
              <w:spacing w:after="0"/>
              <w:rPr>
                <w:sz w:val="1"/>
                <w:szCs w:val="1"/>
                <w:color w:val="auto"/>
              </w:rPr>
            </w:pPr>
          </w:p>
        </w:tc>
      </w:tr>
      <w:tr>
        <w:trPr>
          <w:trHeight w:val="102"/>
        </w:trPr>
        <w:tc>
          <w:tcPr>
            <w:tcW w:w="2420" w:type="dxa"/>
            <w:vAlign w:val="bottom"/>
            <w:tcBorders>
              <w:top w:val="single" w:sz="8" w:color="CCEEFF"/>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right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line="122" w:lineRule="exact"/>
              <w:rPr>
                <w:sz w:val="20"/>
                <w:szCs w:val="20"/>
                <w:color w:val="auto"/>
              </w:rPr>
            </w:pPr>
            <w:r>
              <w:rPr>
                <w:rFonts w:ascii="Arial" w:cs="Arial" w:eastAsia="Arial" w:hAnsi="Arial"/>
                <w:sz w:val="11"/>
                <w:szCs w:val="11"/>
                <w:color w:val="auto"/>
              </w:rPr>
              <w:t>Recurring fees</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77,294</w:t>
            </w:r>
          </w:p>
        </w:tc>
        <w:tc>
          <w:tcPr>
            <w:tcW w:w="2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82"/>
              <w:spacing w:after="0" w:line="122" w:lineRule="exact"/>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77,294</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81,292</w:t>
            </w:r>
          </w:p>
        </w:tc>
        <w:tc>
          <w:tcPr>
            <w:tcW w:w="2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81,292</w:t>
            </w:r>
          </w:p>
        </w:tc>
        <w:tc>
          <w:tcPr>
            <w:tcW w:w="16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105,857</w:t>
            </w:r>
          </w:p>
        </w:tc>
        <w:tc>
          <w:tcPr>
            <w:tcW w:w="2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22"/>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105,857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Interest income on funds held for clients</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1,617</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82"/>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1,617</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1,783</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1,783</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2,719</w:t>
            </w:r>
          </w:p>
        </w:tc>
        <w:tc>
          <w:tcPr>
            <w:tcW w:w="220" w:type="dxa"/>
            <w:vAlign w:val="bottom"/>
            <w:tcBorders>
              <w:right w:val="single" w:sz="8" w:color="CCEEFF"/>
            </w:tcBorders>
            <w:shd w:val="clear" w:color="auto" w:fill="CCEEFF"/>
          </w:tcPr>
          <w:p>
            <w:pPr>
              <w:spacing w:after="0"/>
              <w:rPr>
                <w:sz w:val="10"/>
                <w:szCs w:val="10"/>
                <w:color w:val="auto"/>
              </w:rPr>
            </w:pPr>
          </w:p>
        </w:tc>
        <w:tc>
          <w:tcPr>
            <w:tcW w:w="1000" w:type="dxa"/>
            <w:vAlign w:val="bottom"/>
            <w:gridSpan w:val="2"/>
            <w:shd w:val="clear" w:color="auto" w:fill="CCEEFF"/>
          </w:tcPr>
          <w:p>
            <w:pPr>
              <w:jc w:val="right"/>
              <w:ind w:right="122"/>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2,719</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20" w:type="dxa"/>
            <w:vAlign w:val="bottom"/>
          </w:tcPr>
          <w:p>
            <w:pPr>
              <w:spacing w:after="0" w:line="115" w:lineRule="exact"/>
              <w:rPr>
                <w:sz w:val="20"/>
                <w:szCs w:val="20"/>
                <w:color w:val="auto"/>
              </w:rPr>
            </w:pPr>
            <w:r>
              <w:rPr>
                <w:rFonts w:ascii="Arial" w:cs="Arial" w:eastAsia="Arial" w:hAnsi="Arial"/>
                <w:sz w:val="11"/>
                <w:szCs w:val="11"/>
                <w:color w:val="auto"/>
              </w:rPr>
              <w:t>Total recurring revenues</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78,911</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78,911</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83,075</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83,075</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108,576</w:t>
            </w:r>
          </w:p>
        </w:tc>
        <w:tc>
          <w:tcPr>
            <w:tcW w:w="220" w:type="dxa"/>
            <w:vAlign w:val="bottom"/>
          </w:tcPr>
          <w:p>
            <w:pPr>
              <w:spacing w:after="0"/>
              <w:rPr>
                <w:sz w:val="10"/>
                <w:szCs w:val="10"/>
                <w:color w:val="auto"/>
              </w:rPr>
            </w:pPr>
          </w:p>
        </w:tc>
        <w:tc>
          <w:tcPr>
            <w:tcW w:w="8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108,576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Implementation services and other</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2,589</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42"/>
              <w:spacing w:after="0" w:line="122" w:lineRule="exact"/>
              <w:rPr>
                <w:sz w:val="20"/>
                <w:szCs w:val="20"/>
                <w:color w:val="auto"/>
              </w:rPr>
            </w:pPr>
            <w:r>
              <w:rPr>
                <w:rFonts w:ascii="Arial" w:cs="Arial" w:eastAsia="Arial" w:hAnsi="Arial"/>
                <w:sz w:val="11"/>
                <w:szCs w:val="11"/>
                <w:color w:val="auto"/>
              </w:rPr>
              <w:t>(1,789)</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800</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2,929</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02"/>
              <w:spacing w:after="0" w:line="122" w:lineRule="exact"/>
              <w:rPr>
                <w:sz w:val="20"/>
                <w:szCs w:val="20"/>
                <w:color w:val="auto"/>
              </w:rPr>
            </w:pPr>
            <w:r>
              <w:rPr>
                <w:rFonts w:ascii="Arial" w:cs="Arial" w:eastAsia="Arial" w:hAnsi="Arial"/>
                <w:sz w:val="11"/>
                <w:szCs w:val="11"/>
                <w:color w:val="auto"/>
              </w:rPr>
              <w:t>(1,011)</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1,918</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4,831</w:t>
            </w:r>
          </w:p>
        </w:tc>
        <w:tc>
          <w:tcPr>
            <w:tcW w:w="220" w:type="dxa"/>
            <w:vAlign w:val="bottom"/>
            <w:tcBorders>
              <w:right w:val="single" w:sz="8" w:color="CCEEFF"/>
            </w:tcBorders>
            <w:shd w:val="clear" w:color="auto" w:fill="CCEEFF"/>
          </w:tcPr>
          <w:p>
            <w:pPr>
              <w:spacing w:after="0"/>
              <w:rPr>
                <w:sz w:val="10"/>
                <w:szCs w:val="10"/>
                <w:color w:val="auto"/>
              </w:rPr>
            </w:pPr>
          </w:p>
        </w:tc>
        <w:tc>
          <w:tcPr>
            <w:tcW w:w="1000" w:type="dxa"/>
            <w:vAlign w:val="bottom"/>
            <w:gridSpan w:val="2"/>
            <w:shd w:val="clear" w:color="auto" w:fill="CCEEFF"/>
          </w:tcPr>
          <w:p>
            <w:pPr>
              <w:jc w:val="right"/>
              <w:ind w:right="82"/>
              <w:spacing w:after="0" w:line="122" w:lineRule="exact"/>
              <w:rPr>
                <w:sz w:val="20"/>
                <w:szCs w:val="20"/>
                <w:color w:val="auto"/>
              </w:rPr>
            </w:pPr>
            <w:r>
              <w:rPr>
                <w:rFonts w:ascii="Arial" w:cs="Arial" w:eastAsia="Arial" w:hAnsi="Arial"/>
                <w:sz w:val="11"/>
                <w:szCs w:val="11"/>
                <w:color w:val="auto"/>
              </w:rPr>
              <w:t>(2,076)</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2,755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1"/>
                <w:szCs w:val="11"/>
                <w:color w:val="auto"/>
              </w:rPr>
              <w:t>Total Revenue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102"/>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82"/>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20" w:type="dxa"/>
            <w:vAlign w:val="bottom"/>
            <w:vMerge w:val="continue"/>
          </w:tcPr>
          <w:p>
            <w:pPr>
              <w:spacing w:after="0"/>
              <w:rPr>
                <w:sz w:val="11"/>
                <w:szCs w:val="11"/>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81,500</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(1,789</w:t>
            </w:r>
          </w:p>
        </w:tc>
        <w:tc>
          <w:tcPr>
            <w:tcW w:w="120" w:type="dxa"/>
            <w:vAlign w:val="bottom"/>
            <w:vMerge w:val="continue"/>
          </w:tcPr>
          <w:p>
            <w:pPr>
              <w:spacing w:after="0"/>
              <w:rPr>
                <w:sz w:val="11"/>
                <w:szCs w:val="1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79,711</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86,004</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(1,011</w:t>
            </w:r>
          </w:p>
        </w:tc>
        <w:tc>
          <w:tcPr>
            <w:tcW w:w="180" w:type="dxa"/>
            <w:vAlign w:val="bottom"/>
            <w:vMerge w:val="continue"/>
          </w:tcPr>
          <w:p>
            <w:pPr>
              <w:spacing w:after="0"/>
              <w:rPr>
                <w:sz w:val="11"/>
                <w:szCs w:val="11"/>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84,993</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113,407</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(2,076</w:t>
            </w:r>
          </w:p>
        </w:tc>
        <w:tc>
          <w:tcPr>
            <w:tcW w:w="16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1"/>
                <w:szCs w:val="11"/>
                <w:color w:val="auto"/>
              </w:rPr>
              <w:t>111,331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0" w:type="dxa"/>
            <w:vAlign w:val="bottom"/>
            <w:gridSpan w:val="9"/>
          </w:tcPr>
          <w:p>
            <w:pPr>
              <w:jc w:val="center"/>
              <w:ind w:right="280"/>
              <w:spacing w:after="0"/>
              <w:rPr>
                <w:sz w:val="20"/>
                <w:szCs w:val="20"/>
                <w:color w:val="auto"/>
              </w:rPr>
            </w:pPr>
            <w:r>
              <w:rPr>
                <w:rFonts w:ascii="Arial" w:cs="Arial" w:eastAsia="Arial" w:hAnsi="Arial"/>
                <w:sz w:val="11"/>
                <w:szCs w:val="11"/>
                <w:b w:val="1"/>
                <w:bCs w:val="1"/>
                <w:color w:val="auto"/>
                <w:w w:val="89"/>
              </w:rPr>
              <w:t>Three Months Ended June 30, 2018</w:t>
            </w:r>
          </w:p>
        </w:tc>
        <w:tc>
          <w:tcPr>
            <w:tcW w:w="80" w:type="dxa"/>
            <w:vAlign w:val="bottom"/>
          </w:tcPr>
          <w:p>
            <w:pPr>
              <w:spacing w:after="0"/>
              <w:rPr>
                <w:sz w:val="11"/>
                <w:szCs w:val="11"/>
                <w:color w:val="auto"/>
              </w:rPr>
            </w:pPr>
          </w:p>
        </w:tc>
        <w:tc>
          <w:tcPr>
            <w:tcW w:w="2940" w:type="dxa"/>
            <w:vAlign w:val="bottom"/>
            <w:gridSpan w:val="8"/>
          </w:tcPr>
          <w:p>
            <w:pPr>
              <w:ind w:left="500"/>
              <w:spacing w:after="0"/>
              <w:rPr>
                <w:sz w:val="20"/>
                <w:szCs w:val="20"/>
                <w:color w:val="auto"/>
              </w:rPr>
            </w:pPr>
            <w:r>
              <w:rPr>
                <w:rFonts w:ascii="Arial" w:cs="Arial" w:eastAsia="Arial" w:hAnsi="Arial"/>
                <w:sz w:val="11"/>
                <w:szCs w:val="11"/>
                <w:b w:val="1"/>
                <w:bCs w:val="1"/>
                <w:color w:val="auto"/>
              </w:rPr>
              <w:t>Twelve Months Ended June 30, 2018</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tcPr>
          <w:p>
            <w:pPr>
              <w:jc w:val="center"/>
              <w:ind w:right="142"/>
              <w:spacing w:after="0" w:line="102" w:lineRule="exact"/>
              <w:rPr>
                <w:sz w:val="20"/>
                <w:szCs w:val="20"/>
                <w:color w:val="auto"/>
              </w:rPr>
            </w:pPr>
            <w:r>
              <w:rPr>
                <w:rFonts w:ascii="Arial" w:cs="Arial" w:eastAsia="Arial" w:hAnsi="Arial"/>
                <w:sz w:val="11"/>
                <w:szCs w:val="11"/>
                <w:b w:val="1"/>
                <w:bCs w:val="1"/>
                <w:color w:val="auto"/>
                <w:w w:val="94"/>
              </w:rPr>
              <w:t>Non-GAAP</w:t>
            </w: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tcPr>
          <w:p>
            <w:pPr>
              <w:jc w:val="right"/>
              <w:ind w:right="322"/>
              <w:spacing w:after="0" w:line="102" w:lineRule="exact"/>
              <w:rPr>
                <w:sz w:val="20"/>
                <w:szCs w:val="20"/>
                <w:color w:val="auto"/>
              </w:rPr>
            </w:pPr>
            <w:r>
              <w:rPr>
                <w:rFonts w:ascii="Arial" w:cs="Arial" w:eastAsia="Arial" w:hAnsi="Arial"/>
                <w:sz w:val="11"/>
                <w:szCs w:val="11"/>
                <w:b w:val="1"/>
                <w:bCs w:val="1"/>
                <w:color w:val="auto"/>
              </w:rPr>
              <w:t>Non-GAAP</w:t>
            </w: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b w:val="1"/>
                <w:bCs w:val="1"/>
                <w:color w:val="auto"/>
                <w:w w:val="88"/>
              </w:rPr>
              <w:t>As Reported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142"/>
              <w:spacing w:after="0"/>
              <w:rPr>
                <w:sz w:val="20"/>
                <w:szCs w:val="20"/>
                <w:color w:val="auto"/>
              </w:rPr>
            </w:pPr>
            <w:r>
              <w:rPr>
                <w:rFonts w:ascii="Arial" w:cs="Arial" w:eastAsia="Arial" w:hAnsi="Arial"/>
                <w:sz w:val="11"/>
                <w:szCs w:val="11"/>
                <w:b w:val="1"/>
                <w:bCs w:val="1"/>
                <w:color w:val="auto"/>
                <w:w w:val="88"/>
              </w:rPr>
              <w:t>Adjustments (1)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As Adjusted</w:t>
            </w:r>
          </w:p>
        </w:tc>
        <w:tc>
          <w:tcPr>
            <w:tcW w:w="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b w:val="1"/>
                <w:bCs w:val="1"/>
                <w:color w:val="auto"/>
                <w:w w:val="88"/>
              </w:rPr>
              <w:t>As Reported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1"/>
                <w:szCs w:val="11"/>
                <w:b w:val="1"/>
                <w:bCs w:val="1"/>
                <w:color w:val="auto"/>
                <w:w w:val="88"/>
              </w:rPr>
              <w:t>Adjustments (1)</w:t>
            </w:r>
          </w:p>
        </w:tc>
        <w:tc>
          <w:tcPr>
            <w:tcW w:w="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As Adjusted</w:t>
            </w:r>
          </w:p>
        </w:tc>
        <w:tc>
          <w:tcPr>
            <w:tcW w:w="0" w:type="dxa"/>
            <w:vAlign w:val="bottom"/>
          </w:tcPr>
          <w:p>
            <w:pPr>
              <w:spacing w:after="0"/>
              <w:rPr>
                <w:sz w:val="1"/>
                <w:szCs w:val="1"/>
                <w:color w:val="auto"/>
              </w:rPr>
            </w:pPr>
          </w:p>
        </w:tc>
      </w:tr>
      <w:tr>
        <w:trPr>
          <w:trHeight w:val="102"/>
        </w:trPr>
        <w:tc>
          <w:tcPr>
            <w:tcW w:w="2420" w:type="dxa"/>
            <w:vAlign w:val="bottom"/>
            <w:tcBorders>
              <w:top w:val="single" w:sz="8" w:color="CCEEFF"/>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line="122" w:lineRule="exact"/>
              <w:rPr>
                <w:sz w:val="20"/>
                <w:szCs w:val="20"/>
                <w:color w:val="auto"/>
              </w:rPr>
            </w:pPr>
            <w:r>
              <w:rPr>
                <w:rFonts w:ascii="Arial" w:cs="Arial" w:eastAsia="Arial" w:hAnsi="Arial"/>
                <w:sz w:val="11"/>
                <w:szCs w:val="11"/>
                <w:color w:val="auto"/>
              </w:rPr>
              <w:t>Recurring fees</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89,989</w:t>
            </w:r>
          </w:p>
        </w:tc>
        <w:tc>
          <w:tcPr>
            <w:tcW w:w="2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82"/>
              <w:spacing w:after="0" w:line="122" w:lineRule="exact"/>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89,989</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354,432</w:t>
            </w:r>
          </w:p>
        </w:tc>
        <w:tc>
          <w:tcPr>
            <w:tcW w:w="2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354,432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Interest income on funds held for clients</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2,974</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82"/>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2,974</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9,093</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9,093</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20" w:type="dxa"/>
            <w:vAlign w:val="bottom"/>
          </w:tcPr>
          <w:p>
            <w:pPr>
              <w:spacing w:after="0" w:line="115" w:lineRule="exact"/>
              <w:rPr>
                <w:sz w:val="20"/>
                <w:szCs w:val="20"/>
                <w:color w:val="auto"/>
              </w:rPr>
            </w:pPr>
            <w:r>
              <w:rPr>
                <w:rFonts w:ascii="Arial" w:cs="Arial" w:eastAsia="Arial" w:hAnsi="Arial"/>
                <w:sz w:val="11"/>
                <w:szCs w:val="11"/>
                <w:color w:val="auto"/>
              </w:rPr>
              <w:t>Total recurring revenues</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92,963</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92,963</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363,525</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363,525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Implementation services and other</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3,653</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42"/>
              <w:spacing w:after="0" w:line="122" w:lineRule="exact"/>
              <w:rPr>
                <w:sz w:val="20"/>
                <w:szCs w:val="20"/>
                <w:color w:val="auto"/>
              </w:rPr>
            </w:pPr>
            <w:r>
              <w:rPr>
                <w:rFonts w:ascii="Arial" w:cs="Arial" w:eastAsia="Arial" w:hAnsi="Arial"/>
                <w:sz w:val="11"/>
                <w:szCs w:val="11"/>
                <w:color w:val="auto"/>
              </w:rPr>
              <w:t>(600)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3,053</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14,002</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02"/>
              <w:spacing w:after="0" w:line="122" w:lineRule="exact"/>
              <w:rPr>
                <w:sz w:val="20"/>
                <w:szCs w:val="20"/>
                <w:color w:val="auto"/>
              </w:rPr>
            </w:pPr>
            <w:r>
              <w:rPr>
                <w:rFonts w:ascii="Arial" w:cs="Arial" w:eastAsia="Arial" w:hAnsi="Arial"/>
                <w:sz w:val="11"/>
                <w:szCs w:val="11"/>
                <w:color w:val="auto"/>
              </w:rPr>
              <w:t>(5,476)</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8,526</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1"/>
                <w:szCs w:val="11"/>
                <w:color w:val="auto"/>
              </w:rPr>
              <w:t>Total Revenue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102"/>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20" w:type="dxa"/>
            <w:vAlign w:val="bottom"/>
            <w:vMerge w:val="continue"/>
          </w:tcPr>
          <w:p>
            <w:pPr>
              <w:spacing w:after="0"/>
              <w:rPr>
                <w:sz w:val="11"/>
                <w:szCs w:val="11"/>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96,616</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(600</w:t>
            </w:r>
          </w:p>
        </w:tc>
        <w:tc>
          <w:tcPr>
            <w:tcW w:w="120" w:type="dxa"/>
            <w:vAlign w:val="bottom"/>
            <w:vMerge w:val="continue"/>
          </w:tcPr>
          <w:p>
            <w:pPr>
              <w:spacing w:after="0"/>
              <w:rPr>
                <w:sz w:val="11"/>
                <w:szCs w:val="1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96,016</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377,527</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(5,476</w:t>
            </w:r>
          </w:p>
        </w:tc>
        <w:tc>
          <w:tcPr>
            <w:tcW w:w="180" w:type="dxa"/>
            <w:vAlign w:val="bottom"/>
            <w:vMerge w:val="continue"/>
          </w:tcPr>
          <w:p>
            <w:pPr>
              <w:spacing w:after="0"/>
              <w:rPr>
                <w:sz w:val="11"/>
                <w:szCs w:val="11"/>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372,051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40" w:hanging="180"/>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1"/>
          <w:szCs w:val="11"/>
          <w:i w:val="1"/>
          <w:iCs w:val="1"/>
          <w:color w:val="auto"/>
        </w:rPr>
        <w:t>As adjusted implementation revenue as if we recognized implementation revenue ratably over a period of up to 24 months for each quarter of fiscal 2018.</w:t>
      </w:r>
    </w:p>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reconciliation of GAAP to non-GAAP financial measures has been provided in this press release, including the accompanying tables. An explanation of these measures is also included below under the heading “Non-GAAP Financial Measures.”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Based on information available as of May 2, 2019, Paylocity is issuing guidance for the fourth quarter and full fiscal year 2019 as indicated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w:t>
      </w:r>
      <w:r>
        <w:rPr>
          <w:rFonts w:ascii="Arial" w:cs="Arial" w:eastAsia="Arial" w:hAnsi="Arial"/>
          <w:sz w:val="18"/>
          <w:szCs w:val="18"/>
          <w:color w:val="auto"/>
        </w:rPr>
        <w:t>:</w:t>
      </w:r>
    </w:p>
    <w:p>
      <w:pPr>
        <w:spacing w:after="0" w:line="229" w:lineRule="exact"/>
        <w:rPr>
          <w:sz w:val="20"/>
          <w:szCs w:val="20"/>
          <w:color w:val="auto"/>
        </w:rPr>
      </w:pPr>
    </w:p>
    <w:p>
      <w:pPr>
        <w:ind w:left="660" w:right="80" w:hanging="328"/>
        <w:spacing w:after="0" w:line="258"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revenue is expected to be in the range of $116.7 million to $117.7 million, which represents approximately 22% growth over fiscal 2018 fourth quarter revenue, as adjusted and as presented on a non-GAAP basis in the table above.</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a non-GAAP measure, is expected to be in the range of $27.3 million to $28.3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w:t>
      </w:r>
      <w:r>
        <w:rPr>
          <w:rFonts w:ascii="Arial" w:cs="Arial" w:eastAsia="Arial" w:hAnsi="Arial"/>
          <w:sz w:val="18"/>
          <w:szCs w:val="18"/>
          <w:color w:val="auto"/>
        </w:rPr>
        <w:t>:</w:t>
      </w:r>
    </w:p>
    <w:p>
      <w:pPr>
        <w:spacing w:after="0" w:line="229" w:lineRule="exact"/>
        <w:rPr>
          <w:sz w:val="20"/>
          <w:szCs w:val="20"/>
          <w:color w:val="auto"/>
        </w:rPr>
      </w:pPr>
    </w:p>
    <w:p>
      <w:pPr>
        <w:ind w:left="660" w:right="200" w:hanging="328"/>
        <w:spacing w:after="0" w:line="258"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revenue is expected to be in the range of $464.0 million to $465.0 million, which represents approximately 25% growth over fiscal 2018 total revenue, as adjusted and as presented on a non-GAAP basis in the table above.</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a non-GAAP measure, is expected to be in the range of $131.5 million to $132.5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right="740"/>
        <w:spacing w:after="0" w:line="308" w:lineRule="auto"/>
        <w:rPr>
          <w:sz w:val="20"/>
          <w:szCs w:val="20"/>
          <w:color w:val="auto"/>
        </w:rPr>
      </w:pPr>
      <w:r>
        <w:rPr>
          <w:rFonts w:ascii="Arial" w:cs="Arial" w:eastAsia="Arial" w:hAnsi="Arial"/>
          <w:sz w:val="17"/>
          <w:szCs w:val="17"/>
          <w:color w:val="auto"/>
        </w:rPr>
        <w:t>We are unable to reconcile these forward-looking non-GAAP financial measures to their directly comparable GAAP financial measures because the information which is needed to complete a reconciliation is unavailable at this time without unreasonable effort.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229"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Paylocity will host a conference call to discuss its third quarter fiscal year 2019 results at 4:00 p.m. Central Time today (5:00 Eastern Time). A live audio webcast of the conference call, together with detailed financial information, can be accessed through the company’s Investor Relations Web site at http://www.paylocity.com. Participants who choose to call in to the conference call can do so by dialing (855) 226-3021 or (315) 625-6892, passcode 1966277. A replay of the call will be available and archived via webcast at www.paylocity.com.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Paylocity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Paylocity (NASDAQ: PCTY) is a leading provider of cloud-based payroll and human capital management (HCM) software solutions. Paylocity’s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comprehensive product suite delivers a unified platform for professionals to make strategic decisions in the areas of benefits, core HR, payroll, talent,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workforce management, while cultivating a modern workplace and improving employee engagement. Founded in 1997 and headquartered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Schaumburg, Ill., Paylocity has consistently been recognized nationally for its innovation, culture, and growth. Most recently, Paylocity was honored as #20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Glassdoor’s Best Places to Work Employees’ Choice list; recognized on several G2 Crowd Grid® Reports, including ranking #1 in Satisfaction on 13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HCM software-focused reports; named one of the 101 Best &amp; Brightest Companies to Work For; and ranked #30 on Crain’s Chicago’s Fast Fifty list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fastest-growing companies, among receiving a number of other national and local awards. For more information about Paylocity, visit www.paylocity.com.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uses certain non-GAAP financial measures in this release, including Adjusted EBITDA, adjusted gross profit, adjusted recurring gross profit, non-GAAP operating income, non-GAAP net income, non-GAAP net income per share, non-GAAP sales and marketing, non-GAAP total research and development and non-GAAP general and administrative and free cash flow. 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We define Adjusted EBITDA as net income (loss) before interest expense, income tax expense (benefit), and depreciation and amortization expense, adjusted to eliminate stock-based compensation expense and employer payroll taxes related to stock releases and option exercises, acquisition-related costs and lease exit costs. Adjusted gross profit and adjusted recurring gross profit are adjusted to eliminate stock-based compensation expense and employer payroll taxes related to stock releases and option exercises and amortization of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right="20"/>
        <w:spacing w:after="0" w:line="285" w:lineRule="auto"/>
        <w:rPr>
          <w:sz w:val="20"/>
          <w:szCs w:val="20"/>
          <w:color w:val="auto"/>
        </w:rPr>
      </w:pPr>
      <w:r>
        <w:rPr>
          <w:rFonts w:ascii="Arial" w:cs="Arial" w:eastAsia="Arial" w:hAnsi="Arial"/>
          <w:sz w:val="16"/>
          <w:szCs w:val="16"/>
          <w:color w:val="auto"/>
        </w:rPr>
        <w:t>internal-use software costs. Non-GAAP operating income is adjusted to eliminate stock-based compensation expense and employer payroll taxes related to stock releases and option exercises, the amortization of acquired intangibles, lease exit costs and accelerated depreciation expense and acquisition-related costs. Non-GAAP sales and marketing expense is adjusted to eliminate stock-based compensation expense and employer payroll taxes related to stock releases and option exercises. Non-GAAP general and administrative expense is adjusted to eliminate stock-based compensation expense and employer payroll taxes related to stock releases and option exercises, the amortization of acquired intangibles, acquisition-related costs and lease exit costs and accelerated depreciation expense. Non-GAAP net income and non-GAAP net income per share are adjusted to eliminate stock-based compensation expense and employer payroll taxes related to stock releases and option exercises, the amortization of acquired intangibles, acquisition-related costs, lease exit costs and accelerated depreciation expense and the income tax effect on these items, the valuation allowance release, excess tax benefit related to employee stock-based compensation payments and the impact of tax reform. Pro forma diluted weighted average number of common shares are adjusted for the weighted average effect of potentially diluted shares. Non-GAAP total research and development is adjusted for capitalized internal-use software costs and to eliminate stock-based compensation expense and employer payroll taxes related to stock releases and option exercises. Free cash flow is defined as net cash provided by operating activities less capitalized internal-use software costs, purchase of property and equipment and lease allowances used for tenant improvements. Please note that other companies may define their non-GAAP financial measures differently than we do. Management presents certain non-GAAP financial measures in this release because it considers them to be important supplemental measures of performance. Management uses these non-GAAP financial measures for planning purposes, including analysis of the company’s performance against prior periods, the preparation of operating budgets and to determine appropriate levels of operating and capital investments. Management believes that these non-GAAP financial measures provide additional insight for analysts and investors in evaluating the company’s financial and operational performance. Management also intends to provide these non-GAAP financial measures as part of the company’s future earnings discussions and, therefore, the inclusion of the non-GAAP financial measures should provide consistency in the company’s financial reporting. Non-GAAP financial measures have limitations as an analytical tool. Investors are encouraged to review the reconciliation of the non-GAAP measures to their most directly comparable GAAP measures provided in this release.</w:t>
      </w:r>
    </w:p>
    <w:p>
      <w:pPr>
        <w:spacing w:after="0" w:line="16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Included in the press release, we also refer to non-GAAP revenue. Effective July 1, 2018, we began recognizing implementation revenue ratably over a period of generally up to 24 months. To allow investors comparability to prior year results, we have provided comparable information on fiscal 2018 as if we had recognized implementation revenue ratably over a period of up to 24 months during fiscal 2018. However, for periods beginning before adoption, those adjusted financial measures are considered not to be calculated in accordance with GAAP and are thus presented as non-GAAP financial metrics.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Harbor/forward looking statements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All statements, other than statements of historical facts, included herein regarding Paylocity’s future operations, ability to scale its business, future financial position and performance, future revenues, projected costs, prospects, plans and objectives of management are forward-looking statements. The words “anticipate,” “believe,”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line="267" w:lineRule="auto"/>
        <w:rPr>
          <w:sz w:val="20"/>
          <w:szCs w:val="20"/>
          <w:color w:val="auto"/>
        </w:rPr>
      </w:pPr>
      <w:r>
        <w:rPr>
          <w:rFonts w:ascii="Arial" w:cs="Arial" w:eastAsia="Arial" w:hAnsi="Arial"/>
          <w:sz w:val="17"/>
          <w:szCs w:val="17"/>
          <w:color w:val="auto"/>
        </w:rPr>
        <w:t>“expect,” “intend,” “may,” “plan,” “will,” “would,” “seek” and similar expressions (or the negative of these terms) are intended to identify forward-looking statements, although not all forward-looking statements contain these identifying words. These forward-looking statements include, among other things, statements about management’s estimates regarding future revenues and financial performance and other statements about management’s beliefs, intentions or goals. Paylocity may not actually achieve the expectations disclosed in the forward-looking statements, and you should not place undue reliance on Paylocity’s forward-looking statements. These forward-looking statements involve risks and uncertainties that could cause actual results or events to differ materially from the expectations disclosed in the forward-looking statements, including, but not limited to Paylocity’s ability to retain existing clients and to attract new clients to enter into subscriptions for its services; Paylocity’s ability to sell new products and retain subscriptions for its existing products to its new and existing clients; the challenges associated with a growing company’s ability to effectively service clients in a dynamic and competitive market; challenges associated with expanding and evolving a sales organization to effectively address new geographies and products and services; Paylocity’s reliance on and ability to expand its referral network of third parties; difficulties associated with accurately forecasting revenue and appropriately planning expenses; challenges with managing growth effectively; difficulties in forecasting Paylocity’s tax position; risks related to regulatory, legislative and judicial uncertainty in Paylocity’s markets, including the potential repeal or replacement of the Affordable Care Act; continued acceptance of SaaS as an effective method for delivery of payroll and HCM solutions; Paylocity’s ability to protect and defend its intellectual property; the risk that Paylocity’s security measures are compromised or the unauthorized access to customer data; unexpected events in the market for Paylocity’s solutions; changes in the competitive environment in Paylocity’s industry and the markets in which it operates; adverse changes in general economic or market conditions; changes in the employment rates of Paylocity’s clients and the resultant impact on revenue; and other risks and potential factors that could affect Paylocity’s business and financial results identified in Paylocity’s filings with the Securities and Exchange Commission (the “SEC”), including its 10-K filed with the SEC on August 10, 2018. Additional information will also be set forth in Paylocity’s future quarterly reports on Form 10-Q, annual reports on Form 10-K and other filings that Paylocity makes with the SEC. These forward-looking statements represent Paylocity’s expectations as of the date of this press release. Subsequent events may cause these expectations to change, and Paylocity disclaims any obligations to update or alter these forward-looking statements in the future,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137,193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90,856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Corporate investments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48,159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Deferred contract costs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19,765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11,248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21,922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 before funds held for clients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152,626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185,839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Funds held for clients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1,225,614</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1,722,309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1,378,240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1,908,148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21,094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24,584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62,029</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64,893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11,314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9,590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9,590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73,701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Long-term prepaid expenses and other</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1,504</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22,140</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1,507,599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2,094,996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42,241</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48,396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Total current liabilities before client fund obligations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45,231</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53,740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Client fund obligations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1,225,614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1,722,309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1,270,845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1,776,049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22,812</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29,907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1,294,775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1,808,771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Stockholders’ equity:</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tcPr>
          <w:p>
            <w:pPr>
              <w:ind w:left="160"/>
              <w:spacing w:after="0" w:line="201" w:lineRule="exact"/>
              <w:rPr>
                <w:sz w:val="20"/>
                <w:szCs w:val="20"/>
                <w:color w:val="auto"/>
              </w:rPr>
            </w:pPr>
            <w:r>
              <w:rPr>
                <w:rFonts w:ascii="Arial" w:cs="Arial" w:eastAsia="Arial" w:hAnsi="Arial"/>
                <w:sz w:val="18"/>
                <w:szCs w:val="18"/>
                <w:color w:val="auto"/>
                <w:w w:val="91"/>
              </w:rPr>
              <w:t>Preferred stock, $0.001 par value, 5,000 authorized, no shares issued and outstanding at June 30, 2018 and</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March 31, 2019</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$0.001 par value, 155,000 shares authorized at June 30, 2018 and March 31, 2019; 52,758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shares issued and outstanding at June 30, 2018 and 52,964 shares issued and outstanding at March 31,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219,588</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196,574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89,576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212,824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1,507,599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2,094,996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1" w:name="page12"/>
    <w:bookmarkEnd w:id="11"/>
    <w:p>
      <w:pPr>
        <w:jc w:val="center"/>
        <w:ind w:right="40"/>
        <w:spacing w:after="0" w:line="266" w:lineRule="auto"/>
        <w:rPr>
          <w:sz w:val="20"/>
          <w:szCs w:val="20"/>
          <w:color w:val="auto"/>
        </w:rPr>
      </w:pPr>
      <w:r>
        <w:rPr>
          <w:rFonts w:ascii="Arial" w:cs="Arial" w:eastAsia="Arial" w:hAnsi="Arial"/>
          <w:sz w:val="18"/>
          <w:szCs w:val="18"/>
          <w:b w:val="1"/>
          <w:bCs w:val="1"/>
          <w:color w:val="auto"/>
        </w:rPr>
        <w:t>PAYLOCITY HOLDING CORPORATION Unaudited Consolidated Statements of Operations and Comprehensive Income (in thousands, except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80"/>
              <w:spacing w:after="0"/>
              <w:rPr>
                <w:sz w:val="20"/>
                <w:szCs w:val="20"/>
                <w:color w:val="auto"/>
              </w:rPr>
            </w:pPr>
            <w:r>
              <w:rPr>
                <w:rFonts w:ascii="Arial" w:cs="Arial" w:eastAsia="Arial" w:hAnsi="Arial"/>
                <w:sz w:val="18"/>
                <w:szCs w:val="18"/>
                <w:color w:val="auto"/>
              </w:rPr>
              <w:t>Recurring fees</w:t>
            </w:r>
          </w:p>
        </w:tc>
        <w:tc>
          <w:tcPr>
            <w:tcW w:w="6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105,857</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129,976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264,443</w:t>
            </w:r>
          </w:p>
        </w:tc>
        <w:tc>
          <w:tcPr>
            <w:tcW w:w="180" w:type="dxa"/>
            <w:vAlign w:val="bottom"/>
          </w:tcPr>
          <w:p>
            <w:pPr>
              <w:spacing w:after="0"/>
              <w:rPr>
                <w:sz w:val="18"/>
                <w:szCs w:val="18"/>
                <w:color w:val="auto"/>
              </w:rPr>
            </w:pP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326,012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on funds held for clients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ind w:left="360"/>
              <w:spacing w:after="0"/>
              <w:rPr>
                <w:sz w:val="20"/>
                <w:szCs w:val="20"/>
                <w:color w:val="auto"/>
              </w:rPr>
            </w:pPr>
            <w:r>
              <w:rPr>
                <w:rFonts w:ascii="Arial" w:cs="Arial" w:eastAsia="Arial" w:hAnsi="Arial"/>
                <w:sz w:val="18"/>
                <w:szCs w:val="18"/>
                <w:color w:val="auto"/>
              </w:rPr>
              <w:t>Total recurring revenues</w:t>
            </w: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136,173</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270,562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Implementation services and other</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113,407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139,552</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280,911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347,260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revenues:</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80"/>
              <w:spacing w:after="0"/>
              <w:rPr>
                <w:sz w:val="20"/>
                <w:szCs w:val="20"/>
                <w:color w:val="auto"/>
              </w:rPr>
            </w:pPr>
            <w:r>
              <w:rPr>
                <w:rFonts w:ascii="Arial" w:cs="Arial" w:eastAsia="Arial" w:hAnsi="Arial"/>
                <w:sz w:val="18"/>
                <w:szCs w:val="18"/>
                <w:color w:val="auto"/>
              </w:rPr>
              <w:t>Recurring revenues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26,982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32,365</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76,711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Implementation services and other</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7,380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38,652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39,745</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110,451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99,807</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27,699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68,782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9,058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12,688</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27,227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23,208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53,338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54,290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63,595</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149,347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540</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(18,497)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8,726</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(18,573)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(losses) on securities, net of tax</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28,187</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00" w:type="dxa"/>
            <w:vAlign w:val="bottom"/>
          </w:tcPr>
          <w:p>
            <w:pPr>
              <w:ind w:left="180"/>
              <w:spacing w:after="0"/>
              <w:rPr>
                <w:sz w:val="20"/>
                <w:szCs w:val="20"/>
                <w:color w:val="auto"/>
              </w:rPr>
            </w:pPr>
            <w:r>
              <w:rPr>
                <w:rFonts w:ascii="Arial" w:cs="Arial" w:eastAsia="Arial" w:hAnsi="Arial"/>
                <w:sz w:val="18"/>
                <w:szCs w:val="18"/>
                <w:color w:val="auto"/>
              </w:rPr>
              <w:t>Basic</w:t>
            </w:r>
          </w:p>
        </w:tc>
        <w:tc>
          <w:tcPr>
            <w:tcW w:w="6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0.74</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0.53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0.77</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Weighted-average shares used in computing net income per share: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0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52,615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52,934</w:t>
            </w:r>
          </w:p>
        </w:tc>
        <w:tc>
          <w:tcPr>
            <w:tcW w:w="2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52,334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52,880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55,030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55,465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54,717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55,280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and employer payroll taxes related to stock releases and option exercises are included in the above line items: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gridSpan w:val="3"/>
          </w:tcPr>
          <w:p>
            <w:pPr>
              <w:jc w:val="right"/>
              <w:ind w:right="266"/>
              <w:spacing w:after="0"/>
              <w:rPr>
                <w:sz w:val="20"/>
                <w:szCs w:val="20"/>
                <w:color w:val="auto"/>
              </w:rPr>
            </w:pPr>
            <w:r>
              <w:rPr>
                <w:rFonts w:ascii="Arial" w:cs="Arial" w:eastAsia="Arial" w:hAnsi="Arial"/>
                <w:sz w:val="14"/>
                <w:szCs w:val="14"/>
                <w:b w:val="1"/>
                <w:bCs w:val="1"/>
                <w:color w:val="auto"/>
                <w:w w:val="91"/>
              </w:rPr>
              <w:t>Three months 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586"/>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Pr>
          <w:p>
            <w:pPr>
              <w:spacing w:after="0"/>
              <w:rPr>
                <w:sz w:val="12"/>
                <w:szCs w:val="12"/>
                <w:color w:val="auto"/>
              </w:rPr>
            </w:pPr>
          </w:p>
        </w:tc>
      </w:tr>
      <w:tr>
        <w:trPr>
          <w:trHeight w:val="210"/>
        </w:trPr>
        <w:tc>
          <w:tcPr>
            <w:tcW w:w="1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800" w:type="dxa"/>
            <w:vAlign w:val="bottom"/>
            <w:shd w:val="clear" w:color="auto" w:fill="CCEEFF"/>
          </w:tcPr>
          <w:p>
            <w:pPr>
              <w:jc w:val="right"/>
              <w:ind w:right="6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revenue - implementation services and other</w:t>
            </w:r>
          </w:p>
        </w:tc>
        <w:tc>
          <w:tcPr>
            <w:tcW w:w="8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394</w:t>
            </w:r>
          </w:p>
        </w:tc>
        <w:tc>
          <w:tcPr>
            <w:tcW w:w="8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457</w:t>
            </w:r>
          </w:p>
        </w:tc>
        <w:tc>
          <w:tcPr>
            <w:tcW w:w="3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1,228</w:t>
            </w:r>
          </w:p>
        </w:tc>
        <w:tc>
          <w:tcPr>
            <w:tcW w:w="5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1,593</w:t>
            </w: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1,880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5,856</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5,851</w:t>
            </w:r>
          </w:p>
        </w:tc>
        <w:tc>
          <w:tcPr>
            <w:tcW w:w="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983</w:t>
            </w:r>
          </w:p>
        </w:tc>
        <w:tc>
          <w:tcPr>
            <w:tcW w:w="8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1,349</w:t>
            </w:r>
          </w:p>
        </w:tc>
        <w:tc>
          <w:tcPr>
            <w:tcW w:w="3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3,036</w:t>
            </w:r>
          </w:p>
        </w:tc>
        <w:tc>
          <w:tcPr>
            <w:tcW w:w="5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4,480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3,959</w:t>
            </w: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5,154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10,820</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16,281</w:t>
            </w:r>
          </w:p>
        </w:tc>
        <w:tc>
          <w:tcPr>
            <w:tcW w:w="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7,692</w:t>
            </w:r>
          </w:p>
        </w:tc>
        <w:tc>
          <w:tcPr>
            <w:tcW w:w="3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9,652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23,193</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41"/>
        </w:trPr>
        <w:tc>
          <w:tcPr>
            <w:tcW w:w="18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 (1)</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40,151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21,891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20,640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expense (benefit)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149</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accretion of discounts and amortization of premiums on available-for-sale securities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60"/>
              <w:spacing w:after="0"/>
              <w:rPr>
                <w:sz w:val="20"/>
                <w:szCs w:val="20"/>
                <w:color w:val="auto"/>
              </w:rPr>
            </w:pPr>
            <w:r>
              <w:rPr>
                <w:rFonts w:ascii="Arial" w:cs="Arial" w:eastAsia="Arial" w:hAnsi="Arial"/>
                <w:sz w:val="18"/>
                <w:szCs w:val="18"/>
                <w:color w:val="auto"/>
              </w:rPr>
              <w:t>Net realized losses on sales of available-for-sale securities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equipment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540"/>
              <w:spacing w:after="0"/>
              <w:rPr>
                <w:sz w:val="20"/>
                <w:szCs w:val="20"/>
                <w:color w:val="auto"/>
              </w:rPr>
            </w:pPr>
            <w:r>
              <w:rPr>
                <w:rFonts w:ascii="Arial" w:cs="Arial" w:eastAsia="Arial" w:hAnsi="Arial"/>
                <w:sz w:val="18"/>
                <w:szCs w:val="18"/>
                <w:color w:val="auto"/>
              </w:rPr>
              <w:t>Deferred contract costs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429</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1,762</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540"/>
              <w:spacing w:after="0"/>
              <w:rPr>
                <w:sz w:val="20"/>
                <w:szCs w:val="20"/>
                <w:color w:val="auto"/>
              </w:rPr>
            </w:pPr>
            <w:r>
              <w:rPr>
                <w:rFonts w:ascii="Arial" w:cs="Arial" w:eastAsia="Arial" w:hAnsi="Arial"/>
                <w:sz w:val="18"/>
                <w:szCs w:val="18"/>
                <w:color w:val="auto"/>
              </w:rPr>
              <w:t>Tenant improvement allowance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5,952</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69,343</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Purchases of available-for-sale securities and other</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(126,065)</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(210,374)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51,292</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Capitalized internal-use software costs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(11,442)</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Lease allowances used for tenant improvements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(7,086)</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business, net of cash and funds held for clients’ cash and cash equivalents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(109,333)</w:t>
            </w: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client fund obligations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403,375</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Repurchases of common shares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2,045</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396,360</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442,864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funds held for clients’ cash and cash equivalents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356,370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w w:val="98"/>
              </w:rPr>
              <w:t>Cash, cash equivalents and funds held for clients’ cash and cash equivalents—beginning of period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1,045,927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1,239,731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funds held for clients’ cash and cash equivalents—end of period</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1,402,297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1,687,575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7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 and internal-use software, accrued but not paid</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7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 net of refunds</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6"/>
              </w:rPr>
              <w:t>Reconciliation of cash, cash equivalents and funds held for clients’ cash and cash equivalents to the</w:t>
            </w: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72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Consolidated Balance Sheets</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129,530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90,856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1,272,767</w:t>
            </w:r>
          </w:p>
        </w:tc>
        <w:tc>
          <w:tcPr>
            <w:tcW w:w="50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1,596,719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cash, cash equivalents and funds held for client’s cash and cash and cash equivalents</w:t>
            </w: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1,402,297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1,687,575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00" w:hanging="328"/>
        <w:spacing w:after="0" w:line="277"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amounts have been reclassified to reflect the adoption of Accounting Standards Update (“ASU”) No. 2016-18, “Statement of Cash Flows (Topic 230): Restricted Cash (a consensus of the FASB Emerging Issues Task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Paylocity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2"/>
              </w:rPr>
              <w:t>Three months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1"/>
              </w:rPr>
              <w:t>Nine months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4"/>
          </w:tcPr>
          <w:p>
            <w:pPr>
              <w:jc w:val="right"/>
              <w:ind w:right="190"/>
              <w:spacing w:after="0" w:line="149" w:lineRule="exact"/>
              <w:rPr>
                <w:sz w:val="20"/>
                <w:szCs w:val="20"/>
                <w:color w:val="auto"/>
              </w:rPr>
            </w:pPr>
            <w:r>
              <w:rPr>
                <w:rFonts w:ascii="Arial" w:cs="Arial" w:eastAsia="Arial" w:hAnsi="Arial"/>
                <w:sz w:val="14"/>
                <w:szCs w:val="14"/>
                <w:b w:val="1"/>
                <w:bCs w:val="1"/>
                <w:color w:val="auto"/>
              </w:rPr>
              <w:t>Ended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4"/>
          </w:tcPr>
          <w:p>
            <w:pPr>
              <w:jc w:val="right"/>
              <w:ind w:right="230"/>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from gross profit to adjusted gross profit: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74,755</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99,807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170,460</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233,503</w:t>
            </w: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12,854</w:t>
            </w:r>
          </w:p>
        </w:tc>
        <w:tc>
          <w:tcPr>
            <w:tcW w:w="40" w:type="dxa"/>
            <w:vAlign w:val="bottom"/>
          </w:tcPr>
          <w:p>
            <w:pPr>
              <w:spacing w:after="0"/>
              <w:rPr>
                <w:sz w:val="18"/>
                <w:szCs w:val="18"/>
                <w:color w:val="auto"/>
              </w:rPr>
            </w:pP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 stock</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releases and option exercises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1,269</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3,481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4,184</w:t>
            </w:r>
          </w:p>
        </w:tc>
        <w:tc>
          <w:tcPr>
            <w:tcW w:w="40" w:type="dxa"/>
            <w:vAlign w:val="bottom"/>
          </w:tcPr>
          <w:p>
            <w:pPr>
              <w:spacing w:after="0"/>
              <w:rPr>
                <w:sz w:val="20"/>
                <w:szCs w:val="20"/>
                <w:color w:val="auto"/>
              </w:rPr>
            </w:pPr>
          </w:p>
        </w:tc>
      </w:tr>
      <w:tr>
        <w:trPr>
          <w:trHeight w:val="21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2"/>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2"/>
              </w:rPr>
              <w:t>Three months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1"/>
              </w:rPr>
              <w:t>Nine months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4"/>
          </w:tcPr>
          <w:p>
            <w:pPr>
              <w:jc w:val="right"/>
              <w:ind w:right="190"/>
              <w:spacing w:after="0" w:line="149" w:lineRule="exact"/>
              <w:rPr>
                <w:sz w:val="20"/>
                <w:szCs w:val="20"/>
                <w:color w:val="auto"/>
              </w:rPr>
            </w:pPr>
            <w:r>
              <w:rPr>
                <w:rFonts w:ascii="Arial" w:cs="Arial" w:eastAsia="Arial" w:hAnsi="Arial"/>
                <w:sz w:val="14"/>
                <w:szCs w:val="14"/>
                <w:b w:val="1"/>
                <w:bCs w:val="1"/>
                <w:color w:val="auto"/>
              </w:rPr>
              <w:t>Ended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4"/>
          </w:tcPr>
          <w:p>
            <w:pPr>
              <w:jc w:val="right"/>
              <w:ind w:right="230"/>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78"/>
        </w:trPr>
        <w:tc>
          <w:tcPr>
            <w:tcW w:w="60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Reconciliation from total recurring revenues to adjusted recurring gross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profit: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Total recurring revenues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108,576</w:t>
            </w:r>
          </w:p>
        </w:tc>
        <w:tc>
          <w:tcPr>
            <w:tcW w:w="14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136,173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270,562</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340,176</w:t>
            </w: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32,365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76,711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92,802</w:t>
            </w:r>
          </w:p>
        </w:tc>
        <w:tc>
          <w:tcPr>
            <w:tcW w:w="40" w:type="dxa"/>
            <w:vAlign w:val="bottom"/>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Recurring gross profit</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103,808</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247,374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12,854</w:t>
            </w:r>
          </w:p>
        </w:tc>
        <w:tc>
          <w:tcPr>
            <w:tcW w:w="40" w:type="dxa"/>
            <w:vAlign w:val="bottom"/>
          </w:tcPr>
          <w:p>
            <w:pPr>
              <w:spacing w:after="0"/>
              <w:rPr>
                <w:sz w:val="18"/>
                <w:szCs w:val="18"/>
                <w:color w:val="auto"/>
              </w:rPr>
            </w:pP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 stock</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releases and option exercises</w:t>
            </w: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812</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2,253</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2,781</w:t>
            </w:r>
          </w:p>
        </w:tc>
        <w:tc>
          <w:tcPr>
            <w:tcW w:w="40" w:type="dxa"/>
            <w:vAlign w:val="bottom"/>
          </w:tcPr>
          <w:p>
            <w:pPr>
              <w:spacing w:after="0"/>
              <w:rPr>
                <w:sz w:val="20"/>
                <w:szCs w:val="20"/>
                <w:color w:val="auto"/>
              </w:rPr>
            </w:pPr>
          </w:p>
        </w:tc>
      </w:tr>
      <w:tr>
        <w:trPr>
          <w:trHeight w:val="21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recurring gross profit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206,462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2"/>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2"/>
              </w:rPr>
              <w:t>Three months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1"/>
              </w:rPr>
              <w:t>Nine months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4"/>
          </w:tcPr>
          <w:p>
            <w:pPr>
              <w:jc w:val="right"/>
              <w:ind w:right="190"/>
              <w:spacing w:after="0" w:line="149" w:lineRule="exact"/>
              <w:rPr>
                <w:sz w:val="20"/>
                <w:szCs w:val="20"/>
                <w:color w:val="auto"/>
              </w:rPr>
            </w:pPr>
            <w:r>
              <w:rPr>
                <w:rFonts w:ascii="Arial" w:cs="Arial" w:eastAsia="Arial" w:hAnsi="Arial"/>
                <w:sz w:val="14"/>
                <w:szCs w:val="14"/>
                <w:b w:val="1"/>
                <w:bCs w:val="1"/>
                <w:color w:val="auto"/>
              </w:rPr>
              <w:t>Ended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4"/>
          </w:tcPr>
          <w:p>
            <w:pPr>
              <w:jc w:val="right"/>
              <w:ind w:right="230"/>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from operating income to non-GAAP operating income: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20,465</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36,212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21,113</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47,015</w:t>
            </w:r>
          </w:p>
        </w:tc>
        <w:tc>
          <w:tcPr>
            <w:tcW w:w="40" w:type="dxa"/>
            <w:vAlign w:val="bottom"/>
          </w:tcPr>
          <w:p>
            <w:pPr>
              <w:spacing w:after="0"/>
              <w:rPr>
                <w:sz w:val="18"/>
                <w:szCs w:val="18"/>
                <w:color w:val="auto"/>
              </w:rPr>
            </w:pPr>
          </w:p>
        </w:tc>
      </w:tr>
      <w:tr>
        <w:trPr>
          <w:trHeight w:val="202"/>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 stock</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releases and option exercises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9,652</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23,193</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30,796</w:t>
            </w:r>
          </w:p>
        </w:tc>
        <w:tc>
          <w:tcPr>
            <w:tcW w:w="40" w:type="dxa"/>
            <w:vAlign w:val="bottom"/>
          </w:tcPr>
          <w:p>
            <w:pPr>
              <w:spacing w:after="0"/>
              <w:rPr>
                <w:sz w:val="20"/>
                <w:szCs w:val="20"/>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Amortization of acquired intangibles</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562</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1,688</w:t>
            </w: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46,426</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45,573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2"/>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2"/>
              </w:rPr>
              <w:t>Three months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1"/>
              </w:rPr>
              <w:t>Nine months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4"/>
          </w:tcPr>
          <w:p>
            <w:pPr>
              <w:jc w:val="right"/>
              <w:ind w:right="190"/>
              <w:spacing w:after="0" w:line="149" w:lineRule="exact"/>
              <w:rPr>
                <w:sz w:val="20"/>
                <w:szCs w:val="20"/>
                <w:color w:val="auto"/>
              </w:rPr>
            </w:pPr>
            <w:r>
              <w:rPr>
                <w:rFonts w:ascii="Arial" w:cs="Arial" w:eastAsia="Arial" w:hAnsi="Arial"/>
                <w:sz w:val="14"/>
                <w:szCs w:val="14"/>
                <w:b w:val="1"/>
                <w:bCs w:val="1"/>
                <w:color w:val="auto"/>
              </w:rPr>
              <w:t>Ended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4"/>
          </w:tcPr>
          <w:p>
            <w:pPr>
              <w:jc w:val="right"/>
              <w:ind w:right="230"/>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from net income to non-GAAP net income: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39,177</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28,026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40,151</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43,582</w:t>
            </w:r>
          </w:p>
        </w:tc>
        <w:tc>
          <w:tcPr>
            <w:tcW w:w="40" w:type="dxa"/>
            <w:vAlign w:val="bottom"/>
          </w:tcPr>
          <w:p>
            <w:pPr>
              <w:spacing w:after="0"/>
              <w:rPr>
                <w:sz w:val="18"/>
                <w:szCs w:val="18"/>
                <w:color w:val="auto"/>
              </w:rPr>
            </w:pPr>
          </w:p>
        </w:tc>
      </w:tr>
      <w:tr>
        <w:trPr>
          <w:trHeight w:val="202"/>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 stock</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releases and option exercises, net of tax</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6,963</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17,627</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21,865</w:t>
            </w:r>
          </w:p>
        </w:tc>
        <w:tc>
          <w:tcPr>
            <w:tcW w:w="40" w:type="dxa"/>
            <w:vAlign w:val="bottom"/>
          </w:tcPr>
          <w:p>
            <w:pPr>
              <w:spacing w:after="0"/>
              <w:rPr>
                <w:sz w:val="20"/>
                <w:szCs w:val="20"/>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Amortization of acquired intangibles, net of tax</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404</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Impact of one-time reversal of valuation allowance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(22,585)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Acquisition-related costs, net of tax</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8"/>
              </w:rPr>
              <w:t>Excess tax benefit related to employee stock-based compensation payments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(10,973)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(9,352)</w:t>
            </w:r>
          </w:p>
        </w:tc>
        <w:tc>
          <w:tcPr>
            <w:tcW w:w="40" w:type="dxa"/>
            <w:vAlign w:val="bottom"/>
          </w:tcPr>
          <w:p>
            <w:pPr>
              <w:spacing w:after="0"/>
              <w:rPr>
                <w:sz w:val="18"/>
                <w:szCs w:val="18"/>
                <w:color w:val="auto"/>
              </w:rPr>
            </w:pPr>
          </w:p>
        </w:tc>
      </w:tr>
      <w:tr>
        <w:trPr>
          <w:trHeight w:val="224"/>
        </w:trPr>
        <w:tc>
          <w:tcPr>
            <w:tcW w:w="6060" w:type="dxa"/>
            <w:vAlign w:val="bottom"/>
          </w:tcPr>
          <w:p>
            <w:pPr>
              <w:spacing w:after="0"/>
              <w:rPr>
                <w:sz w:val="20"/>
                <w:szCs w:val="20"/>
                <w:color w:val="auto"/>
              </w:rPr>
            </w:pPr>
            <w:r>
              <w:rPr>
                <w:rFonts w:ascii="Arial" w:cs="Arial" w:eastAsia="Arial" w:hAnsi="Arial"/>
                <w:sz w:val="18"/>
                <w:szCs w:val="18"/>
                <w:color w:val="auto"/>
              </w:rPr>
              <w:t>Non-GAAP net income</w:t>
            </w: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33,506</w:t>
            </w: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57,293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28"/>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2"/>
              </w:rPr>
              <w:t>Three months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1"/>
              </w:rPr>
              <w:t>Nine months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4"/>
          </w:tcPr>
          <w:p>
            <w:pPr>
              <w:jc w:val="right"/>
              <w:ind w:right="190"/>
              <w:spacing w:after="0" w:line="149" w:lineRule="exact"/>
              <w:rPr>
                <w:sz w:val="20"/>
                <w:szCs w:val="20"/>
                <w:color w:val="auto"/>
              </w:rPr>
            </w:pPr>
            <w:r>
              <w:rPr>
                <w:rFonts w:ascii="Arial" w:cs="Arial" w:eastAsia="Arial" w:hAnsi="Arial"/>
                <w:sz w:val="14"/>
                <w:szCs w:val="14"/>
                <w:b w:val="1"/>
                <w:bCs w:val="1"/>
                <w:color w:val="auto"/>
              </w:rPr>
              <w:t>Ended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4"/>
          </w:tcPr>
          <w:p>
            <w:pPr>
              <w:jc w:val="right"/>
              <w:ind w:right="230"/>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Calculation of non-GAAP net income per share: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Non-GAAP net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7,990</w:t>
            </w:r>
          </w:p>
        </w:tc>
        <w:tc>
          <w:tcPr>
            <w:tcW w:w="14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33,506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25,183</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57,293</w:t>
            </w: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number of common shares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55,465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55,280</w:t>
            </w:r>
          </w:p>
        </w:tc>
        <w:tc>
          <w:tcPr>
            <w:tcW w:w="40" w:type="dxa"/>
            <w:vAlign w:val="bottom"/>
          </w:tcPr>
          <w:p>
            <w:pPr>
              <w:spacing w:after="0"/>
              <w:rPr>
                <w:sz w:val="18"/>
                <w:szCs w:val="18"/>
                <w:color w:val="auto"/>
              </w:rPr>
            </w:pPr>
          </w:p>
        </w:tc>
      </w:tr>
      <w:tr>
        <w:trPr>
          <w:trHeight w:val="224"/>
        </w:trPr>
        <w:tc>
          <w:tcPr>
            <w:tcW w:w="6060" w:type="dxa"/>
            <w:vAlign w:val="bottom"/>
          </w:tcPr>
          <w:p>
            <w:pPr>
              <w:spacing w:after="0"/>
              <w:rPr>
                <w:sz w:val="20"/>
                <w:szCs w:val="20"/>
                <w:color w:val="auto"/>
              </w:rPr>
            </w:pPr>
            <w:r>
              <w:rPr>
                <w:rFonts w:ascii="Arial" w:cs="Arial" w:eastAsia="Arial" w:hAnsi="Arial"/>
                <w:sz w:val="18"/>
                <w:szCs w:val="18"/>
                <w:color w:val="auto"/>
              </w:rPr>
              <w:t>Non-GAAP net income per share</w:t>
            </w: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4"/>
        </w:trPr>
        <w:tc>
          <w:tcPr>
            <w:tcW w:w="60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2"/>
              </w:rPr>
              <w:t>Three months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1"/>
              </w:rPr>
              <w:t>Nine months</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4"/>
          </w:tcPr>
          <w:p>
            <w:pPr>
              <w:jc w:val="right"/>
              <w:ind w:right="190"/>
              <w:spacing w:after="0" w:line="149" w:lineRule="exact"/>
              <w:rPr>
                <w:sz w:val="20"/>
                <w:szCs w:val="20"/>
                <w:color w:val="auto"/>
              </w:rPr>
            </w:pPr>
            <w:r>
              <w:rPr>
                <w:rFonts w:ascii="Arial" w:cs="Arial" w:eastAsia="Arial" w:hAnsi="Arial"/>
                <w:sz w:val="14"/>
                <w:szCs w:val="14"/>
                <w:b w:val="1"/>
                <w:bCs w:val="1"/>
                <w:color w:val="auto"/>
              </w:rPr>
              <w:t>Ended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4"/>
          </w:tcPr>
          <w:p>
            <w:pPr>
              <w:jc w:val="right"/>
              <w:ind w:right="230"/>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from net income to Adjusted EBITDA:</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39,177</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28,026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40,151</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43,582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(18,497)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8,726</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(18,573)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20,640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25,213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EBITDA</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45,164</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 stock</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releases and option exercises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9,652</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23,193</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30,796</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Acquisition-related costs</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2"/>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2"/>
              </w:rPr>
              <w:t>Three months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1"/>
              </w:rPr>
              <w:t>Nine months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4"/>
          </w:tcPr>
          <w:p>
            <w:pPr>
              <w:jc w:val="right"/>
              <w:ind w:right="190"/>
              <w:spacing w:after="0" w:line="149" w:lineRule="exact"/>
              <w:rPr>
                <w:sz w:val="20"/>
                <w:szCs w:val="20"/>
                <w:color w:val="auto"/>
              </w:rPr>
            </w:pPr>
            <w:r>
              <w:rPr>
                <w:rFonts w:ascii="Arial" w:cs="Arial" w:eastAsia="Arial" w:hAnsi="Arial"/>
                <w:sz w:val="14"/>
                <w:szCs w:val="14"/>
                <w:b w:val="1"/>
                <w:bCs w:val="1"/>
                <w:color w:val="auto"/>
              </w:rPr>
              <w:t>Ended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4"/>
          </w:tcPr>
          <w:p>
            <w:pPr>
              <w:jc w:val="right"/>
              <w:ind w:right="230"/>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of non-GAAP Sales and Marketing:</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26,004</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27,699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68,782</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80,687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 stock</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releases and option exercises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1,880</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5,856</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5,851</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Non-GAAP Sales and Marketing</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25,819</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62,926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2"/>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2"/>
              </w:rPr>
              <w:t>Three months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1"/>
              </w:rPr>
              <w:t>Nine months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4"/>
          </w:tcPr>
          <w:p>
            <w:pPr>
              <w:jc w:val="right"/>
              <w:ind w:right="190"/>
              <w:spacing w:after="0" w:line="149" w:lineRule="exact"/>
              <w:rPr>
                <w:sz w:val="20"/>
                <w:szCs w:val="20"/>
                <w:color w:val="auto"/>
              </w:rPr>
            </w:pPr>
            <w:r>
              <w:rPr>
                <w:rFonts w:ascii="Arial" w:cs="Arial" w:eastAsia="Arial" w:hAnsi="Arial"/>
                <w:sz w:val="14"/>
                <w:szCs w:val="14"/>
                <w:b w:val="1"/>
                <w:bCs w:val="1"/>
                <w:color w:val="auto"/>
              </w:rPr>
              <w:t>Ended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4"/>
          </w:tcPr>
          <w:p>
            <w:pPr>
              <w:jc w:val="right"/>
              <w:ind w:right="230"/>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of non-GAAP Total Research and Development: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9,058</w:t>
            </w:r>
          </w:p>
        </w:tc>
        <w:tc>
          <w:tcPr>
            <w:tcW w:w="14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12,688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27,227</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36,886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14,706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 stock</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releases and option exercises</w:t>
            </w: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983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1,349</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3,036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4,480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Total Research and Development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2"/>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2"/>
              </w:rPr>
              <w:t>Three months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1"/>
              </w:rPr>
              <w:t>Nine months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4"/>
          </w:tcPr>
          <w:p>
            <w:pPr>
              <w:jc w:val="right"/>
              <w:ind w:right="190"/>
              <w:spacing w:after="0" w:line="149" w:lineRule="exact"/>
              <w:rPr>
                <w:sz w:val="20"/>
                <w:szCs w:val="20"/>
                <w:color w:val="auto"/>
              </w:rPr>
            </w:pPr>
            <w:r>
              <w:rPr>
                <w:rFonts w:ascii="Arial" w:cs="Arial" w:eastAsia="Arial" w:hAnsi="Arial"/>
                <w:sz w:val="14"/>
                <w:szCs w:val="14"/>
                <w:b w:val="1"/>
                <w:bCs w:val="1"/>
                <w:color w:val="auto"/>
              </w:rPr>
              <w:t>Ended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4"/>
          </w:tcPr>
          <w:p>
            <w:pPr>
              <w:jc w:val="right"/>
              <w:ind w:right="230"/>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of non-GAAP General and Administrative: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19,228</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23,208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53,338</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68,915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 stock</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releases and option exercises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5,154</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10,820</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16,281</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Amortization of acquired intangibles</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562</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Non-GAAP General and Administrative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17,492</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41,251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60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2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2019-12-28T13:16:23Z</dcterms:created>
  <dcterms:modified xsi:type="dcterms:W3CDTF">2019-12-28T13:16:23Z</dcterms:modified>
</cp:coreProperties>
</file>