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color w:val="000000"/>
          <w:sz w:val="36"/>
          <w:shd w:fill="FFFFFF" w:val="clear"/>
        </w:rPr>
      </w:pPr>
      <w:r>
        <w:rPr>
          <w:rFonts w:ascii="Times New Roman;serif" w:hAnsi="Times New Roman;serif"/>
          <w:b/>
          <w:color w:val="000000"/>
          <w:sz w:val="36"/>
          <w:shd w:fill="FFFFFF" w:val="clear"/>
        </w:rPr>
        <w:t>UNITED STATES</w:t>
      </w:r>
    </w:p>
    <w:p>
      <w:pPr>
        <w:pStyle w:val="TextBody"/>
        <w:bidi w:val="0"/>
        <w:spacing w:lineRule="auto" w:line="288" w:before="0" w:after="0"/>
        <w:jc w:val="center"/>
        <w:rPr>
          <w:rFonts w:ascii="Times New Roman;serif" w:hAnsi="Times New Roman;serif"/>
          <w:b/>
          <w:color w:val="000000"/>
          <w:sz w:val="36"/>
          <w:shd w:fill="FFFFFF" w:val="clear"/>
        </w:rPr>
      </w:pPr>
      <w:r>
        <w:rPr>
          <w:rFonts w:ascii="Times New Roman;serif" w:hAnsi="Times New Roman;serif"/>
          <w:b/>
          <w:color w:val="000000"/>
          <w:sz w:val="36"/>
          <w:shd w:fill="FFFFFF" w:val="clear"/>
        </w:rPr>
        <w:t>SECURITIES AND EXCHANGE COMMISSION</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WASHINGTON, DC 20549</w:t>
      </w:r>
    </w:p>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______________________________</w:t>
      </w:r>
    </w:p>
    <w:p>
      <w:pPr>
        <w:pStyle w:val="TextBody"/>
        <w:bidi w:val="0"/>
        <w:spacing w:lineRule="auto" w:line="288" w:before="200" w:after="283"/>
        <w:jc w:val="center"/>
        <w:rPr>
          <w:rFonts w:ascii="Times New Roman;serif" w:hAnsi="Times New Roman;serif"/>
          <w:b/>
          <w:color w:val="000000"/>
          <w:sz w:val="36"/>
          <w:shd w:fill="FFFFFF" w:val="clear"/>
        </w:rPr>
      </w:pPr>
      <w:r>
        <w:rPr>
          <w:rFonts w:ascii="Times New Roman;serif" w:hAnsi="Times New Roman;serif"/>
          <w:b/>
          <w:color w:val="000000"/>
          <w:sz w:val="36"/>
          <w:shd w:fill="FFFFFF" w:val="clear"/>
        </w:rPr>
        <w:t>FORM 8-K</w:t>
      </w:r>
    </w:p>
    <w:p>
      <w:pPr>
        <w:pStyle w:val="TextBody"/>
        <w:bidi w:val="0"/>
        <w:spacing w:lineRule="auto" w:line="288" w:before="20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CURRENT REPORT</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Pursuant to Section 13 or 15(d) of the</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Securities Exchange Act of 1934</w:t>
      </w:r>
    </w:p>
    <w:p>
      <w:pPr>
        <w:pStyle w:val="TextBody"/>
        <w:bidi w:val="0"/>
        <w:spacing w:lineRule="auto" w:line="288" w:before="200" w:after="283"/>
        <w:jc w:val="center"/>
        <w:rPr/>
      </w:pPr>
      <w:r>
        <w:rPr>
          <w:rFonts w:ascii="Times New Roman;serif" w:hAnsi="Times New Roman;serif"/>
          <w:b w:val="false"/>
          <w:color w:val="000000"/>
          <w:sz w:val="20"/>
          <w:shd w:fill="FFFFFF" w:val="clear"/>
        </w:rPr>
        <w:t>Date of Report (Date of earliest event reported): </w:t>
      </w:r>
      <w:r>
        <w:rPr>
          <w:rFonts w:ascii="Times New Roman;serif" w:hAnsi="Times New Roman;serif"/>
          <w:b/>
          <w:color w:val="000000"/>
          <w:sz w:val="20"/>
          <w:shd w:fill="FFFFFF" w:val="clear"/>
        </w:rPr>
        <w:t>May 7, 2026</w:t>
      </w:r>
    </w:p>
    <w:p>
      <w:pPr>
        <w:pStyle w:val="TextBody"/>
        <w:bidi w:val="0"/>
        <w:spacing w:lineRule="auto" w:line="288" w:before="200" w:after="283"/>
        <w:jc w:val="center"/>
        <w:rPr/>
      </w:pPr>
      <w:r>
        <w:rPr>
          <w:rFonts w:ascii="Times New Roman;serif" w:hAnsi="Times New Roman;serif"/>
          <w:b/>
          <w:color w:val="000000"/>
          <w:sz w:val="36"/>
        </w:rPr>
        <w:t>PAYLOCITY</w:t>
      </w:r>
      <w:r>
        <w:rPr>
          <w:color w:val="000000"/>
          <w:shd w:fill="FFFFFF" w:val="clear"/>
        </w:rPr>
        <w:t xml:space="preserve"> </w:t>
      </w:r>
      <w:r>
        <w:rPr>
          <w:rFonts w:ascii="Times New Roman;serif" w:hAnsi="Times New Roman;serif"/>
          <w:b/>
          <w:color w:val="000000"/>
          <w:sz w:val="36"/>
          <w:shd w:fill="FFFFFF" w:val="clear"/>
        </w:rPr>
        <w:t>HOLDING CORPORATION</w:t>
      </w:r>
    </w:p>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(Exact name of registrant as specified in its charter)</w:t>
      </w:r>
    </w:p>
    <w:tbl>
      <w:tblPr>
        <w:tblW w:w="7483" w:type="dxa"/>
        <w:jc w:val="left"/>
        <w:tblInd w:w="0" w:type="dxa"/>
        <w:tblLayout w:type="fixed"/>
        <w:tblCellMar>
          <w:top w:w="28" w:type="dxa"/>
          <w:left w:w="28" w:type="dxa"/>
          <w:bottom w:w="28" w:type="dxa"/>
          <w:right w:w="28" w:type="dxa"/>
        </w:tblCellMar>
      </w:tblPr>
      <w:tblGrid>
        <w:gridCol w:w="922"/>
        <w:gridCol w:w="810"/>
        <w:gridCol w:w="818"/>
        <w:gridCol w:w="762"/>
        <w:gridCol w:w="762"/>
        <w:gridCol w:w="770"/>
        <w:gridCol w:w="770"/>
        <w:gridCol w:w="770"/>
        <w:gridCol w:w="1099"/>
      </w:tblGrid>
      <w:tr>
        <w:trPr/>
        <w:tc>
          <w:tcPr>
            <w:tcW w:w="922"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001-36348</w:t>
            </w:r>
          </w:p>
        </w:tc>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46-4066644</w:t>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(State or Other Jurisdiction of </w:t>
              <w:br/>
              <w:t>Incorporation)</w:t>
            </w:r>
          </w:p>
        </w:tc>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26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w:t>
              <w:br/>
              <w:t>Number)</w:t>
            </w:r>
          </w:p>
        </w:tc>
      </w:tr>
    </w:tbl>
    <w:p>
      <w:pPr>
        <w:pStyle w:val="TextBody"/>
        <w:bidi w:val="0"/>
        <w:spacing w:lineRule="auto" w:line="288" w:before="12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1400 American Lane</w:t>
      </w:r>
    </w:p>
    <w:p>
      <w:pPr>
        <w:pStyle w:val="TextBody"/>
        <w:bidi w:val="0"/>
        <w:spacing w:lineRule="auto" w:line="288" w:before="12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Schaumburg, Illinois 60173</w:t>
      </w:r>
    </w:p>
    <w:p>
      <w:pPr>
        <w:pStyle w:val="TextBody"/>
        <w:bidi w:val="0"/>
        <w:spacing w:lineRule="auto" w:line="288" w:before="120" w:after="283"/>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(Address of principal executive offices, including zip code)</w:t>
      </w:r>
    </w:p>
    <w:p>
      <w:pPr>
        <w:pStyle w:val="TextBody"/>
        <w:bidi w:val="0"/>
        <w:spacing w:lineRule="auto" w:line="288" w:before="12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(847) 463-3200</w:t>
      </w:r>
    </w:p>
    <w:p>
      <w:pPr>
        <w:pStyle w:val="TextBody"/>
        <w:bidi w:val="0"/>
        <w:spacing w:lineRule="auto" w:line="288" w:before="120" w:after="283"/>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(Registrant’s telephone number, including area code)</w:t>
      </w:r>
    </w:p>
    <w:p>
      <w:pPr>
        <w:pStyle w:val="TextBody"/>
        <w:bidi w:val="0"/>
        <w:spacing w:lineRule="auto" w:line="288" w:before="12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Not Applicable</w:t>
      </w:r>
    </w:p>
    <w:p>
      <w:pPr>
        <w:pStyle w:val="TextBody"/>
        <w:bidi w:val="0"/>
        <w:spacing w:lineRule="auto" w:line="288" w:before="120" w:after="283"/>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(Former name or former address, if changed since last report)</w:t>
      </w:r>
    </w:p>
    <w:p>
      <w:pPr>
        <w:pStyle w:val="TextBody"/>
        <w:bidi w:val="0"/>
        <w:spacing w:lineRule="auto" w:line="288" w:before="12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Check the appropriate box below if the Form 8-K filing is intended to simultaneously satisfy the filing obligation of the registrant under any of the following provisions:</w:t>
      </w:r>
    </w:p>
    <w:p>
      <w:pPr>
        <w:pStyle w:val="TextBody"/>
        <w:bidi w:val="0"/>
        <w:spacing w:lineRule="auto" w:line="288" w:before="120" w:after="283"/>
        <w:ind w:left="0" w:right="0" w:hanging="360"/>
        <w:jc w:val="left"/>
        <w:rPr/>
      </w:pPr>
      <w:r>
        <w:rPr>
          <w:color w:val="000000"/>
        </w:rPr>
        <w:t xml:space="preserve">☐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120" w:after="283"/>
        <w:ind w:left="0" w:right="0" w:hanging="360"/>
        <w:jc w:val="left"/>
        <w:rPr/>
      </w:pPr>
      <w:r>
        <w:rPr>
          <w:color w:val="000000"/>
        </w:rPr>
        <w:t xml:space="preserve">☐ </w:t>
      </w:r>
      <w:r>
        <w:rPr>
          <w:rFonts w:ascii="Times New Roman;serif" w:hAnsi="Times New Roman;serif"/>
          <w:b w:val="false"/>
          <w:color w:val="000000"/>
          <w:sz w:val="20"/>
        </w:rPr>
        <w:t xml:space="preserve">Soliciting material pursuant to Rule 14a-12 under the Exchange Act (17 CFR 240.14a-12) </w:t>
      </w:r>
    </w:p>
    <w:p>
      <w:pPr>
        <w:pStyle w:val="TextBody"/>
        <w:bidi w:val="0"/>
        <w:spacing w:lineRule="auto" w:line="288" w:before="120" w:after="283"/>
        <w:ind w:left="0" w:right="0" w:hanging="360"/>
        <w:jc w:val="left"/>
        <w:rPr/>
      </w:pPr>
      <w:r>
        <w:rPr>
          <w:color w:val="000000"/>
        </w:rPr>
        <w:t xml:space="preserve">☐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88" w:before="120" w:after="283"/>
        <w:ind w:left="0" w:right="0" w:hanging="360"/>
        <w:jc w:val="left"/>
        <w:rPr/>
      </w:pPr>
      <w:r>
        <w:rPr>
          <w:color w:val="000000"/>
        </w:rPr>
        <w:t xml:space="preserve">☐ </w:t>
      </w:r>
      <w:r>
        <w:rPr>
          <w:rFonts w:ascii="Times New Roman;serif" w:hAnsi="Times New Roman;serif"/>
          <w:b w:val="false"/>
          <w:color w:val="000000"/>
          <w:sz w:val="20"/>
        </w:rPr>
        <w:t>Pre-commencement communications pursuant to Rule 13e-4(c) under the Exchange Act (17 CFR 240.13e-4(c))</w:t>
      </w:r>
    </w:p>
    <w:p>
      <w:pPr>
        <w:pStyle w:val="TextBody"/>
        <w:bidi w:val="0"/>
        <w:spacing w:lineRule="auto" w:line="288" w:before="120" w:after="283"/>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Securities registered pursuant to Section 12(b) of the Act:</w:t>
      </w:r>
    </w:p>
    <w:tbl>
      <w:tblPr>
        <w:tblW w:w="9119" w:type="dxa"/>
        <w:jc w:val="left"/>
        <w:tblInd w:w="0" w:type="dxa"/>
        <w:tblLayout w:type="fixed"/>
        <w:tblCellMar>
          <w:top w:w="28" w:type="dxa"/>
          <w:left w:w="28" w:type="dxa"/>
          <w:bottom w:w="28" w:type="dxa"/>
          <w:right w:w="28" w:type="dxa"/>
        </w:tblCellMar>
      </w:tblPr>
      <w:tblGrid>
        <w:gridCol w:w="1301"/>
        <w:gridCol w:w="1143"/>
        <w:gridCol w:w="1156"/>
        <w:gridCol w:w="564"/>
        <w:gridCol w:w="564"/>
        <w:gridCol w:w="566"/>
        <w:gridCol w:w="1118"/>
        <w:gridCol w:w="1118"/>
        <w:gridCol w:w="1589"/>
      </w:tblGrid>
      <w:tr>
        <w:trPr/>
        <w:tc>
          <w:tcPr>
            <w:tcW w:w="1301"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1694"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825"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3600" w:type="dxa"/>
            <w:gridSpan w:val="3"/>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$0.001 per share</w:t>
            </w:r>
          </w:p>
        </w:tc>
        <w:tc>
          <w:tcPr>
            <w:tcW w:w="1694" w:type="dxa"/>
            <w:gridSpan w:val="3"/>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PCTY</w:t>
            </w:r>
          </w:p>
        </w:tc>
        <w:tc>
          <w:tcPr>
            <w:tcW w:w="3825" w:type="dxa"/>
            <w:gridSpan w:val="3"/>
            <w:tcBorders>
              <w:top w:val="single" w:sz="8" w:space="0" w:color="000000"/>
              <w:left w:val="single" w:sz="8" w:space="0" w:color="000000"/>
              <w:bottom w:val="single" w:sz="8" w:space="0" w:color="000000"/>
              <w:right w:val="single" w:sz="8" w:space="0" w:color="000000"/>
            </w:tcBorders>
            <w:shd w:fill="FFFFFF" w:val="clear"/>
            <w:tcMar>
              <w:top w:w="30" w:type="dxa"/>
              <w:bottom w:w="3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The NASDAQ Global Select Market LLC</w:t>
            </w:r>
          </w:p>
        </w:tc>
      </w:tr>
    </w:tbl>
    <w:p>
      <w:pPr>
        <w:pStyle w:val="TextBody"/>
        <w:bidi w:val="0"/>
        <w:spacing w:lineRule="auto" w:line="288" w:before="12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120" w:after="283"/>
        <w:ind w:left="0" w:right="0" w:hanging="360"/>
        <w:jc w:val="left"/>
        <w:rPr/>
      </w:pPr>
      <w:r>
        <w:rPr>
          <w:color w:val="000000"/>
        </w:rPr>
        <w:t xml:space="preserve">☐ </w:t>
      </w:r>
      <w:r>
        <w:rPr>
          <w:rFonts w:ascii="Times New Roman;serif" w:hAnsi="Times New Roman;serif"/>
          <w:b w:val="false"/>
          <w:color w:val="000000"/>
          <w:sz w:val="20"/>
          <w:shd w:fill="FFFFFF" w:val="clear"/>
        </w:rPr>
        <w:t>Emerging growth company</w:t>
      </w:r>
    </w:p>
    <w:p>
      <w:pPr>
        <w:pStyle w:val="TextBody"/>
        <w:bidi w:val="0"/>
        <w:spacing w:lineRule="auto" w:line="288" w:before="120" w:after="283"/>
        <w:jc w:val="left"/>
        <w:rPr/>
      </w:pPr>
      <w:r>
        <w:rPr>
          <w:rFonts w:ascii="Times New Roman;serif" w:hAnsi="Times New Roman;serif"/>
          <w:b w:val="false"/>
          <w:color w:val="000000"/>
          <w:sz w:val="20"/>
          <w:shd w:fill="FFFFFF" w:val="clear"/>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Item 2.02 Results of Operations and Financial Condition.</w:t>
      </w:r>
    </w:p>
    <w:p>
      <w:pPr>
        <w:pStyle w:val="TextBody"/>
        <w:bidi w:val="0"/>
        <w:spacing w:lineRule="auto" w:line="288" w:before="200" w:after="240"/>
        <w:ind w:left="0" w:right="0" w:firstLine="720"/>
        <w:jc w:val="left"/>
        <w:rPr/>
      </w:pPr>
      <w:r>
        <w:rPr>
          <w:rFonts w:ascii="Times New Roman;serif" w:hAnsi="Times New Roman;serif"/>
          <w:b w:val="false"/>
          <w:color w:val="000000"/>
          <w:sz w:val="20"/>
          <w:shd w:fill="FFFFFF" w:val="clear"/>
        </w:rPr>
        <w:t>On May 7, 2026, Paylocity Holding Corporation (the “</w:t>
      </w:r>
      <w:r>
        <w:rPr>
          <w:rFonts w:ascii="Times New Roman;serif" w:hAnsi="Times New Roman;serif"/>
          <w:b/>
          <w:i/>
          <w:color w:val="000000"/>
          <w:sz w:val="20"/>
          <w:shd w:fill="FFFFFF" w:val="clear"/>
        </w:rPr>
        <w:t>Company</w:t>
      </w:r>
      <w:r>
        <w:rPr>
          <w:color w:val="000000"/>
          <w:shd w:fill="FFFFFF" w:val="clear"/>
        </w:rPr>
        <w:t>”</w:t>
      </w:r>
      <w:r>
        <w:rPr>
          <w:rFonts w:ascii="Times New Roman;serif" w:hAnsi="Times New Roman;serif"/>
          <w:b w:val="false"/>
          <w:color w:val="000000"/>
          <w:sz w:val="20"/>
          <w:shd w:fill="FFFFFF" w:val="clear"/>
        </w:rPr>
        <w:t xml:space="preserve">) issued a press release announcing financial results for the </w:t>
      </w:r>
      <w:r>
        <w:rPr>
          <w:rFonts w:ascii="Times New Roman;serif" w:hAnsi="Times New Roman;serif"/>
          <w:b w:val="false"/>
          <w:color w:val="000000"/>
          <w:sz w:val="20"/>
        </w:rPr>
        <w:t xml:space="preserve">three and nine </w:t>
      </w:r>
      <w:r>
        <w:rPr>
          <w:rFonts w:ascii="Times New Roman;serif" w:hAnsi="Times New Roman;serif"/>
          <w:b w:val="false"/>
          <w:color w:val="000000"/>
          <w:sz w:val="20"/>
          <w:shd w:fill="FFFFFF" w:val="clear"/>
        </w:rPr>
        <w:t>month period ended March 31, 2026. The press release contains forward-looking statements regarding the Company and includes cautionary statements identifying important factors that could cause actual results to differ materially from those anticipated.</w:t>
      </w:r>
    </w:p>
    <w:p>
      <w:pPr>
        <w:pStyle w:val="TextBody"/>
        <w:bidi w:val="0"/>
        <w:spacing w:lineRule="auto" w:line="288" w:before="200" w:after="24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press release issued May 7, 2026 is furnished herewith as Exhibit 99.1. The information in this Item 2.02, including Exhibit 99.1, is being furnished and shall not be deemed filed for purposes of Section 18 of the Securities Exchange Act of 1934 or otherwise subject to the liability of that Section, nor shall such information be deemed to be incorporated by reference in any registration statement or other document filed under the Securities Act of 1933 or the Securities Exchange Act of 1934, except as otherwise stated in such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Item 8.01 Other Events.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May 7, 2026, the Company announced that its board of directors approved an increase of $1 billion to its share repurchase program (the “Repurchase Program”), adding to the $350 million remaining available as of March 31, 2026. Under the Repurchase Program, shares may be repurchased from time-to-time in open market transactions, pursuant to 10b5-1 trading plans entered into by the Company, in private transactions or otherwise. The actual timing, number and value of shares repurchased under the Repurchase Program will depend on various factors, including the market price of the Company’s common stock, trading volume, general market conditions and other corporate and economic considerations. The Repurchase Program does not obligate the Company to repurchase any specific number of shares and may be modified, suspended or terminated at any time.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Item 9.01 Financial Statements and Exhibits.</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(d) Exhibits.</w:t>
      </w:r>
    </w:p>
    <w:tbl>
      <w:tblPr>
        <w:tblW w:w="7647" w:type="dxa"/>
        <w:jc w:val="left"/>
        <w:tblInd w:w="0" w:type="dxa"/>
        <w:tblLayout w:type="fixed"/>
        <w:tblCellMar>
          <w:top w:w="28" w:type="dxa"/>
          <w:left w:w="28" w:type="dxa"/>
          <w:bottom w:w="28" w:type="dxa"/>
          <w:right w:w="28" w:type="dxa"/>
        </w:tblCellMar>
      </w:tblPr>
      <w:tblGrid>
        <w:gridCol w:w="391"/>
        <w:gridCol w:w="344"/>
        <w:gridCol w:w="345"/>
        <w:gridCol w:w="109"/>
        <w:gridCol w:w="109"/>
        <w:gridCol w:w="109"/>
        <w:gridCol w:w="1821"/>
        <w:gridCol w:w="1821"/>
        <w:gridCol w:w="2598"/>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1" w:type="dxa"/>
            <w:tcBorders/>
            <w:vAlign w:val="center"/>
          </w:tcPr>
          <w:p>
            <w:pPr>
              <w:pStyle w:val="TableContents"/>
              <w:bidi w:val="0"/>
              <w:spacing w:before="0" w:after="283"/>
              <w:jc w:val="left"/>
              <w:rPr>
                <w:sz w:val="4"/>
                <w:szCs w:val="4"/>
              </w:rPr>
            </w:pPr>
            <w:r>
              <w:rPr>
                <w:sz w:val="4"/>
                <w:szCs w:val="4"/>
              </w:rPr>
            </w:r>
          </w:p>
        </w:tc>
        <w:tc>
          <w:tcPr>
            <w:tcW w:w="1821" w:type="dxa"/>
            <w:tcBorders/>
            <w:vAlign w:val="center"/>
          </w:tcPr>
          <w:p>
            <w:pPr>
              <w:pStyle w:val="TableContents"/>
              <w:bidi w:val="0"/>
              <w:spacing w:before="0" w:after="283"/>
              <w:jc w:val="left"/>
              <w:rPr>
                <w:sz w:val="4"/>
                <w:szCs w:val="4"/>
              </w:rPr>
            </w:pPr>
            <w:r>
              <w:rPr>
                <w:sz w:val="4"/>
                <w:szCs w:val="4"/>
              </w:rPr>
            </w:r>
          </w:p>
        </w:tc>
        <w:tc>
          <w:tcPr>
            <w:tcW w:w="2598"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108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0"/>
              <w:jc w:val="left"/>
              <w:rPr/>
            </w:pPr>
            <w:hyperlink w:anchor="pcty-20260507xex991.htm">
              <w:r>
                <w:rPr>
                  <w:rStyle w:val="InternetLink"/>
                  <w:rFonts w:ascii="Times New Roman;serif" w:hAnsi="Times New Roman;serif"/>
                  <w:b w:val="false"/>
                  <w:color w:val="0000FF"/>
                  <w:sz w:val="20"/>
                  <w:u w:val="single"/>
                </w:rPr>
                <w:t>99.1</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0"/>
              <w:jc w:val="left"/>
              <w:rPr/>
            </w:pPr>
            <w:hyperlink w:anchor="pcty-20260507xex991.htm">
              <w:r>
                <w:rPr>
                  <w:rStyle w:val="InternetLink"/>
                  <w:rFonts w:ascii="Times New Roman;serif" w:hAnsi="Times New Roman;serif"/>
                  <w:b w:val="false"/>
                  <w:color w:val="000080"/>
                  <w:sz w:val="20"/>
                  <w:u w:val="single"/>
                </w:rPr>
                <w:t xml:space="preserve">Press Release issued by Paylocity Holding Corporation dated </w:t>
              </w:r>
            </w:hyperlink>
            <w:hyperlink w:anchor="pcty-20260507xex991.htm">
              <w:r>
                <w:rPr>
                  <w:rStyle w:val="InternetLink"/>
                  <w:rFonts w:ascii="Times New Roman;serif" w:hAnsi="Times New Roman;serif"/>
                  <w:b w:val="false"/>
                  <w:color w:val="000080"/>
                  <w:sz w:val="20"/>
                  <w:u w:val="single"/>
                </w:rPr>
                <w:t>May</w:t>
              </w:r>
            </w:hyperlink>
            <w:hyperlink w:anchor="pcty-20260507xex991.htm">
              <w:r>
                <w:rPr>
                  <w:rStyle w:val="InternetLink"/>
                  <w:rFonts w:ascii="Times New Roman;serif" w:hAnsi="Times New Roman;serif"/>
                  <w:b w:val="false"/>
                  <w:color w:val="000080"/>
                  <w:sz w:val="20"/>
                  <w:u w:val="single"/>
                </w:rPr>
                <w:t xml:space="preserve"> </w:t>
              </w:r>
            </w:hyperlink>
            <w:hyperlink w:anchor="pcty-20260507xex991.htm">
              <w:r>
                <w:rPr>
                  <w:rStyle w:val="InternetLink"/>
                  <w:rFonts w:ascii="Times New Roman;serif" w:hAnsi="Times New Roman;serif"/>
                  <w:b w:val="false"/>
                  <w:color w:val="000080"/>
                  <w:sz w:val="20"/>
                  <w:u w:val="single"/>
                </w:rPr>
                <w:t>7</w:t>
              </w:r>
            </w:hyperlink>
            <w:hyperlink w:anchor="pcty-20260507xex991.htm">
              <w:r>
                <w:rPr>
                  <w:rStyle w:val="InternetLink"/>
                  <w:rFonts w:ascii="Times New Roman;serif" w:hAnsi="Times New Roman;serif"/>
                  <w:b w:val="false"/>
                  <w:color w:val="000080"/>
                  <w:sz w:val="20"/>
                  <w:u w:val="single"/>
                </w:rPr>
                <w:t>, 2026.</w:t>
              </w:r>
            </w:hyperlink>
          </w:p>
        </w:tc>
      </w:tr>
      <w:tr>
        <w:trPr/>
        <w:tc>
          <w:tcPr>
            <w:tcW w:w="1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SIGNATURES</w:t>
      </w:r>
    </w:p>
    <w:p>
      <w:pPr>
        <w:pStyle w:val="TextBody"/>
        <w:bidi w:val="0"/>
        <w:spacing w:lineRule="auto" w:line="288" w:before="200" w:after="283"/>
        <w:ind w:left="0" w:right="0" w:firstLine="5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Pursuant to the requirements of the Securities Exchange Act of 1934, as amended, the registrant has duly caused this report to be signed on its behalf by the undersigned hereunto duly authorized.</w:t>
      </w:r>
    </w:p>
    <w:tbl>
      <w:tblPr>
        <w:tblW w:w="5578" w:type="dxa"/>
        <w:jc w:val="left"/>
        <w:tblInd w:w="0" w:type="dxa"/>
        <w:tblLayout w:type="fixed"/>
        <w:tblCellMar>
          <w:top w:w="28" w:type="dxa"/>
          <w:left w:w="28" w:type="dxa"/>
          <w:bottom w:w="28" w:type="dxa"/>
          <w:right w:w="28" w:type="dxa"/>
        </w:tblCellMar>
      </w:tblPr>
      <w:tblGrid>
        <w:gridCol w:w="591"/>
        <w:gridCol w:w="520"/>
        <w:gridCol w:w="523"/>
        <w:gridCol w:w="134"/>
        <w:gridCol w:w="134"/>
        <w:gridCol w:w="136"/>
        <w:gridCol w:w="1037"/>
        <w:gridCol w:w="1037"/>
        <w:gridCol w:w="1466"/>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466"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PAYLOCITY HOLDING CORPORATION</w:t>
            </w:r>
          </w:p>
        </w:tc>
      </w:tr>
      <w:tr>
        <w:trPr/>
        <w:tc>
          <w:tcPr>
            <w:tcW w:w="16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May 7, 2026</w:t>
            </w:r>
          </w:p>
        </w:tc>
        <w:tc>
          <w:tcPr>
            <w:tcW w:w="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Ryan Glenn</w:t>
            </w:r>
          </w:p>
        </w:tc>
      </w:tr>
      <w:tr>
        <w:trPr/>
        <w:tc>
          <w:tcPr>
            <w:tcW w:w="16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Ryan Glenn</w:t>
            </w:r>
          </w:p>
        </w:tc>
      </w:tr>
      <w:tr>
        <w:trPr/>
        <w:tc>
          <w:tcPr>
            <w:tcW w:w="16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99.1 </w:t>
      </w:r>
    </w:p>
    <w:p>
      <w:pPr>
        <w:pStyle w:val="TextBody"/>
        <w:bidi w:val="0"/>
        <w:spacing w:before="0" w:after="0"/>
        <w:jc w:val="right"/>
        <w:rPr/>
      </w:pPr>
      <w:r>
        <w:rPr/>
      </w:r>
    </w:p>
    <w:p>
      <w:pPr>
        <w:pStyle w:val="TextBody"/>
        <w:bidi w:val="0"/>
        <w:spacing w:before="0" w:after="0"/>
        <w:jc w:val="center"/>
        <w:rPr/>
      </w:pPr>
      <w:r>
        <w:rPr/>
        <w:drawing>
          <wp:inline distT="0" distB="0" distL="0" distR="0">
            <wp:extent cx="2447925" cy="70485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2447925" cy="704850"/>
                    </a:xfrm>
                    <a:prstGeom prst="rect">
                      <a:avLst/>
                    </a:prstGeom>
                  </pic:spPr>
                </pic:pic>
              </a:graphicData>
            </a:graphic>
          </wp:inline>
        </w:drawing>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press release</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Paylocity Announces Third Quarter Fiscal Year 2026 Financial Results</w:t>
      </w:r>
    </w:p>
    <w:p>
      <w:pPr>
        <w:pStyle w:val="TextBody"/>
        <w:bidi w:val="0"/>
        <w:spacing w:lineRule="auto" w:line="288" w:before="200" w:after="283"/>
        <w:ind w:left="0" w:right="0" w:hanging="540"/>
        <w:jc w:val="left"/>
        <w:rPr/>
      </w:pPr>
      <w:r>
        <w:rPr>
          <w:color w:val="000000"/>
        </w:rPr>
        <w:t>•</w:t>
      </w:r>
      <w:r>
        <w:rPr>
          <w:rFonts w:ascii="Times New Roman;serif" w:hAnsi="Times New Roman;serif"/>
          <w:b/>
          <w:color w:val="000000"/>
          <w:sz w:val="20"/>
        </w:rPr>
        <w:t>Q3 2026 Recurring &amp; Other Revenue of $469.9 million, up 11.6% year-over-year</w:t>
      </w:r>
    </w:p>
    <w:p>
      <w:pPr>
        <w:pStyle w:val="TextBody"/>
        <w:bidi w:val="0"/>
        <w:spacing w:lineRule="auto" w:line="288" w:before="0" w:after="0"/>
        <w:ind w:left="0" w:right="0" w:hanging="540"/>
        <w:jc w:val="left"/>
        <w:rPr/>
      </w:pPr>
      <w:r>
        <w:rPr>
          <w:color w:val="000000"/>
        </w:rPr>
        <w:t>•</w:t>
      </w:r>
      <w:r>
        <w:rPr>
          <w:rFonts w:ascii="Times New Roman;serif" w:hAnsi="Times New Roman;serif"/>
          <w:b/>
          <w:color w:val="000000"/>
          <w:sz w:val="20"/>
        </w:rPr>
        <w:t>Q3 2026 Total Revenue of $502.3 million, up 10.5% year-over-year</w:t>
      </w:r>
    </w:p>
    <w:p>
      <w:pPr>
        <w:pStyle w:val="TextBody"/>
        <w:bidi w:val="0"/>
        <w:spacing w:lineRule="auto" w:line="288" w:before="0" w:after="0"/>
        <w:ind w:left="0" w:right="0" w:hanging="540"/>
        <w:jc w:val="left"/>
        <w:rPr/>
      </w:pPr>
      <w:r>
        <w:rPr>
          <w:color w:val="000000"/>
        </w:rPr>
        <w:t>•</w:t>
      </w:r>
      <w:r>
        <w:rPr>
          <w:rFonts w:ascii="Times New Roman;serif" w:hAnsi="Times New Roman;serif"/>
          <w:b/>
          <w:color w:val="000000"/>
          <w:sz w:val="20"/>
        </w:rPr>
        <w:t>Continued growth in cash flows - trailing twelve months net cash provided by operating activities margin of 29.4% and free cash flow margin of 24.4%</w:t>
      </w:r>
    </w:p>
    <w:p>
      <w:pPr>
        <w:pStyle w:val="TextBody"/>
        <w:bidi w:val="0"/>
        <w:spacing w:lineRule="auto" w:line="288" w:before="0" w:after="0"/>
        <w:ind w:left="0" w:right="0" w:hanging="540"/>
        <w:jc w:val="left"/>
        <w:rPr/>
      </w:pPr>
      <w:r>
        <w:rPr>
          <w:color w:val="000000"/>
        </w:rPr>
        <w:t>•</w:t>
      </w:r>
      <w:r>
        <w:rPr>
          <w:rFonts w:ascii="Times New Roman;serif" w:hAnsi="Times New Roman;serif"/>
          <w:b/>
          <w:color w:val="000000"/>
          <w:sz w:val="20"/>
        </w:rPr>
        <w:t>Completed acquisition of Grayscale Labs, Inc. in April 2026 to expand AI-powered recruiting capabilities</w:t>
      </w:r>
    </w:p>
    <w:p>
      <w:pPr>
        <w:pStyle w:val="TextBody"/>
        <w:bidi w:val="0"/>
        <w:spacing w:lineRule="auto" w:line="288" w:before="0" w:after="0"/>
        <w:ind w:left="0" w:right="0" w:hanging="540"/>
        <w:jc w:val="left"/>
        <w:rPr/>
      </w:pPr>
      <w:r>
        <w:rPr>
          <w:color w:val="000000"/>
        </w:rPr>
        <w:t>•</w:t>
      </w:r>
      <w:r>
        <w:rPr>
          <w:rFonts w:ascii="Times New Roman;serif" w:hAnsi="Times New Roman;serif"/>
          <w:b/>
          <w:color w:val="000000"/>
          <w:sz w:val="20"/>
        </w:rPr>
        <w:t>Repurchased $50 million or 440,000 shares in Q3 2026 and $350 million</w:t>
      </w:r>
      <w:r>
        <w:rPr>
          <w:color w:val="000000"/>
        </w:rPr>
        <w:t xml:space="preserve"> </w:t>
      </w:r>
      <w:r>
        <w:rPr>
          <w:rFonts w:ascii="Times New Roman;serif" w:hAnsi="Times New Roman;serif"/>
          <w:b/>
          <w:color w:val="000000"/>
          <w:sz w:val="20"/>
        </w:rPr>
        <w:t>or 2.3 million shares in the first nine months of fiscal year 2026</w:t>
      </w:r>
    </w:p>
    <w:p>
      <w:pPr>
        <w:pStyle w:val="TextBody"/>
        <w:bidi w:val="0"/>
        <w:spacing w:lineRule="auto" w:line="288" w:before="0" w:after="0"/>
        <w:ind w:left="0" w:right="0" w:hanging="540"/>
        <w:jc w:val="left"/>
        <w:rPr/>
      </w:pPr>
      <w:r>
        <w:rPr>
          <w:color w:val="000000"/>
        </w:rPr>
        <w:t>•</w:t>
      </w:r>
      <w:r>
        <w:rPr>
          <w:rFonts w:ascii="Times New Roman;serif" w:hAnsi="Times New Roman;serif"/>
          <w:b/>
          <w:color w:val="000000"/>
          <w:sz w:val="20"/>
        </w:rPr>
        <w:t>Board of Directors approved a $1.0 billion increase to our share repurchase authorization in April 2026; $1.35 billion authorization available as of May 7, 2026</w:t>
      </w:r>
    </w:p>
    <w:p>
      <w:pPr>
        <w:pStyle w:val="TextBody"/>
        <w:bidi w:val="0"/>
        <w:spacing w:lineRule="auto" w:line="288" w:before="200" w:after="283"/>
        <w:jc w:val="left"/>
        <w:rPr/>
      </w:pPr>
      <w:r>
        <w:rPr>
          <w:rFonts w:ascii="Times New Roman;serif" w:hAnsi="Times New Roman;serif"/>
          <w:b/>
          <w:color w:val="000000"/>
          <w:sz w:val="20"/>
        </w:rPr>
        <w:t>SCHAUMBURG, IL. – May 7, 2026 –</w:t>
      </w:r>
      <w:r>
        <w:rPr>
          <w:color w:val="000000"/>
        </w:rPr>
        <w:t> </w:t>
      </w:r>
      <w:r>
        <w:rPr>
          <w:rFonts w:ascii="Times New Roman;serif" w:hAnsi="Times New Roman;serif"/>
          <w:b w:val="false"/>
          <w:color w:val="000000"/>
          <w:sz w:val="20"/>
        </w:rPr>
        <w:t>Paylocity Holding Corporation (Nasdaq: PCTY), a leading provider of cloud-based HR, Finance, and IT solutions, today announced financial results for the third quarter of fiscal year 2026, which ended March 31, 2026.</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erif" w:hAnsi="Times New Roman;serif"/>
          <w:b w:val="false"/>
          <w:color w:val="000000"/>
          <w:sz w:val="20"/>
        </w:rPr>
        <w:t>Our solid results continued into the third quarter of fiscal 26, with recurring revenue growth of 11.6%, total revenue growth of 10.5% and increased revenue and profitability guidance for the fiscal year. Our multi-year investment in R&amp;D continues to drive innovation across our HCM, Finance and IT offerings, all underpinned by expanded AI capabilities and our core employee record data. To drive further expansion of our AI capabilities, last month we announced the acquisition of Grayscale, an AI-powered recruiting automation company that builds upon our existing recruiting capabilities by helping companies hiring at scale move faster without compromising quality. Additionally, as a result of our increasing cash flows, we continue to return capital to shareholders, with $350 million or 2.3 million shares repurchased through Q3 of this fiscal year,” said Toby Williams, President and Chief Executive Officer of Paylocity.</w:t>
      </w:r>
    </w:p>
    <w:p>
      <w:pPr>
        <w:pStyle w:val="TextBody"/>
        <w:bidi w:val="0"/>
        <w:spacing w:lineRule="auto" w:line="288" w:before="200" w:after="283"/>
        <w:jc w:val="left"/>
        <w:rPr>
          <w:rFonts w:ascii="Times New Roman;serif" w:hAnsi="Times New Roman;serif"/>
          <w:b/>
          <w:color w:val="000000"/>
          <w:sz w:val="20"/>
          <w:u w:val="single"/>
        </w:rPr>
      </w:pPr>
      <w:r>
        <w:rPr>
          <w:rFonts w:ascii="Times New Roman;serif" w:hAnsi="Times New Roman;serif"/>
          <w:b/>
          <w:color w:val="000000"/>
          <w:sz w:val="20"/>
          <w:u w:val="single"/>
        </w:rPr>
        <w:t>Third Quarter Fiscal 2026 Financial Highlights</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Revenue:</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Recurring &amp; other revenue was $469.9 million, an</w:t>
      </w:r>
      <w:r>
        <w:rPr>
          <w:color w:val="000000"/>
        </w:rPr>
        <w:t xml:space="preserve"> </w:t>
      </w:r>
      <w:r>
        <w:rPr>
          <w:rFonts w:ascii="Times New Roman;serif" w:hAnsi="Times New Roman;serif"/>
          <w:b w:val="false"/>
          <w:color w:val="000000"/>
          <w:sz w:val="20"/>
        </w:rPr>
        <w:t>increase of 11.6% from the third quarter of fiscal year 2025.</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Total revenue was $502.3 million, an increase of 10.5% from the third quarter of fiscal year 2025.</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Operating Income:</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GAAP operating income was $157.0 million and non-GAAP operating income was $196.8 million in the third quarter of fiscal year 2026 compared to GAAP operating income of $127.0 million and non-GAAP operating income of $172.7 million in the third quarter of fiscal year 2025.</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Net Income:</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GAAP net income was $111.3 million or $2.05 per share in the third quarter of fiscal year 2026 based on 54.3 million diluted weighted average common shares outstanding compared to $91.5 million or $1.61 per share in the third quarter of fiscal year 2025 based on 56.8 million diluted weighted average common shares outstanding.</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Adjusted EBITDA:</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Adjusted EBITDA, a non-GAAP measure, was $220.2 million in the third quarter of fiscal year 2026 compared to $197.1 million</w:t>
      </w:r>
      <w:r>
        <w:rPr>
          <w:color w:val="000000"/>
        </w:rPr>
        <w:t xml:space="preserve"> </w:t>
      </w:r>
      <w:r>
        <w:rPr>
          <w:rFonts w:ascii="Times New Roman;serif" w:hAnsi="Times New Roman;serif"/>
          <w:b w:val="false"/>
          <w:color w:val="000000"/>
          <w:sz w:val="20"/>
        </w:rPr>
        <w:t>in the third quarter of fiscal year 2025.</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Adjusted EBITDA excluding interest income on funds held for clients, a non-GAAP measure, was $187.9 million in the third quarter of fiscal year 2026 as compared to $163.6 million in the third quarter of fiscal year 2025.</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Balance Sheet and Cash Flow:</w:t>
      </w:r>
    </w:p>
    <w:p>
      <w:pPr>
        <w:pStyle w:val="TextBody"/>
        <w:bidi w:val="0"/>
        <w:spacing w:lineRule="auto" w:line="288" w:before="200" w:after="200"/>
        <w:ind w:left="0" w:right="0" w:hanging="360"/>
        <w:jc w:val="left"/>
        <w:rPr/>
      </w:pPr>
      <w:r>
        <w:rPr>
          <w:color w:val="000000"/>
        </w:rPr>
        <w:t>•</w:t>
      </w:r>
      <w:r>
        <w:rPr>
          <w:rFonts w:ascii="Times New Roman;serif" w:hAnsi="Times New Roman;serif"/>
          <w:b w:val="false"/>
          <w:color w:val="000000"/>
          <w:sz w:val="20"/>
        </w:rPr>
        <w:t>Cash and cash equivalents totaled $299.7 million as of March 31, 2026.</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Long-term debt totaled $81.3 million as of March 31, 2026, representing borrowings under our credit facility to fund the acquisition of Airbase Inc. on October 1, 2024. This reflects approximately $81.3 million repaid on our outstanding balance during the first nine months of fiscal year 2026.</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Net cash provided by operating activities for the first nine months of fiscal year 2026 was $421.4 million compared to $331.7 million for the first nine months of fiscal year 2025. Net cash from operating activities for the trailing twelve months ended March 31, 2026 was $507.9 million or 29.4% of total revenue as compared to $411.6 million or 26.5% of total revenue for the trailing twelve months ended March 31, 2025.</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Free cash flow, a non-GAAP measure, was $421.0 million or 24.4% of total revenue for the trailing twelve months ended March 31, 2026 compared to $335.8 million or 21.6% of total revenue for the trailing twelve months ended March 31, 2025.</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A reconciliation of GAAP to non-GAAP financial measures has been provided in this press release in the accompanying tables. Additional information regarding these measures can be found below under the headings “Non-GAAP Financial Measures” and “Definitions of our Non-GAAP Measures.”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Business Outlook</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Based on information available as of May 7, 2026, Paylocity is issuing guidance for the fourth quarter and full fiscal year 2026 as indicated below. </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Fourth Quarter 2026:</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Recurring and other revenue is expected to be in the range of $402.2 million to $407.2 million, which represents approximately 9%-10% growth over fiscal year 2025 fourth quarter recurring and other revenue.</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Total revenue is expected to be in the range of $428.4 million to $433.4 million, which represents approximately 7%-8% growth over fiscal year 2025 fourth quarter total revenue.</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Adjusted EBITDA, a non-GAAP measure, is expected to be in the range of $128.6 million to $132.6 million.</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Adjusted EBITDA excluding interest income on funds held for clients, a non-GAAP measure, is expected to be in the range of $102.4 million to $106.4 million.</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Fiscal Year 2026:</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Recurring and other revenue is expected to be in the range of $1.638 billion to $1.643 billion, which represents approximately 11%-12% growth over fiscal year 2025 recurring and other revenue.</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Total revenue is expected to be in the range of $1.755 billion to $1.760 billion, which represents approximately 10% growth over fiscal year 2025 total revenue.</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Adjusted EBITDA, a non-GAAP measure, is expected to be in the range of $638.0 million to $642.0 million.</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Adjusted EBITDA excluding interest income on funds held for clients, a non-GAAP measure, is expected to be in the range of $521.0 million to $525.0 million.</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We are unable to reconcile the forward-looking non-GAAP measures set forth above to their directly comparable GAAP financial measures because the information which is needed to complete a reconciliation is unavailable at this time without unreasonable effort.</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00" w:after="283"/>
        <w:jc w:val="left"/>
        <w:rPr>
          <w:rFonts w:ascii="Times New Roman;serif" w:hAnsi="Times New Roman;serif"/>
          <w:b/>
          <w:color w:val="000000"/>
          <w:sz w:val="20"/>
          <w:u w:val="single"/>
        </w:rPr>
      </w:pPr>
      <w:r>
        <w:rPr>
          <w:rFonts w:ascii="Times New Roman;serif" w:hAnsi="Times New Roman;serif"/>
          <w:b/>
          <w:color w:val="000000"/>
          <w:sz w:val="20"/>
          <w:u w:val="single"/>
        </w:rPr>
        <w:t>Conference Call Details</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0"/>
        </w:rPr>
        <w:t xml:space="preserve">Paylocity will host a conference call to discuss its third quarter fiscal year 2026 results at 4:00 p.m. Central Time today (5:00 p.m. Eastern Time). A live audio webcast of the conference call along with detailed financial information can be accessed through </w:t>
      </w:r>
      <w:r>
        <w:rPr>
          <w:rFonts w:ascii="Times New Roman;serif" w:hAnsi="Times New Roman;serif"/>
          <w:b w:val="false"/>
          <w:color w:val="000000"/>
          <w:sz w:val="20"/>
          <w:u w:val="single"/>
        </w:rPr>
        <w:t>https://investors.paylocity.com/events-and-presentations</w:t>
      </w:r>
      <w:r>
        <w:rPr>
          <w:color w:val="000000"/>
        </w:rPr>
        <w:t xml:space="preserve"> </w:t>
      </w:r>
      <w:r>
        <w:rPr>
          <w:rFonts w:ascii="Times New Roman;serif" w:hAnsi="Times New Roman;serif"/>
          <w:b w:val="false"/>
          <w:color w:val="000000"/>
          <w:sz w:val="20"/>
        </w:rPr>
        <w:t>where dial in details are provided. A replay of the call will be available and archived via webcast at</w:t>
      </w:r>
      <w:r>
        <w:rPr>
          <w:color w:val="000000"/>
          <w:u w:val="single"/>
        </w:rPr>
        <w:t xml:space="preserve"> </w:t>
      </w:r>
      <w:r>
        <w:rPr>
          <w:rFonts w:ascii="Times New Roman;serif" w:hAnsi="Times New Roman;serif"/>
          <w:b w:val="false"/>
          <w:color w:val="000000"/>
          <w:sz w:val="20"/>
          <w:u w:val="single"/>
        </w:rPr>
        <w:t>https://investors.paylocity.com/</w:t>
      </w:r>
      <w:r>
        <w:rPr>
          <w:rFonts w:ascii="Times New Roman;serif" w:hAnsi="Times New Roman;serif"/>
          <w:b w:val="false"/>
          <w:color w:val="000000"/>
          <w:sz w:val="20"/>
        </w:rPr>
        <w:t>.</w:t>
      </w:r>
    </w:p>
    <w:p>
      <w:pPr>
        <w:pStyle w:val="TextBody"/>
        <w:bidi w:val="0"/>
        <w:spacing w:lineRule="auto" w:line="288" w:before="200" w:after="283"/>
        <w:jc w:val="left"/>
        <w:rPr>
          <w:rFonts w:ascii="Times New Roman;serif" w:hAnsi="Times New Roman;serif"/>
          <w:b/>
          <w:color w:val="000000"/>
          <w:sz w:val="20"/>
          <w:u w:val="single"/>
        </w:rPr>
      </w:pPr>
      <w:r>
        <w:rPr>
          <w:rFonts w:ascii="Times New Roman;serif" w:hAnsi="Times New Roman;serif"/>
          <w:b/>
          <w:color w:val="000000"/>
          <w:sz w:val="20"/>
          <w:u w:val="single"/>
        </w:rPr>
        <w:t>About Paylocity</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Headquartered in Schaumburg, IL, Paylocity (NASDAQ: PCTY) is an award-winning provider of HCM, Finance, and IT software solutions. Paylocity offers one unified, easy-to-use platform that helps businesses across HR, Finance, and IT streamline operations, manage spend and talent, and build culture and connection—with AI embedded directly into everyday workflows to save time, reduce manual effort, and support better decisions. Known for its unique culture and consistently recognized as one of the best places to work, Paylocity accompanies its clients on the journey to create great workplaces and help all employees achieve their best. For more information, visit www.paylocity.com.</w:t>
      </w:r>
    </w:p>
    <w:p>
      <w:pPr>
        <w:pStyle w:val="TextBody"/>
        <w:bidi w:val="0"/>
        <w:spacing w:lineRule="auto" w:line="288" w:before="200" w:after="283"/>
        <w:jc w:val="left"/>
        <w:rPr>
          <w:rFonts w:ascii="Times New Roman;serif" w:hAnsi="Times New Roman;serif"/>
          <w:b/>
          <w:color w:val="000000"/>
          <w:sz w:val="20"/>
          <w:u w:val="single"/>
        </w:rPr>
      </w:pPr>
      <w:r>
        <w:rPr>
          <w:rFonts w:ascii="Times New Roman;serif" w:hAnsi="Times New Roman;serif"/>
          <w:b/>
          <w:color w:val="000000"/>
          <w:sz w:val="20"/>
          <w:u w:val="single"/>
        </w:rPr>
        <w:t>Non-GAAP Financial Measures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company uses certain non-GAAP financial measures when reporting and discussing its financial results, including the financial measures in this release that are designated as being “non-GAAP.” Management presents certain non-GAAP financial measures in this release because it considers them to be important supplemental measures of performance, as they provide investors with the company’s view of its financial performance. Management uses non-GAAP financial measures for planning purposes, including analysis of the company's performance against prior periods, the preparation of operating budgets and to determine appropriate levels of operating and capital investments. Management believes that these non-GAAP financial measures provide additional insight for analysts and investors in evaluating the company's financial and operational performance, including comparisons of current results to prior periods’ results by excluding items the company does not believe reflect fundamental business performance and are not representative or indicative of its results of operations. Non-GAAP financial measures have limitations as an analytical tool and other companies may define their non-GAAP financial measures differently than we do. Investors are encouraged to review the reconciliation of the non-GAAP measures to their most directly comparable GAAP measures provided in the accompanying tables to this release, as well as the definitions of those non-GAAP measures following such tables.</w:t>
      </w:r>
    </w:p>
    <w:p>
      <w:pPr>
        <w:pStyle w:val="TextBody"/>
        <w:bidi w:val="0"/>
        <w:spacing w:lineRule="auto" w:line="288" w:before="200" w:after="283"/>
        <w:jc w:val="left"/>
        <w:rPr>
          <w:rFonts w:ascii="Times New Roman;serif" w:hAnsi="Times New Roman;serif"/>
          <w:b/>
          <w:color w:val="000000"/>
          <w:sz w:val="20"/>
          <w:u w:val="single"/>
        </w:rPr>
      </w:pPr>
      <w:r>
        <w:rPr>
          <w:rFonts w:ascii="Times New Roman;serif" w:hAnsi="Times New Roman;serif"/>
          <w:b/>
          <w:color w:val="000000"/>
          <w:sz w:val="20"/>
          <w:u w:val="single"/>
        </w:rPr>
        <w:t>Safe Harbor/Forward Looking Statements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This press release contains forward-looking statements that involve substantial risks and uncertainties. All statements, other than statements of historical facts, included herein regarding Paylocity’s future operations, future financial position and performance, anticipated results of operations, prospects, plans and objectives of management are forward-looking statements. The words “anticipate,” “believe,” “estimate,” “expect,” “intend,” “may,” “plan,” “will,” “would,” “seek” and similar expressions (or the negative of these terms) are intended to identify forward-looking statements, although not all forward-looking statements contain these identifying words. These forward-looking statements include statements about management's estimates regarding future revenues and financial performance, and other statements about management’s beliefs, intentions or goals and are expressed in good faith and believed to be reasonable at the time such statements are made. Paylocity may not actually achieve the expectations disclosed in the forward-looking statements, and you should not place undue reliance on such statements. These forward-looking statements involve risks and uncertainties, many of which are beyond Paylocity’s control, that could cause actual results or events to differ materially from the expectations disclosed in the forward-looking statements. Factors that could cause actual results or events to differ materially from what is presented include, but are not limited to, the general economic conditions in regions in which Paylocity does business, changes in interest rates, business disruptions, reductions in employment and increases in business failures that have occurred or may occur in the future; Paylocity’s ability to leverage AI Assist and other forms of artificial intelligence and machine learning in its technology, which may be constrained by current and future laws, regulations, interpretive positions or standards governing new and evolving technologies and ethical considerations that could restrict or impose burdensome and costly requirements on its ability to continue to leverage data in innovative ways; Paylocity’s ability to retain existing clients and to attract new clients to enter into subscriptions for its services; the challenges associated with a growing company’s ability to effectively service clients in a dynamic and competitive market; challenges associated with expanding and evolving a sales organization to effectively address new geographies and products and services; challenges related to cybersecurity threats and evolving cybersecurity regulations; Paylocity’s reliance on and ability to expand its referral network of third parties; difficulties associated with accurately forecasting revenue and appropriately planning expenses; challenges with managing growth effectively; risks related to acquisitions and investments in other businesses and technologies; risks related to regulatory, legislative and judicial uncertainty in Paylocity’s markets; Paylocity’s ability to protect and defend its intellectual property and its use of open source software in its products; the risk that Paylocity’s </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security measures are compromised or a threat actor gains unauthorized access to customer data; unexpected events in the market for Paylocity’s solutions; changes in the competitive environment in Paylocity’s industry and the markets in which it operates; adverse changes in general economic or market conditions; changes in the employment rates of Paylocity’s clients and the resultant impact on revenue; the possibility that Paylocity may be adversely affected by other economic, business, and/or competitive factors; and other risks and potential factors that could affect Paylocity’s business and financial results that are identified in Paylocity’s Annual Report on Form 10-K filed with the Securities and Exchange Commission (the “SEC”) on August 6, 2025, as well as any revisions or supplements to the information in subsequent reports filed or furnished to the SEC. These forward-looking statements represent Paylocity’s expectations as of the date of this press release. Subsequent events may cause these expectations to change, and unless legally required, Paylocity disclaims any obligations to update or alter these forward-looking statements in the future, whether as a result of new information, future events or otherwise.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PAYLOCITY HOLDING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per share data)</w:t>
      </w:r>
    </w:p>
    <w:tbl>
      <w:tblPr>
        <w:tblW w:w="10205" w:type="dxa"/>
        <w:jc w:val="left"/>
        <w:tblInd w:w="0" w:type="dxa"/>
        <w:tblLayout w:type="fixed"/>
        <w:tblCellMar>
          <w:top w:w="28" w:type="dxa"/>
          <w:left w:w="28" w:type="dxa"/>
          <w:bottom w:w="28" w:type="dxa"/>
          <w:right w:w="28" w:type="dxa"/>
        </w:tblCellMar>
      </w:tblPr>
      <w:tblGrid>
        <w:gridCol w:w="2778"/>
        <w:gridCol w:w="2258"/>
        <w:gridCol w:w="2203"/>
        <w:gridCol w:w="211"/>
        <w:gridCol w:w="976"/>
        <w:gridCol w:w="109"/>
        <w:gridCol w:w="109"/>
        <w:gridCol w:w="109"/>
        <w:gridCol w:w="109"/>
        <w:gridCol w:w="211"/>
        <w:gridCol w:w="976"/>
        <w:gridCol w:w="156"/>
      </w:tblGrid>
      <w:tr>
        <w:trPr/>
        <w:tc>
          <w:tcPr>
            <w:tcW w:w="2778" w:type="dxa"/>
            <w:tcBorders/>
            <w:vAlign w:val="center"/>
          </w:tcPr>
          <w:p>
            <w:pPr>
              <w:pStyle w:val="TableContents"/>
              <w:bidi w:val="0"/>
              <w:spacing w:before="0" w:after="283"/>
              <w:jc w:val="left"/>
              <w:rPr>
                <w:sz w:val="4"/>
                <w:szCs w:val="4"/>
              </w:rPr>
            </w:pPr>
            <w:r>
              <w:rPr>
                <w:sz w:val="4"/>
                <w:szCs w:val="4"/>
              </w:rPr>
            </w:r>
          </w:p>
        </w:tc>
        <w:tc>
          <w:tcPr>
            <w:tcW w:w="2258" w:type="dxa"/>
            <w:tcBorders/>
            <w:vAlign w:val="center"/>
          </w:tcPr>
          <w:p>
            <w:pPr>
              <w:pStyle w:val="TableContents"/>
              <w:bidi w:val="0"/>
              <w:spacing w:before="0" w:after="283"/>
              <w:jc w:val="left"/>
              <w:rPr>
                <w:sz w:val="4"/>
                <w:szCs w:val="4"/>
              </w:rPr>
            </w:pPr>
            <w:r>
              <w:rPr>
                <w:sz w:val="4"/>
                <w:szCs w:val="4"/>
              </w:rPr>
            </w:r>
          </w:p>
        </w:tc>
        <w:tc>
          <w:tcPr>
            <w:tcW w:w="22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March 31,</w:t>
              <w:br/>
              <w:t>2026</w:t>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398,070 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299,728 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48,368 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contract costs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117,177 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128,478 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43,298 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 before funds held for clients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607,832 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519,872 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Funds held for clients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2,704,137 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3,838,468 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3,311,969 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4,358,340 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internal-use software,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132,317 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139,972 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56,757 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34,919 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92,671 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77,137 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343,158 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deferred contract costs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393,671 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413,589 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w:t>
              <w:noBreakHyphen/>
              <w:t>term prepaid expenses and other</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8,586 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11,917 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4,389,428 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5,444,375 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12,260 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193,081 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191,606 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 before client fund obligations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210,428 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203,866 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Client fund obligations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2,694,842 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3,833,941 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2,905,270 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4,037,807 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81,250 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operating lease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43,939 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12,402 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88,243 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3,155,681 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4,263,641 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Preferred stock, $0.001 par value, 5,000 authorized, no shares issued and outstanding at June 30, 2025 and March 31, 2026</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$0.001 par value, 155,000 shares authorized at June 30, 2025 and March 31, 2026; 55,366 shares issued and outstanding at June 30, 2025 and 53,537 shares issued and outstanding at March 31, 2026</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327,518 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69,445 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900,583 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1,110,021 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1,233,747 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1,180,734 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4,389,428 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5,444,375 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PAYLOCITY HOLDING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Consolidated Statements of Operations and Comprehensive Income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per share data)</w:t>
      </w:r>
    </w:p>
    <w:tbl>
      <w:tblPr>
        <w:tblW w:w="10205" w:type="dxa"/>
        <w:jc w:val="left"/>
        <w:tblInd w:w="0" w:type="dxa"/>
        <w:tblLayout w:type="fixed"/>
        <w:tblCellMar>
          <w:top w:w="28" w:type="dxa"/>
          <w:left w:w="28" w:type="dxa"/>
          <w:bottom w:w="28" w:type="dxa"/>
          <w:right w:w="28" w:type="dxa"/>
        </w:tblCellMar>
      </w:tblPr>
      <w:tblGrid>
        <w:gridCol w:w="1582"/>
        <w:gridCol w:w="1134"/>
        <w:gridCol w:w="1142"/>
        <w:gridCol w:w="211"/>
        <w:gridCol w:w="826"/>
        <w:gridCol w:w="109"/>
        <w:gridCol w:w="109"/>
        <w:gridCol w:w="109"/>
        <w:gridCol w:w="109"/>
        <w:gridCol w:w="211"/>
        <w:gridCol w:w="826"/>
        <w:gridCol w:w="109"/>
        <w:gridCol w:w="109"/>
        <w:gridCol w:w="109"/>
        <w:gridCol w:w="109"/>
        <w:gridCol w:w="211"/>
        <w:gridCol w:w="976"/>
        <w:gridCol w:w="109"/>
        <w:gridCol w:w="109"/>
        <w:gridCol w:w="109"/>
        <w:gridCol w:w="109"/>
        <w:gridCol w:w="211"/>
        <w:gridCol w:w="976"/>
        <w:gridCol w:w="109"/>
        <w:gridCol w:w="109"/>
        <w:gridCol w:w="109"/>
        <w:gridCol w:w="109"/>
        <w:gridCol w:w="155"/>
      </w:tblGrid>
      <w:tr>
        <w:trPr/>
        <w:tc>
          <w:tcPr>
            <w:tcW w:w="1582"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Nine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gridSpan w:val="2"/>
            <w:tcBorders/>
          </w:tcPr>
          <w:p>
            <w:pPr>
              <w:pStyle w:val="TableContents"/>
              <w:bidi w:val="0"/>
              <w:spacing w:before="0" w:after="283"/>
              <w:jc w:val="left"/>
              <w:rPr>
                <w:sz w:val="4"/>
                <w:szCs w:val="4"/>
              </w:rPr>
            </w:pPr>
            <w:r>
              <w:rPr>
                <w:sz w:val="4"/>
                <w:szCs w:val="4"/>
              </w:rPr>
            </w:r>
          </w:p>
        </w:tc>
      </w:tr>
      <w:tr>
        <w:trPr/>
        <w:tc>
          <w:tcPr>
            <w:tcW w:w="3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8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8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Recurring and other revenue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421,096 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469,930 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1,101,915 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1,235,768 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8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on funds held for clients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92,569 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90,824 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8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454,548 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502,286 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1,194,484 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1,326,592 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8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129,853 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139,098 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369,358 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401,474 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8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324,695 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363,188 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825,126 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925,118 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8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8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91,774 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95,732 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273,338 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290,178 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8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154,811 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165,861 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8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159,180 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167,508 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8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197,665 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206,209 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587,329 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623,547 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8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127,030 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156,979 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237,797 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301,571 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8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8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126,562 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157,038 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242,264 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302,128 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8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92,690 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8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91,483 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111,250 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178,521 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209,438 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8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net of tax</w:t>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3,492 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(5,128)</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4,645 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(4,377)</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8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94,975 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106,122 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183,166 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205,061 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8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8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per share:</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8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8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8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8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used in computing net income per share:</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8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8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03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56,780 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54,274 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56,640 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55,016 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 and employer payroll taxes related to stock releases and option exercises for each of the three and nine months ended March 31 are included in the above line items:</w:t>
      </w:r>
    </w:p>
    <w:tbl>
      <w:tblPr>
        <w:tblW w:w="10205" w:type="dxa"/>
        <w:jc w:val="left"/>
        <w:tblInd w:w="0" w:type="dxa"/>
        <w:tblLayout w:type="fixed"/>
        <w:tblCellMar>
          <w:top w:w="28" w:type="dxa"/>
          <w:left w:w="28" w:type="dxa"/>
          <w:bottom w:w="28" w:type="dxa"/>
          <w:right w:w="28" w:type="dxa"/>
        </w:tblCellMar>
      </w:tblPr>
      <w:tblGrid>
        <w:gridCol w:w="1747"/>
        <w:gridCol w:w="1312"/>
        <w:gridCol w:w="1308"/>
        <w:gridCol w:w="211"/>
        <w:gridCol w:w="721"/>
        <w:gridCol w:w="109"/>
        <w:gridCol w:w="109"/>
        <w:gridCol w:w="109"/>
        <w:gridCol w:w="109"/>
        <w:gridCol w:w="211"/>
        <w:gridCol w:w="721"/>
        <w:gridCol w:w="109"/>
        <w:gridCol w:w="109"/>
        <w:gridCol w:w="109"/>
        <w:gridCol w:w="109"/>
        <w:gridCol w:w="211"/>
        <w:gridCol w:w="826"/>
        <w:gridCol w:w="109"/>
        <w:gridCol w:w="109"/>
        <w:gridCol w:w="109"/>
        <w:gridCol w:w="109"/>
        <w:gridCol w:w="211"/>
        <w:gridCol w:w="826"/>
        <w:gridCol w:w="109"/>
        <w:gridCol w:w="109"/>
        <w:gridCol w:w="109"/>
        <w:gridCol w:w="109"/>
        <w:gridCol w:w="156"/>
      </w:tblGrid>
      <w:tr>
        <w:trPr/>
        <w:tc>
          <w:tcPr>
            <w:tcW w:w="1747"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Nine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gridSpan w:val="2"/>
            <w:tcBorders/>
          </w:tcPr>
          <w:p>
            <w:pPr>
              <w:pStyle w:val="TableContents"/>
              <w:bidi w:val="0"/>
              <w:spacing w:before="0" w:after="283"/>
              <w:jc w:val="left"/>
              <w:rPr>
                <w:sz w:val="4"/>
                <w:szCs w:val="4"/>
              </w:rPr>
            </w:pPr>
            <w:r>
              <w:rPr>
                <w:sz w:val="4"/>
                <w:szCs w:val="4"/>
              </w:rPr>
            </w:r>
          </w:p>
        </w:tc>
      </w:tr>
      <w:tr>
        <w:trPr/>
        <w:tc>
          <w:tcPr>
            <w:tcW w:w="43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stock-based compensation expense and employer payroll taxes related to stock releases and option exercises</w:t>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37,475 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32,802 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118,045 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115,910 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PAYLOCITY HOLDING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tbl>
      <w:tblPr>
        <w:tblW w:w="10205" w:type="dxa"/>
        <w:jc w:val="center"/>
        <w:tblInd w:w="0" w:type="dxa"/>
        <w:tblLayout w:type="fixed"/>
        <w:tblCellMar>
          <w:top w:w="28" w:type="dxa"/>
          <w:left w:w="28" w:type="dxa"/>
          <w:bottom w:w="28" w:type="dxa"/>
          <w:right w:w="28" w:type="dxa"/>
        </w:tblCellMar>
      </w:tblPr>
      <w:tblGrid>
        <w:gridCol w:w="2786"/>
        <w:gridCol w:w="2337"/>
        <w:gridCol w:w="2356"/>
        <w:gridCol w:w="196"/>
        <w:gridCol w:w="871"/>
        <w:gridCol w:w="109"/>
        <w:gridCol w:w="109"/>
        <w:gridCol w:w="109"/>
        <w:gridCol w:w="109"/>
        <w:gridCol w:w="196"/>
        <w:gridCol w:w="871"/>
        <w:gridCol w:w="156"/>
      </w:tblGrid>
      <w:tr>
        <w:trPr/>
        <w:tc>
          <w:tcPr>
            <w:tcW w:w="2786" w:type="dxa"/>
            <w:tcBorders/>
            <w:vAlign w:val="center"/>
          </w:tcPr>
          <w:p>
            <w:pPr>
              <w:pStyle w:val="TableContents"/>
              <w:bidi w:val="0"/>
              <w:spacing w:before="0" w:after="283"/>
              <w:jc w:val="left"/>
              <w:rPr>
                <w:sz w:val="4"/>
                <w:szCs w:val="4"/>
              </w:rPr>
            </w:pPr>
            <w:r>
              <w:rPr>
                <w:sz w:val="4"/>
                <w:szCs w:val="4"/>
              </w:rPr>
            </w:r>
          </w:p>
        </w:tc>
        <w:tc>
          <w:tcPr>
            <w:tcW w:w="2337" w:type="dxa"/>
            <w:tcBorders/>
            <w:vAlign w:val="center"/>
          </w:tcPr>
          <w:p>
            <w:pPr>
              <w:pStyle w:val="TableContents"/>
              <w:bidi w:val="0"/>
              <w:spacing w:before="0" w:after="283"/>
              <w:jc w:val="left"/>
              <w:rPr>
                <w:sz w:val="4"/>
                <w:szCs w:val="4"/>
              </w:rPr>
            </w:pPr>
            <w:r>
              <w:rPr>
                <w:sz w:val="4"/>
                <w:szCs w:val="4"/>
              </w:rPr>
            </w:r>
          </w:p>
        </w:tc>
        <w:tc>
          <w:tcPr>
            <w:tcW w:w="235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w:t>
              <w:br/>
              <w:t>March 31,</w:t>
            </w:r>
          </w:p>
        </w:tc>
      </w:tr>
      <w:tr>
        <w:trPr/>
        <w:tc>
          <w:tcPr>
            <w:tcW w:w="7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operating activities:</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178,521 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209,438 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income to net cash provided by operating activities: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112,538 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111,503 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 expense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73,184 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82,554 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 expense (benefit)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62,793 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credit losses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64" w:before="0" w:after="283"/>
              <w:jc w:val="left"/>
              <w:rPr>
                <w:rFonts w:ascii="Times New Roman;serif" w:hAnsi="Times New Roman;serif"/>
                <w:b w:val="false"/>
                <w:color w:val="000000"/>
                <w:sz w:val="18"/>
              </w:rPr>
            </w:pPr>
            <w:r>
              <w:rPr>
                <w:rFonts w:ascii="Times New Roman;serif" w:hAnsi="Times New Roman;serif"/>
                <w:b w:val="false"/>
                <w:color w:val="000000"/>
                <w:sz w:val="18"/>
              </w:rPr>
              <w:t>Net accretion of discounts on available-for-sale securities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operating assets and liabilities: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(10,306)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contract costs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(42,559)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(30,774)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4,120 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(5,015)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expenses and other</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(4,330)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operating activities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331,657 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421,359 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investing activities: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available-for-sale securities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(121,777)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(259,994)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sales and maturities of available-for-sale securities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122,969 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268,676 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Capitalized internal-use software costs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(45,563)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(49,101)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property and equipment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(15,518)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Acquisitions of businesses, net of cash and funds held for clients acquired</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(277,851)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investing activities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investing activities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(328,543)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(53,709)</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financing activities: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change in client fund obligations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429,856 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1,139,099 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Borrowings under credit facility</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 of credit facility</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(81,250)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(81,250)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Repurchases of common shares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(91,080)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(350,000)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employee stock purchase plan</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9,534 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Taxes paid related to net share settlement of equity awards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(49,121)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(36,540)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financing activities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financing activities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543,566 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680,483 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64" w:before="0" w:after="283"/>
              <w:jc w:val="left"/>
              <w:rPr>
                <w:rFonts w:ascii="Times New Roman;serif" w:hAnsi="Times New Roman;serif"/>
                <w:b w:val="false"/>
                <w:color w:val="000000"/>
                <w:sz w:val="18"/>
              </w:rPr>
            </w:pPr>
            <w:r>
              <w:rPr>
                <w:rFonts w:ascii="Times New Roman;serif" w:hAnsi="Times New Roman;serif"/>
                <w:b w:val="false"/>
                <w:color w:val="000000"/>
                <w:sz w:val="18"/>
              </w:rPr>
              <w:t>Net change in cash, cash equivalents and funds held for clients' cash and cash equivalents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546,680 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1,048,133 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64"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and funds held for clients' cash and cash equivalents—beginning of period</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2,845,669 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2,482,526 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64"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and funds held for clients' cash and cash equivalents—end of period</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3,392,349 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3,530,659 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64" w:before="0" w:after="283"/>
              <w:jc w:val="left"/>
              <w:rPr>
                <w:rFonts w:ascii="Times New Roman;serif" w:hAnsi="Times New Roman;serif"/>
                <w:b w:val="false"/>
                <w:color w:val="000000"/>
                <w:sz w:val="18"/>
              </w:rPr>
            </w:pPr>
            <w:r>
              <w:rPr>
                <w:rFonts w:ascii="Times New Roman;serif" w:hAnsi="Times New Roman;serif"/>
                <w:b w:val="false"/>
                <w:color w:val="000000"/>
                <w:sz w:val="18"/>
              </w:rPr>
              <w:t>Supplemental Disclosure of Non-Cash Investing and Financing Activities</w:t>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property and equipment and capitalized internal-use software, accrued but not paid</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3,362 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Liabilities assumed for acquisitions</w:t>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55,730 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Supplemental Disclosure of Cash Flow Information</w:t>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for interest</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4,508 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for income taxes, net of refunds received</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63,963 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24,557 </w:t>
            </w:r>
          </w:p>
        </w:tc>
        <w:tc>
          <w:tcPr>
            <w:tcW w:w="15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64" w:before="0" w:after="283"/>
              <w:jc w:val="left"/>
              <w:rPr>
                <w:rFonts w:ascii="Times New Roman;serif" w:hAnsi="Times New Roman;serif"/>
                <w:b w:val="false"/>
                <w:color w:val="000000"/>
                <w:sz w:val="18"/>
              </w:rPr>
            </w:pPr>
            <w:r>
              <w:rPr>
                <w:rFonts w:ascii="Times New Roman;serif" w:hAnsi="Times New Roman;serif"/>
                <w:b w:val="false"/>
                <w:color w:val="000000"/>
                <w:sz w:val="18"/>
              </w:rPr>
              <w:t>Reconciliation of cash, cash equivalents and funds held for clients' cash and cash equivalents to the Consolidated Balance Sheets</w:t>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477,785 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299,728 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Funds held for clients' cash and cash equivalents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2,914,564 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3,230,931 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64" w:before="0" w:after="283"/>
              <w:jc w:val="left"/>
              <w:rPr>
                <w:rFonts w:ascii="Times New Roman;serif" w:hAnsi="Times New Roman;serif"/>
                <w:b w:val="false"/>
                <w:color w:val="000000"/>
                <w:sz w:val="18"/>
              </w:rPr>
            </w:pPr>
            <w:r>
              <w:rPr>
                <w:rFonts w:ascii="Times New Roman;serif" w:hAnsi="Times New Roman;serif"/>
                <w:b w:val="false"/>
                <w:color w:val="000000"/>
                <w:sz w:val="18"/>
              </w:rPr>
              <w:t>Total cash, cash equivalents and funds held for clients' cash and cash equivalents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3,392,349 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3,530,659 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Paylocity Holding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Reconciliation of GAAP to non-GAAP Financial Measures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per share data) </w:t>
      </w:r>
    </w:p>
    <w:tbl>
      <w:tblPr>
        <w:tblW w:w="10205" w:type="dxa"/>
        <w:jc w:val="left"/>
        <w:tblInd w:w="0" w:type="dxa"/>
        <w:tblLayout w:type="fixed"/>
        <w:tblCellMar>
          <w:top w:w="28" w:type="dxa"/>
          <w:left w:w="28" w:type="dxa"/>
          <w:bottom w:w="28" w:type="dxa"/>
          <w:right w:w="28" w:type="dxa"/>
        </w:tblCellMar>
      </w:tblPr>
      <w:tblGrid>
        <w:gridCol w:w="1451"/>
        <w:gridCol w:w="1275"/>
        <w:gridCol w:w="1281"/>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976"/>
        <w:gridCol w:w="109"/>
        <w:gridCol w:w="109"/>
        <w:gridCol w:w="109"/>
        <w:gridCol w:w="109"/>
        <w:gridCol w:w="156"/>
      </w:tblGrid>
      <w:tr>
        <w:trPr/>
        <w:tc>
          <w:tcPr>
            <w:tcW w:w="1451"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Nine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gridSpan w:val="2"/>
            <w:tcBorders/>
          </w:tcPr>
          <w:p>
            <w:pPr>
              <w:pStyle w:val="TableContents"/>
              <w:bidi w:val="0"/>
              <w:spacing w:before="0" w:after="283"/>
              <w:jc w:val="left"/>
              <w:rPr>
                <w:sz w:val="4"/>
                <w:szCs w:val="4"/>
              </w:rPr>
            </w:pPr>
            <w:r>
              <w:rPr>
                <w:sz w:val="4"/>
                <w:szCs w:val="4"/>
              </w:rPr>
            </w:r>
          </w:p>
        </w:tc>
      </w:tr>
      <w:tr>
        <w:trPr/>
        <w:tc>
          <w:tcPr>
            <w:tcW w:w="4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Reconciliation from Gross profit to Adjusted gross profit:</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324,695 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363,188 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825,126 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925,118 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capitalized internal-use software costs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certain acquired intangibles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 and employer payroll taxes related to stock releases and option exercises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items (1)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gross profit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350,122 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388,464 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897,046 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1,004,665 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505"/>
        <w:gridCol w:w="1323"/>
        <w:gridCol w:w="132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156"/>
      </w:tblGrid>
      <w:tr>
        <w:trPr/>
        <w:tc>
          <w:tcPr>
            <w:tcW w:w="1505"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Nine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gridSpan w:val="2"/>
            <w:tcBorders/>
          </w:tcPr>
          <w:p>
            <w:pPr>
              <w:pStyle w:val="TableContents"/>
              <w:bidi w:val="0"/>
              <w:spacing w:before="0" w:after="283"/>
              <w:jc w:val="left"/>
              <w:rPr>
                <w:sz w:val="4"/>
                <w:szCs w:val="4"/>
              </w:rPr>
            </w:pPr>
            <w:r>
              <w:rPr>
                <w:sz w:val="4"/>
                <w:szCs w:val="4"/>
              </w:rPr>
            </w:r>
          </w:p>
        </w:tc>
      </w:tr>
      <w:tr>
        <w:trPr/>
        <w:tc>
          <w:tcPr>
            <w:tcW w:w="4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Reconciliation from Operating income to Non-GAAP Operating income:</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127,030 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156,979 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237,797 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301,571 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 and employer payroll taxes related to stock releases and option exercises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118,045 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115,910 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acquired intangibles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items (2)</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Operating income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172,743 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196,834 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378,767 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437,086 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505"/>
        <w:gridCol w:w="1323"/>
        <w:gridCol w:w="132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156"/>
      </w:tblGrid>
      <w:tr>
        <w:trPr/>
        <w:tc>
          <w:tcPr>
            <w:tcW w:w="1505"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Nine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gridSpan w:val="2"/>
            <w:tcBorders/>
          </w:tcPr>
          <w:p>
            <w:pPr>
              <w:pStyle w:val="TableContents"/>
              <w:bidi w:val="0"/>
              <w:spacing w:before="0" w:after="283"/>
              <w:jc w:val="left"/>
              <w:rPr>
                <w:sz w:val="4"/>
                <w:szCs w:val="4"/>
              </w:rPr>
            </w:pPr>
            <w:r>
              <w:rPr>
                <w:sz w:val="4"/>
                <w:szCs w:val="4"/>
              </w:rPr>
            </w:r>
          </w:p>
        </w:tc>
      </w:tr>
      <w:tr>
        <w:trPr/>
        <w:tc>
          <w:tcPr>
            <w:tcW w:w="4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Reconciliation from Net income to Non-GAAP Net income:</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91,483 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178,521 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209,438 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 and employer payroll taxes related to stock releases and option exercises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118,045 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115,910 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acquired intangibles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items (2)</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effect on adjustments (3)</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Net income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138,069 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157,001 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317,696 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355,733 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527"/>
        <w:gridCol w:w="1313"/>
        <w:gridCol w:w="1317"/>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156"/>
      </w:tblGrid>
      <w:tr>
        <w:trPr/>
        <w:tc>
          <w:tcPr>
            <w:tcW w:w="1527"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Nine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gridSpan w:val="2"/>
            <w:tcBorders/>
          </w:tcPr>
          <w:p>
            <w:pPr>
              <w:pStyle w:val="TableContents"/>
              <w:bidi w:val="0"/>
              <w:spacing w:before="0" w:after="283"/>
              <w:jc w:val="left"/>
              <w:rPr>
                <w:sz w:val="4"/>
                <w:szCs w:val="4"/>
              </w:rPr>
            </w:pPr>
            <w:r>
              <w:rPr>
                <w:sz w:val="4"/>
                <w:szCs w:val="4"/>
              </w:rPr>
            </w:r>
          </w:p>
        </w:tc>
      </w:tr>
      <w:tr>
        <w:trPr/>
        <w:tc>
          <w:tcPr>
            <w:tcW w:w="4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Calculation of Non-GAAP Net income per share:</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138,069 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317,696 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355,733 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weighted-average number of common shares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Net income per share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505"/>
        <w:gridCol w:w="1323"/>
        <w:gridCol w:w="132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156"/>
      </w:tblGrid>
      <w:tr>
        <w:trPr/>
        <w:tc>
          <w:tcPr>
            <w:tcW w:w="1505"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Nine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gridSpan w:val="2"/>
            <w:tcBorders/>
          </w:tcPr>
          <w:p>
            <w:pPr>
              <w:pStyle w:val="TableContents"/>
              <w:bidi w:val="0"/>
              <w:spacing w:before="0" w:after="283"/>
              <w:jc w:val="left"/>
              <w:rPr>
                <w:sz w:val="4"/>
                <w:szCs w:val="4"/>
              </w:rPr>
            </w:pPr>
            <w:r>
              <w:rPr>
                <w:sz w:val="4"/>
                <w:szCs w:val="4"/>
              </w:rPr>
            </w:r>
          </w:p>
        </w:tc>
      </w:tr>
      <w:tr>
        <w:trPr/>
        <w:tc>
          <w:tcPr>
            <w:tcW w:w="4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Reconciliation from Net income to Adjusted EBITDA and Adjusted EBITDA excluding interest income on funds held for clients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91,483 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111,250 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178,521 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209,438 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9,682 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92,690 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73,184 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EBITDA</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156,970 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185,464 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325,130 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389,380 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 and employer payroll taxes related to stock releases and option exercises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37,475 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32,802 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118,045 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115,910 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items (2)</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9,073 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197,056 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220,221 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452,248 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509,361 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on funds held for clients</w:t>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(33,452)</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(32,356)</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(92,569)</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(90,824)</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 excluding interest income on funds held for clients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163,604 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187,865 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359,679 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418,537 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581"/>
        <w:gridCol w:w="1390"/>
        <w:gridCol w:w="1397"/>
        <w:gridCol w:w="211"/>
        <w:gridCol w:w="721"/>
        <w:gridCol w:w="109"/>
        <w:gridCol w:w="109"/>
        <w:gridCol w:w="109"/>
        <w:gridCol w:w="109"/>
        <w:gridCol w:w="211"/>
        <w:gridCol w:w="721"/>
        <w:gridCol w:w="109"/>
        <w:gridCol w:w="109"/>
        <w:gridCol w:w="109"/>
        <w:gridCol w:w="109"/>
        <w:gridCol w:w="211"/>
        <w:gridCol w:w="826"/>
        <w:gridCol w:w="109"/>
        <w:gridCol w:w="109"/>
        <w:gridCol w:w="109"/>
        <w:gridCol w:w="109"/>
        <w:gridCol w:w="211"/>
        <w:gridCol w:w="826"/>
        <w:gridCol w:w="109"/>
        <w:gridCol w:w="109"/>
        <w:gridCol w:w="109"/>
        <w:gridCol w:w="109"/>
        <w:gridCol w:w="155"/>
      </w:tblGrid>
      <w:tr>
        <w:trPr/>
        <w:tc>
          <w:tcPr>
            <w:tcW w:w="1581" w:type="dxa"/>
            <w:tcBorders/>
            <w:vAlign w:val="center"/>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Nine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gridSpan w:val="2"/>
            <w:tcBorders/>
          </w:tcPr>
          <w:p>
            <w:pPr>
              <w:pStyle w:val="TableContents"/>
              <w:bidi w:val="0"/>
              <w:spacing w:before="0" w:after="283"/>
              <w:jc w:val="left"/>
              <w:rPr>
                <w:sz w:val="4"/>
                <w:szCs w:val="4"/>
              </w:rPr>
            </w:pPr>
            <w:r>
              <w:rPr>
                <w:sz w:val="4"/>
                <w:szCs w:val="4"/>
              </w:rPr>
            </w:r>
          </w:p>
        </w:tc>
      </w:tr>
      <w:tr>
        <w:trPr/>
        <w:tc>
          <w:tcPr>
            <w:tcW w:w="4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3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Reconciliation of Non-GAAP sales and marketing:</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3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91,774 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95,732 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273,338 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290,178 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368"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3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Stock-based compensation expense and employer payroll taxes related to stock releases and option exercises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3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Other items (2)</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3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sales and marketing</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82,501 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88,074 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243,021 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262,908 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581"/>
        <w:gridCol w:w="1390"/>
        <w:gridCol w:w="1396"/>
        <w:gridCol w:w="211"/>
        <w:gridCol w:w="721"/>
        <w:gridCol w:w="109"/>
        <w:gridCol w:w="109"/>
        <w:gridCol w:w="109"/>
        <w:gridCol w:w="109"/>
        <w:gridCol w:w="211"/>
        <w:gridCol w:w="721"/>
        <w:gridCol w:w="109"/>
        <w:gridCol w:w="109"/>
        <w:gridCol w:w="109"/>
        <w:gridCol w:w="109"/>
        <w:gridCol w:w="211"/>
        <w:gridCol w:w="826"/>
        <w:gridCol w:w="109"/>
        <w:gridCol w:w="109"/>
        <w:gridCol w:w="109"/>
        <w:gridCol w:w="109"/>
        <w:gridCol w:w="211"/>
        <w:gridCol w:w="826"/>
        <w:gridCol w:w="109"/>
        <w:gridCol w:w="109"/>
        <w:gridCol w:w="109"/>
        <w:gridCol w:w="109"/>
        <w:gridCol w:w="156"/>
      </w:tblGrid>
      <w:tr>
        <w:trPr/>
        <w:tc>
          <w:tcPr>
            <w:tcW w:w="1581" w:type="dxa"/>
            <w:tcBorders/>
            <w:vAlign w:val="center"/>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Nine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gridSpan w:val="2"/>
            <w:tcBorders/>
          </w:tcPr>
          <w:p>
            <w:pPr>
              <w:pStyle w:val="TableContents"/>
              <w:bidi w:val="0"/>
              <w:spacing w:before="0" w:after="283"/>
              <w:jc w:val="left"/>
              <w:rPr>
                <w:sz w:val="4"/>
                <w:szCs w:val="4"/>
              </w:rPr>
            </w:pPr>
            <w:r>
              <w:rPr>
                <w:sz w:val="4"/>
                <w:szCs w:val="4"/>
              </w:rPr>
            </w:r>
          </w:p>
        </w:tc>
      </w:tr>
      <w:tr>
        <w:trPr/>
        <w:tc>
          <w:tcPr>
            <w:tcW w:w="43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Reconciliation of Non-GAAP total research and development:</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154,811 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165,861 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Capitalized internal-use software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Stock-based compensation expense and employer payroll taxes related to stock releases and option exercises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Other items (2)</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total research and development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57,561 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62,678 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167,390 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186,604 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3"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583"/>
        <w:gridCol w:w="1390"/>
        <w:gridCol w:w="1394"/>
        <w:gridCol w:w="211"/>
        <w:gridCol w:w="721"/>
        <w:gridCol w:w="109"/>
        <w:gridCol w:w="109"/>
        <w:gridCol w:w="109"/>
        <w:gridCol w:w="109"/>
        <w:gridCol w:w="211"/>
        <w:gridCol w:w="721"/>
        <w:gridCol w:w="109"/>
        <w:gridCol w:w="109"/>
        <w:gridCol w:w="109"/>
        <w:gridCol w:w="109"/>
        <w:gridCol w:w="211"/>
        <w:gridCol w:w="826"/>
        <w:gridCol w:w="109"/>
        <w:gridCol w:w="109"/>
        <w:gridCol w:w="109"/>
        <w:gridCol w:w="109"/>
        <w:gridCol w:w="211"/>
        <w:gridCol w:w="826"/>
        <w:gridCol w:w="109"/>
        <w:gridCol w:w="109"/>
        <w:gridCol w:w="109"/>
        <w:gridCol w:w="109"/>
        <w:gridCol w:w="156"/>
      </w:tblGrid>
      <w:tr>
        <w:trPr/>
        <w:tc>
          <w:tcPr>
            <w:tcW w:w="1583" w:type="dxa"/>
            <w:tcBorders/>
            <w:vAlign w:val="center"/>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Nine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gridSpan w:val="2"/>
            <w:tcBorders/>
          </w:tcPr>
          <w:p>
            <w:pPr>
              <w:pStyle w:val="TableContents"/>
              <w:bidi w:val="0"/>
              <w:spacing w:before="0" w:after="283"/>
              <w:jc w:val="left"/>
              <w:rPr>
                <w:sz w:val="4"/>
                <w:szCs w:val="4"/>
              </w:rPr>
            </w:pPr>
            <w:r>
              <w:rPr>
                <w:sz w:val="4"/>
                <w:szCs w:val="4"/>
              </w:rPr>
            </w:r>
          </w:p>
        </w:tc>
      </w:tr>
      <w:tr>
        <w:trPr/>
        <w:tc>
          <w:tcPr>
            <w:tcW w:w="43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Reconciliation of Non-GAAP general and administrative:</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159,180 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167,508 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Stock-based compensation expense and employer payroll taxes related to stock releases and option exercises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Amortization of certain acquired intangibles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Other items (2)</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general and administrative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38,035 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41,367 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109,573 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114,988 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200" w:after="283"/>
        <w:jc w:val="left"/>
        <w:rPr/>
      </w:pPr>
      <w:r>
        <w:rPr/>
      </w:r>
    </w:p>
    <w:tbl>
      <w:tblPr>
        <w:tblW w:w="10205" w:type="dxa"/>
        <w:jc w:val="left"/>
        <w:tblInd w:w="0" w:type="dxa"/>
        <w:tblLayout w:type="fixed"/>
        <w:tblCellMar>
          <w:top w:w="28" w:type="dxa"/>
          <w:left w:w="28" w:type="dxa"/>
          <w:bottom w:w="28" w:type="dxa"/>
          <w:right w:w="28" w:type="dxa"/>
        </w:tblCellMar>
      </w:tblPr>
      <w:tblGrid>
        <w:gridCol w:w="1663"/>
        <w:gridCol w:w="1462"/>
        <w:gridCol w:w="146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5"/>
      </w:tblGrid>
      <w:tr>
        <w:trPr/>
        <w:tc>
          <w:tcPr>
            <w:tcW w:w="1663" w:type="dxa"/>
            <w:tcBorders/>
            <w:vAlign w:val="center"/>
          </w:tcPr>
          <w:p>
            <w:pPr>
              <w:pStyle w:val="TableContents"/>
              <w:bidi w:val="0"/>
              <w:spacing w:before="0" w:after="283"/>
              <w:jc w:val="left"/>
              <w:rPr>
                <w:sz w:val="4"/>
                <w:szCs w:val="4"/>
              </w:rPr>
            </w:pPr>
            <w:r>
              <w:rPr>
                <w:sz w:val="4"/>
                <w:szCs w:val="4"/>
              </w:rPr>
            </w:r>
          </w:p>
        </w:tc>
        <w:tc>
          <w:tcPr>
            <w:tcW w:w="1462" w:type="dxa"/>
            <w:tcBorders/>
            <w:vAlign w:val="center"/>
          </w:tcPr>
          <w:p>
            <w:pPr>
              <w:pStyle w:val="TableContents"/>
              <w:bidi w:val="0"/>
              <w:spacing w:before="0" w:after="283"/>
              <w:jc w:val="left"/>
              <w:rPr>
                <w:sz w:val="4"/>
                <w:szCs w:val="4"/>
              </w:rPr>
            </w:pPr>
            <w:r>
              <w:rPr>
                <w:sz w:val="4"/>
                <w:szCs w:val="4"/>
              </w:rPr>
            </w:r>
          </w:p>
        </w:tc>
        <w:tc>
          <w:tcPr>
            <w:tcW w:w="14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Nine Months Ended</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Trailing</w:t>
              <w:br/>
              <w:t xml:space="preserve">Twelve Months Ended </w:t>
              <w:br/>
              <w:t>March 31,</w:t>
            </w:r>
          </w:p>
        </w:tc>
      </w:tr>
      <w:tr>
        <w:trPr/>
        <w:tc>
          <w:tcPr>
            <w:tcW w:w="4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Reconciliation of Free cash flow, Free cash flow excluding interest income on funds held for clients and Adjusted free cash flow excluding interest income on funds held for clients: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331,657 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421,359 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411,588 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507,928 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internal-use software costs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(65,940)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(20,967)</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Free cash flow</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278,470 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356,740 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335,849 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421,021 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Interest income on funds held for clients</w:t>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(92,569)</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(90,824)</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(125,117)</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(121,675)</w:t>
            </w:r>
          </w:p>
        </w:tc>
        <w:tc>
          <w:tcPr>
            <w:tcW w:w="15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Free cash flow excluding interest income on funds held for clients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185,901 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265,916 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210,732 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299,346 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other items (4)</w:t>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6,723 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5,797 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free cash flow excluding interest income on funds held for clients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192,624 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271,713 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 Represents acquisition-related costs and severance cost adjustments related to certain roles that have been eliminated. We exclude one-off severance costs that we incur as part of the normal course of our business operations.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(2) Represents acquisition and transaction-related costs and severance costs related to certain roles that have been eliminated. We exclude one-off severance costs that we incur as part of the normal course of our business operations.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(3) Includes the income tax effect on non-GAAP net income adjustments related to stock-based compensation expense and employer payroll taxes related to stock releases and option exercises, amortization of acquired intangibles and other items, which include acquisition and transaction-related costs and severance costs related to certain roles that have been eliminated. We exclude one-off severance costs that we incur as part of the normal course of our business operations.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(4) Represents cash paid for acquisition and transaction-related costs and severance costs related to certain roles that have been eliminated. </w:t>
      </w:r>
    </w:p>
    <w:p>
      <w:pPr>
        <w:pStyle w:val="TextBody"/>
        <w:bidi w:val="0"/>
        <w:spacing w:before="0" w:after="0"/>
        <w:jc w:val="left"/>
        <w:rPr/>
      </w:pPr>
      <w:r>
        <w:rPr/>
      </w:r>
    </w:p>
    <w:p>
      <w:pPr>
        <w:pStyle w:val="TextBody"/>
        <w:bidi w:val="0"/>
        <w:spacing w:before="20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4"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Definitions of our Non-GAAP Measures</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Adjusted EBITDA, Adjusted EBITDA Margin, Adjusted EBITDA Excluding Interest Income on Funds Held for Clients, and Adjusted EBITDA Excluding Interest Income on Funds Held for Clients Margin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Adjusted EBITDA is calculated as net income before interest expense, income tax expense, and depreciation and amortization expense, adjusted to eliminate stock-based compensation expense and employer payroll taxes related to stock releases and option exercises and other items as described above in this release. Adjusted EBITDA margin is calculated as Adjusted EBITDA divided by total revenues.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Adjusted EBITDA excluding interest income on funds held for clients is calculated in the same manner as Adjusted EBITDA and is further adjusted to eliminate interest income on funds held for clients. Adjusted EBITDA excluding interest income on funds held for clients margin is Adjusted EBITDA excluding interest income on funds held for clients divided by recurring and other revenue. </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Adjusted Gross Profit and Adjusted Gross Profit Margin</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Adjusted gross profit is adjusted to eliminate stock-based compensation expense and employer payroll taxes related to stock releases and option exercises, the amortization of capitalized internal-use software costs and certain acquired intangibles and other items as described above in this release.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Adjusted gross profit margin is calculated as adjusted gross profit as described in the preceding sentence divided by total revenues. </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Non-GAAP Operating Income, Non-GAAP Net Income, and Non-GAAP Income Per Share</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Non-GAAP operating income is adjusted to eliminate stock-based compensation expense and employer payroll taxes related to stock releases and option exercises, the amortization of acquired intangibles and other items as described above in this release.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Non-GAAP net income and non-GAAP net income per share are adjusted to eliminate stock-based compensation expense and employer payroll taxes related to stock releases and option exercises, the amortization of acquired intangibles and other items as described above in this release, including the income tax effect on these items. </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Non-GAAP Sales and Marketing Expense, Non-GAAP Sales and Marketing Expense Margin, Non-GAAP Total Research and Development, Non-GAAP Total Research and Development Margin, Non-GAAP General and Administrative Expense, and Non-GAAP General and Administrative Expense Margin</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Non-GAAP sales and marketing expense is adjusted to eliminate stock-based compensation expense and employer payroll taxes related to stock releases and option exercises and other items as described above in this release. Non-GAAP sales and marketing margin is calculated by dividing non-GAAP sales and marketing by total revenues.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Non-GAAP total research and development is adjusted for capitalized internal-use software costs paid and to eliminate stock-based compensation expense and employer payroll taxes related to stock releases and option exercises and other items as described above in this release. Non-GAAP total research and development margin is calculated by dividing non-GAAP total research and development by total revenues.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Non-GAAP general and administrative expense is adjusted to eliminate stock-based compensation expense and employer payroll taxes related to stock releases and option exercises, the amortization of certain acquired intangibles and other items as described above in this release. Non-GAAP general and administrative margin is calculated by dividing non-GAAP general and administrative expense by total revenues. </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Free Cash Flow, Free Cash Flow Margin, Free Cash Flow Excluding Interest on Funds Held for Clients, Free Cash Flow Excluding Interest on Funds Held for Clients Margin, Adjusted Free Cash Flow Excluding Interest Income on Funds Held for Clients and Adjusted Free Cash Flow Excluding Interest Income on Funds Held for Clients Margin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Free cash flow is defined as net cash provided by operating activities less capitalized internal-use software costs and purchases of property and equipment. Free cash flow margin is calculated by dividing free cash flow by total revenues. </w:t>
      </w: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15"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Free cash flow excluding interest income on funds held for clients is defined in the same manner as free cash flow but also excludes interest income on funds held for clients. Free cash flow margin excluding interest income on funds held for clients is calculated by dividing free cash flow excluding interest income on funds held for clients by recurring and other revenue.</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Adjusted free cash flow excluding interest income on funds held for clients is defined in the same manner as free cash flow excluding interest income on funds held for clients plus cash paid for other items as described above in this release. Adjusted free cash flow margin excluding interest income on funds held for clients is calculated by dividing adjusted free cash flow excluding interest income on funds held for clients by recurring and other revenue.</w:t>
      </w:r>
    </w:p>
    <w:p>
      <w:pPr>
        <w:pStyle w:val="TextBody"/>
        <w:bidi w:val="0"/>
        <w:spacing w:before="20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16" name="Frame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5361</Words>
  <Characters>30806</Characters>
  <CharactersWithSpaces>35616</CharactersWithSpaces>
  <Paragraphs>977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