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77"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165"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2380" w:type="dxa"/>
            <w:vAlign w:val="bottom"/>
          </w:tcPr>
          <w:p>
            <w:pPr>
              <w:spacing w:after="0"/>
              <w:rPr>
                <w:sz w:val="23"/>
                <w:szCs w:val="23"/>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203"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05"/>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190"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3"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4" w:lineRule="exact"/>
        <w:rPr>
          <w:sz w:val="24"/>
          <w:szCs w:val="24"/>
          <w:color w:val="auto"/>
        </w:rPr>
      </w:pPr>
    </w:p>
    <w:p>
      <w:pPr>
        <w:ind w:right="40" w:firstLine="324"/>
        <w:spacing w:after="0" w:line="28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53,544,058 shares of Common Stock, $0.001 par value per share, as of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vMerge w:val="restart"/>
          </w:tcPr>
          <w:p>
            <w:pPr>
              <w:spacing w:after="0"/>
              <w:rPr>
                <w:sz w:val="2"/>
                <w:szCs w:val="2"/>
                <w:color w:val="auto"/>
              </w:rPr>
            </w:pPr>
          </w:p>
        </w:tc>
        <w:tc>
          <w:tcPr>
            <w:tcW w:w="6320" w:type="dxa"/>
            <w:vAlign w:val="bottom"/>
            <w:gridSpan w:val="10"/>
            <w:vMerge w:val="restart"/>
          </w:tcPr>
          <w:p>
            <w:pPr>
              <w:jc w:val="center"/>
              <w:ind w:right="344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6320" w:type="dxa"/>
            <w:vAlign w:val="bottom"/>
            <w:gridSpan w:val="10"/>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8"/>
          </w:tcPr>
          <w:p>
            <w:pPr>
              <w:spacing w:after="0"/>
              <w:rPr>
                <w:sz w:val="24"/>
                <w:szCs w:val="24"/>
                <w:color w:val="auto"/>
              </w:rPr>
            </w:pPr>
          </w:p>
        </w:tc>
        <w:tc>
          <w:tcPr>
            <w:tcW w:w="344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9"/>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gridSpan w:val="8"/>
          </w:tcPr>
          <w:p>
            <w:pPr>
              <w:jc w:val="center"/>
              <w:ind w:right="3600"/>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3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560" w:type="dxa"/>
            <w:vAlign w:val="bottom"/>
            <w:tcBorders>
              <w:top w:val="single" w:sz="8" w:color="0000FF"/>
            </w:tcBorders>
            <w:gridSpan w:val="5"/>
          </w:tcPr>
          <w:p>
            <w:pPr>
              <w:spacing w:after="0"/>
              <w:rPr>
                <w:sz w:val="24"/>
                <w:szCs w:val="24"/>
                <w:color w:val="auto"/>
              </w:rPr>
            </w:pPr>
          </w:p>
        </w:tc>
        <w:tc>
          <w:tcPr>
            <w:tcW w:w="360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center"/>
              <w:ind w:left="4330"/>
              <w:spacing w:after="0"/>
              <w:rPr>
                <w:sz w:val="20"/>
                <w:szCs w:val="20"/>
                <w:color w:val="auto"/>
              </w:rPr>
            </w:pPr>
            <w:r>
              <w:rPr>
                <w:rFonts w:ascii="Times New Roman" w:cs="Times New Roman" w:eastAsia="Times New Roman" w:hAnsi="Times New Roman"/>
                <w:sz w:val="18"/>
                <w:szCs w:val="18"/>
                <w:color w:val="auto"/>
                <w:w w:val="88"/>
              </w:rPr>
              <w:t>1</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8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299,728</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48,368</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128,478</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43,298</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519,872</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2,704,137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3,838,468</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3,311,969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4,358,340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343,158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413,589</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4,389,428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5,444,375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12,260</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191,606</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203,866</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2,694,842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3,833,941</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2,905,270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4,037,807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88,243</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3,155,681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4,263,641</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2025 and</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March 31, 2026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2025 and March 31, 2026; 55,366</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June 30, 2025 and 53,537 shares issued and outstanding at March 31, 2026</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69,445</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1,110,021</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1,233,747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1,180,734</w:t>
            </w:r>
          </w:p>
        </w:tc>
      </w:tr>
      <w:tr>
        <w:trPr>
          <w:trHeight w:val="248"/>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5,444,375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540" w:right="2380"/>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95"/>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95"/>
        </w:trPr>
        <w:tc>
          <w:tcPr>
            <w:tcW w:w="48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421,096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469,930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1,101,915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1,235,768</w:t>
            </w: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90,824</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1,326,592</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369,358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401,474</w:t>
            </w: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363,188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825,126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925,118</w:t>
            </w: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290,178</w:t>
            </w: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165,861</w:t>
            </w:r>
          </w:p>
        </w:tc>
      </w:tr>
      <w:tr>
        <w:trPr>
          <w:trHeight w:val="230"/>
        </w:trPr>
        <w:tc>
          <w:tcPr>
            <w:tcW w:w="4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159,180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167,508</w:t>
            </w: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206,209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587,329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623,547</w:t>
            </w:r>
          </w:p>
        </w:tc>
      </w:tr>
      <w:tr>
        <w:trPr>
          <w:trHeight w:val="223"/>
        </w:trPr>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301,571</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3"/>
        </w:trPr>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302,128</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92,690</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111,250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178,521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209,438</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183,166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205,061</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4"/>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8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5"/>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56,780</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54,274</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56,640</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55,016</w:t>
            </w:r>
          </w:p>
        </w:tc>
      </w:tr>
      <w:tr>
        <w:trPr>
          <w:trHeight w:val="21"/>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56"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20" w:type="dxa"/>
            <w:vAlign w:val="bottom"/>
            <w:gridSpan w:val="11"/>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6"/>
              </w:rPr>
              <w:t>Three Months Ended March 31, 2025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42"/>
              <w:spacing w:after="0" w:line="118"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90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3"/>
            <w:vMerge w:val="restart"/>
          </w:tcPr>
          <w:p>
            <w:pPr>
              <w:jc w:val="center"/>
              <w:ind w:right="280"/>
              <w:spacing w:after="0" w:line="11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restart"/>
          </w:tcPr>
          <w:p>
            <w:pPr>
              <w:ind w:left="100"/>
              <w:spacing w:after="0" w:line="11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6"/>
                <w:szCs w:val="6"/>
                <w:color w:val="auto"/>
              </w:rPr>
            </w:pPr>
          </w:p>
        </w:tc>
        <w:tc>
          <w:tcPr>
            <w:tcW w:w="1420" w:type="dxa"/>
            <w:vAlign w:val="bottom"/>
            <w:gridSpan w:val="3"/>
            <w:vMerge w:val="restart"/>
          </w:tcPr>
          <w:p>
            <w:pPr>
              <w:jc w:val="center"/>
              <w:ind w:right="280"/>
              <w:spacing w:after="0" w:line="11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42"/>
              <w:spacing w:after="0" w:line="11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55,884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411,373</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760,494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1,172,140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38,713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38,713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(84,977)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(84,977)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91,483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91,483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March 31, 2025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55,540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352,993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851,977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3,709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1,208,735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11"/>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6"/>
              </w:rPr>
              <w:t>Three Months Ended March 31, 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42"/>
              <w:spacing w:after="0" w:line="132"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5"/>
                <w:szCs w:val="5"/>
                <w:color w:val="auto"/>
              </w:rPr>
            </w:pPr>
          </w:p>
        </w:tc>
        <w:tc>
          <w:tcPr>
            <w:tcW w:w="1420" w:type="dxa"/>
            <w:vAlign w:val="bottom"/>
            <w:gridSpan w:val="3"/>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3"/>
                <w:szCs w:val="13"/>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December 31, 2025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53,873</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93,148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998,771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6,342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1,098,315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34,612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34,612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settlement for taxes related to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(50,384)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Unrealized losses on securities, net of tax</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111,250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111,250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March 31, 2026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53,537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69,445</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1,110,021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1,180,734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20" w:type="dxa"/>
            <w:vAlign w:val="bottom"/>
            <w:gridSpan w:val="11"/>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8"/>
              </w:rPr>
              <w:t>Nine Months Ended March 31, 2025</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42"/>
              <w:spacing w:after="0" w:line="132"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4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restart"/>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5"/>
                <w:szCs w:val="5"/>
                <w:color w:val="auto"/>
              </w:rPr>
            </w:pPr>
          </w:p>
        </w:tc>
        <w:tc>
          <w:tcPr>
            <w:tcW w:w="1420" w:type="dxa"/>
            <w:vAlign w:val="bottom"/>
            <w:gridSpan w:val="3"/>
            <w:vMerge w:val="restart"/>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center"/>
              <w:ind w:right="142"/>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3"/>
                <w:szCs w:val="13"/>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3"/>
                <w:szCs w:val="13"/>
                <w:color w:val="auto"/>
              </w:rPr>
            </w:pP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June 30, 2024</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55,514</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360,488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673,456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1,033,064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124,680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124,680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 options 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4,692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under employee stock purchase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10,561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settlement for taxes and/or exercise price related to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(93,615)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Unrealized gains on securities, net of tax</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4,653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178,521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178,521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March 31, 2025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55,540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352,993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851,977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3,709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1,208,735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20" w:type="dxa"/>
            <w:vAlign w:val="bottom"/>
            <w:gridSpan w:val="11"/>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8"/>
              </w:rPr>
              <w:t>Nine Months Ended March 31, 2026</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gridSpan w:val="6"/>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6"/>
              </w:rPr>
              <w:t>Accumulated Other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22"/>
              <w:spacing w:after="0" w:line="118"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90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3"/>
            <w:vMerge w:val="restart"/>
          </w:tcPr>
          <w:p>
            <w:pPr>
              <w:jc w:val="center"/>
              <w:ind w:right="240"/>
              <w:spacing w:after="0" w:line="11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vMerge w:val="restart"/>
          </w:tcPr>
          <w:p>
            <w:pPr>
              <w:ind w:left="100"/>
              <w:spacing w:after="0" w:line="11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6"/>
                <w:szCs w:val="6"/>
                <w:color w:val="auto"/>
              </w:rPr>
            </w:pPr>
          </w:p>
        </w:tc>
        <w:tc>
          <w:tcPr>
            <w:tcW w:w="1420" w:type="dxa"/>
            <w:vAlign w:val="bottom"/>
            <w:gridSpan w:val="3"/>
            <w:vMerge w:val="restart"/>
          </w:tcPr>
          <w:p>
            <w:pPr>
              <w:jc w:val="center"/>
              <w:ind w:right="240"/>
              <w:spacing w:after="0" w:line="11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22"/>
              <w:spacing w:after="0" w:line="115"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1420" w:type="dxa"/>
            <w:vAlign w:val="bottom"/>
            <w:gridSpan w:val="3"/>
          </w:tcPr>
          <w:p>
            <w:pPr>
              <w:ind w:left="42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June 30, 2025</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55,366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327,518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900,583</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1,233,747</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121,755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121,755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vesting of equity awards</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employee stock purchase plan</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settlement for taxes related to equity awards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(36,540)</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(36,540)</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Repurchases of common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(352,822)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(352,823)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Unrealized losses on securities, net of tax</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(3,761)</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209,438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209,438</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at March 31, 2026</w:t>
            </w:r>
          </w:p>
        </w:tc>
        <w:tc>
          <w:tcPr>
            <w:tcW w:w="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53,537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69,445</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1,110,021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1,180,734</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unaudited consolidated financial statements.</w:t>
      </w: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178,521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209,438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111,503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82,554</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62,793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(10,306)</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421,359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(259,994)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268,676</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(49,101)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(15,518)</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Acquisitions of businesses, net of cash and funds held for clients acquired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0" w:type="dxa"/>
            <w:vAlign w:val="bottom"/>
          </w:tcPr>
          <w:p>
            <w:pPr>
              <w:spacing w:after="0"/>
              <w:rPr>
                <w:sz w:val="1"/>
                <w:szCs w:val="1"/>
                <w:color w:val="auto"/>
              </w:rPr>
            </w:pPr>
          </w:p>
        </w:tc>
      </w:tr>
      <w:tr>
        <w:trPr>
          <w:trHeight w:val="189"/>
        </w:trPr>
        <w:tc>
          <w:tcPr>
            <w:tcW w:w="8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(53,709)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1,139,099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(36,540)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543,566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680,483</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546,680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1,048,133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2,845,669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2,482,526</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3,392,349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3,530,659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and capitalized internal-use software, accrued but not paid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 net of refunds received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24,557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477,785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299,728</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2,914,564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3,230,931</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3,392,349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3,530,659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16"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HR, finance and IT software solutions that deliver a comprehensive platform for the modern workforce. Services are provided in a Software-as-a-Service (“SaaS”) delivery model. The Company offers an intuitive, easy-to-use product suite that helps businesses automate and streamline HR, finance and IT processes, attract and retain talent, and build culture and connection - with artificial intelligence ("AI") embedded directly into everyday workflows to save time, reduce manual effort, and support better decisions.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4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nine months ended March 31, 2026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2025 included in the Company’s Annual Report on Form 10-K.</w:t>
      </w:r>
    </w:p>
    <w:p>
      <w:pPr>
        <w:spacing w:after="0" w:line="212"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 ("ASU 2023-09").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While adoption of this ASU is not expected to have a material effect on the Company's consolidated financial condition, results of operations or cash flows, it will result in expanded income tax disclosures beginning with the Company's Annual Report on Form 10-K for the fiscal year ended June 30, 2026.</w:t>
      </w:r>
    </w:p>
    <w:p>
      <w:pPr>
        <w:spacing w:after="0" w:line="16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 - Reporting Comprehensive Income - Expense Disaggregation Disclosures (Subtopic 220-40): Disaggregation of Income Statement Expenses ("ASU 2024-03"). ASU 2024-03 requires the disclosure of additional information about specific expense categories in the notes to the financial statements. The incremental disclosures may be presented on a prospective or retrospective basis. This ASU is effective for fiscal years beginning after December 15, 2026, and interim periods within fiscal years beginning after December 15, 2027, with early adoption permitted. The Company is currently evaluating the impacts of this ASU on its consolidated financial statement disclosures including the method and timing of adoption.</w:t>
      </w:r>
    </w:p>
    <w:p>
      <w:pPr>
        <w:spacing w:after="0" w:line="14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Intangibles - Goodwill and Other - Internal-Use Software (Subtopic 350-40): Targeted Improvements to the Accounting for Internal-Use Software ("ASU 2025-06"). ASU 2025-06 removes all references to software development stages in existing guidance and, instead, requires the capitalization of software development costs when the Company's management has authorized and committed to funding a project and it is probable the project will be completed and the software will be used to perform its intended function. This ASU may be applied on a prospective, retrospective or on a modified transition basis based on project and capitalization status before the adoption date. This ASU is effective for all fiscal years beginning after December 15, 2027 and interim periods beginning within those annual reporting periods, with early adoption permitted as of the beginning of an annual reporting period. The Company is currently assessing the impact of this ASU on its consolidated financial statements and is evaluating the method and timing of adoption.</w:t>
      </w:r>
    </w:p>
    <w:p>
      <w:pPr>
        <w:spacing w:after="0" w:line="1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substantially all of its revenue from contracts from recurring service fees. While the majority of its agreements are generally cancellable by the client on 60 days’ notice or less, the Company also offers term agreements to its clients, which are generally two years in length. Recurring fees are mostly derived from cloud-based payroll and HCM software solutions which includes payroll processing and related services such as payroll reporting and tax filing services, time and labor services, time clock rentals, and HR-related software solutions, including employee management and benefits enrollment and administration, substantially all of which are delivered on a monthly basis. Substantially all of the Company’s recurring fees are satisfied over time as services are provided. The performance obligations related to recurring services are generally satisfied monthly as services are provided, with fees charged and collected based on a per-employee-per-month fee. The Company has certain optional performance obligations that are satisfied at a point in time including the sales of time clocks and W-2 services. Implementation services and other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1,187,676</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48,092</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421,096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1,101,915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1,235,768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generally consistent with the timing of invoicing as they occur monthly as services are provided based on a per-employee-per-month fee. As such, the Company does not generally recognize contract assets or liabilities related to recurring revenue.</w:t>
      </w:r>
    </w:p>
    <w:p>
      <w:pPr>
        <w:spacing w:after="0" w:line="13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28,633</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28,306</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40,056</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(33,220)</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(33,877)</w:t>
            </w: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28,983</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28,983</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34,485</w:t>
            </w: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as follows: $10,878 in fiscal 2026, $17,685 in fiscal 2027 and $5,922 in fiscal 2028 and thereafter.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56" w:lineRule="exact"/>
        <w:rPr>
          <w:sz w:val="20"/>
          <w:szCs w:val="20"/>
          <w:color w:val="auto"/>
        </w:rPr>
      </w:pPr>
    </w:p>
    <w:p>
      <w:pPr>
        <w:ind w:right="320" w:firstLine="648"/>
        <w:spacing w:after="0" w:line="277" w:lineRule="auto"/>
        <w:rPr>
          <w:sz w:val="20"/>
          <w:szCs w:val="20"/>
          <w:color w:val="auto"/>
        </w:rPr>
      </w:pPr>
      <w:r>
        <w:rPr>
          <w:rFonts w:ascii="Times New Roman" w:cs="Times New Roman" w:eastAsia="Times New Roman" w:hAnsi="Times New Roman"/>
          <w:sz w:val="17"/>
          <w:szCs w:val="17"/>
          <w:color w:val="auto"/>
        </w:rPr>
        <w:t>The Company utilizes the portfolio approach to account for both the cost of obtaining a contract and the cost of fulfilling a contract. These capitalized costs are amortized over the expected period of benefit, which has been determined to be generally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268,161</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222,134</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490,295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298,920</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243,147</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542,067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March 31, 2025</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268,161</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222,134</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490,295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March 31, 2026</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298,920</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243,147</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542,067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$203,960 as of March 31, 2026, which will be generally recognized over the next 24 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5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ASC 805, Business Combinations. The Company recorded the acquisition disclosed below using the acquisition method of accounting and recognized assets and liabilities at their fair values as of the date of acquisitions, with the excess recorded to goodwill.</w:t>
      </w:r>
    </w:p>
    <w:p>
      <w:pPr>
        <w:spacing w:after="0" w:line="13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October 1, 2024, the Company acquired all of the outstanding shares of Airbase Inc. ("Airbase") for cash consideration of $320,205, net of cash acquired and preliminary purchase price adjustments, which was funded by borrowings under its credit facility. Refer to Note 8 for more information on the credit facility. Airbase is a modern finance and spend management software solution that combines bill pay/accounts payable automation, expense management, corporate cards and procurement capabilities. The acquisition was consummated to enable the Company to provide a comprehensive solution and modern client experience for managing payroll and non-payroll spend on a single integrated platform.</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for Airbase was as follows, which reflects certain immaterial measurement period adjustments recorded before the measurement period closed on September 30,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75,200</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234,295</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fund obligations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(42,354)</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361,455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Company’s fair value estimate of the acquired proprietary technology is based on a relief from royalty rate methodology which includes but is not limited to forecasted revenue growth rates, royalty rates, technology migration rates and required rate of return.</w:t>
      </w:r>
    </w:p>
    <w:p>
      <w:pPr>
        <w:spacing w:after="0" w:line="13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results from this acquisition have been included in the Company’s consolidated financial statements since the closing of the transaction. The goodwill related to this transaction is primarily attributable to the assembled workforce and growth opportunities from the expansion and enhancement of the Company’s product offerings and is not deductible for income tax purposes. Direct costs related to the acquisition were not material and were expensed as incurred as General and administrative expense in the Unaudited Consolidated Statements of Operations and Comprehensive Income. Pro forma financial information was immaterial for both the three and nine months ended March 31, 2025.</w:t>
      </w:r>
    </w:p>
    <w:p>
      <w:pPr>
        <w:sectPr>
          <w:pgSz w:w="11900" w:h="16838" w:orient="portrait"/>
          <w:cols w:equalWidth="0" w:num="1">
            <w:col w:w="11240"/>
          </w:cols>
          <w:pgMar w:left="320" w:top="256" w:right="339" w:bottom="144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2026</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140" w:hanging="1027"/>
        <w:spacing w:after="0"/>
        <w:tabs>
          <w:tab w:leader="none" w:pos="2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2,837</w:t>
      </w:r>
    </w:p>
    <w:p>
      <w:pPr>
        <w:spacing w:after="0" w:line="49" w:lineRule="exact"/>
        <w:rPr>
          <w:rFonts w:ascii="Times New Roman" w:cs="Times New Roman" w:eastAsia="Times New Roman" w:hAnsi="Times New Roman"/>
          <w:sz w:val="18"/>
          <w:szCs w:val="18"/>
          <w:color w:val="auto"/>
        </w:rPr>
      </w:pPr>
    </w:p>
    <w:p>
      <w:pPr>
        <w:ind w:left="2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1,352</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43" w:lineRule="exact"/>
        <w:rPr>
          <w:sz w:val="20"/>
          <w:szCs w:val="20"/>
          <w:color w:val="auto"/>
        </w:rPr>
      </w:pPr>
    </w:p>
    <w:p>
      <w:pPr>
        <w:ind w:left="2140" w:hanging="1027"/>
        <w:spacing w:after="0"/>
        <w:tabs>
          <w:tab w:leader="none" w:pos="2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March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2026</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400,122</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459,957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(267,805)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(319,985)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132,317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139,972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Amortization of capitalized internal-use software costs is primarily included in Cost of revenues and amounted to $15,248 and $17,212 for the three months ended March 31, 2025 and 2026, respectively, and $43,858 and $52,180 for the nine months ended March 31, 2025 and 2026,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11,895</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(112,319)</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$5,097 and $4,988 for the three months ended March 31, 2025 and 2026, respectively, and $15,474 and $14,840 for the nine months ended March 31, 2025 and 2026,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nine months ended March 31, 2026: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343,100</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4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343,158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tc>
        <w:tc>
          <w:tcPr>
            <w:tcW w:w="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5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are as follows: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24"/>
                <w:szCs w:val="24"/>
                <w:color w:val="auto"/>
              </w:rPr>
            </w:pPr>
          </w:p>
        </w:tc>
        <w:tc>
          <w:tcPr>
            <w:tcW w:w="14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(79,132)</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77,137</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intangible assets was $5,627 and $5,098 for the three months ended March 31, 2025 and 2026, respectively, and $13,852 and $15,534 for the nine months ended March 31, 2025 and 2026, respectively, and is included in Cost of revenues and General and administrative.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Future amortization expense for acquired intangible assets as of March 31, 2026 is as follows: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9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12,925</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13,429</w:t>
            </w:r>
          </w:p>
        </w:tc>
      </w:tr>
      <w:tr>
        <w:trPr>
          <w:trHeight w:val="28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3"/>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106,245</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38,971</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37,019</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Cash and Cash Equivalents and Funds Held for Clients</w:t>
            </w: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Cash and cash equivalents and Funds held for clients consisted of the following:</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372,171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612,101</w:t>
            </w:r>
          </w:p>
        </w:tc>
        <w:tc>
          <w:tcPr>
            <w:tcW w:w="10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0" w:type="dxa"/>
            <w:vAlign w:val="bottom"/>
          </w:tcPr>
          <w:p>
            <w:pPr>
              <w:spacing w:after="0"/>
              <w:rPr>
                <w:sz w:val="1"/>
                <w:szCs w:val="1"/>
                <w:color w:val="auto"/>
              </w:rPr>
            </w:pPr>
          </w:p>
        </w:tc>
      </w:tr>
      <w:tr>
        <w:trPr>
          <w:trHeight w:val="27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3,094,627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3,230,931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3,230,931</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499,226</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39,051</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605,048</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607,537</w:t>
            </w:r>
          </w:p>
        </w:tc>
        <w:tc>
          <w:tcPr>
            <w:tcW w:w="0" w:type="dxa"/>
            <w:vAlign w:val="bottom"/>
          </w:tcPr>
          <w:p>
            <w:pPr>
              <w:spacing w:after="0"/>
              <w:rPr>
                <w:sz w:val="1"/>
                <w:szCs w:val="1"/>
                <w:color w:val="auto"/>
              </w:rPr>
            </w:pPr>
          </w:p>
        </w:tc>
      </w:tr>
      <w:tr>
        <w:trPr>
          <w:trHeight w:val="27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4,135,707</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4,138,196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2025 and March 31, 2026.</w:t>
      </w:r>
    </w:p>
    <w:p>
      <w:pPr>
        <w:spacing w:after="0" w:line="18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and money market funds at June 30, 2025 and March 31,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2,704,137</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3,838,468</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4,138,196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had fair market value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3"/>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38,579</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6"/>
                <w:szCs w:val="16"/>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88,477</w:t>
            </w:r>
          </w:p>
        </w:tc>
        <w:tc>
          <w:tcPr>
            <w:tcW w:w="100" w:type="dxa"/>
            <w:vAlign w:val="bottom"/>
          </w:tcPr>
          <w:p>
            <w:pPr>
              <w:spacing w:after="0"/>
              <w:rPr>
                <w:sz w:val="16"/>
                <w:szCs w:val="16"/>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6"/>
                <w:szCs w:val="16"/>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00" w:type="dxa"/>
            <w:vAlign w:val="bottom"/>
          </w:tcPr>
          <w:p>
            <w:pPr>
              <w:spacing w:after="0"/>
              <w:rPr>
                <w:sz w:val="16"/>
                <w:szCs w:val="16"/>
                <w:color w:val="auto"/>
              </w:rPr>
            </w:pPr>
          </w:p>
        </w:tc>
        <w:tc>
          <w:tcPr>
            <w:tcW w:w="5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100,702</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226,145</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80" w:type="dxa"/>
            <w:vAlign w:val="bottom"/>
          </w:tcPr>
          <w:p>
            <w:pPr>
              <w:spacing w:after="0"/>
              <w:rPr>
                <w:sz w:val="16"/>
                <w:szCs w:val="16"/>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246,954</w:t>
            </w:r>
          </w:p>
        </w:tc>
        <w:tc>
          <w:tcPr>
            <w:tcW w:w="100" w:type="dxa"/>
            <w:vAlign w:val="bottom"/>
          </w:tcPr>
          <w:p>
            <w:pPr>
              <w:spacing w:after="0"/>
              <w:rPr>
                <w:sz w:val="16"/>
                <w:szCs w:val="16"/>
                <w:color w:val="auto"/>
              </w:rPr>
            </w:pPr>
          </w:p>
        </w:tc>
        <w:tc>
          <w:tcPr>
            <w:tcW w:w="2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6"/>
                <w:szCs w:val="16"/>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6"/>
                <w:szCs w:val="16"/>
                <w:color w:val="auto"/>
              </w:rPr>
            </w:pPr>
          </w:p>
        </w:tc>
        <w:tc>
          <w:tcPr>
            <w:tcW w:w="5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248,891</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or nine months ended March 31, 2025 or 2026. All securities in the Company’s portfolio held an A rating or better as of March 31, 2026.</w:t>
      </w:r>
    </w:p>
    <w:p>
      <w:pPr>
        <w:spacing w:after="0" w:line="135"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or nine months ended March 31, 2025 or 2026. Realized gains or losses on the sale of available-for-sale securities were immaterial for both the three and nine months ended March 31, 2025 and 2026.</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March 31, 2026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312,327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 years and thereafter</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605,048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607,537</w:t>
            </w:r>
          </w:p>
        </w:tc>
      </w:tr>
      <w:tr>
        <w:trPr>
          <w:trHeight w:val="21"/>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202"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84"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34"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measures cash and cash equivalents, funds held for clients' cash and cash equivalents, accounts receivable, accounts payable and client fund obligations at fair value on a recurring basis using Level 1 inputs and borrowings under its credit facility using Level 2 inputs. The Company considers the recorded value of these financial assets and liabilities to approximate the fair value of the respective assets and liabilities at June 30, 2025 and March 31, 2026 based upon the short-term nature of these assets and liabilities.</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classified as available-for-sale are recorded at fair value on a recurring basis using Level 2 inputs obtained from an independent pricing service. Available-for-sale securities may include commercial paper, corporate bonds, asset-backed securities, certificates of deposit, U.S. treasury securities,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2025 or March 31, 2026.</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levels for the Company’s cash and cash equivalents and available-for-sale securities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398,070</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2,084,456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3,102,207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2,482,526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63"/>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299,728</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3,230,931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3,230,931</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499,226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499,226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607,537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607,537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4,138,196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3,530,659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607,537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 using Level 3 inputs.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a revolving credit agreement with PNC Bank, National Association, and other lenders, which is secured by substantially all of the Company’s assets, subject to certain restrictions. The credit agreement provides for a senior secured revolving credit facility ("credit facility") with borrowing capacity up to $550,000, which may be increased up to $825,000, subject to obtaining additional lender commitments and certain approvals and satisfying other requirements. The credit facility is scheduled to expire in August 2027, and any outstanding borrowings will mature and be payable upon expiration. During fiscal 2025, the Company borrowed $325,000 to fund the acquisition of Airbase Inc. in October 2024, of which it repaid $162,500 in the second half of fiscal 2025. The Company repaid an additional $81,250 during the nine months ended March 31, 2026. As a result, $81,250 remained outstanding at March 31, 2026. Refer to Note 4 for further details on the Company's acquisition of Airbase Inc.</w:t>
      </w:r>
    </w:p>
    <w:p>
      <w:pPr>
        <w:spacing w:after="0" w:line="14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share repurchases and permitted acquisitions, investments, and distributions.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Any borrowings under the credit facility will bear interest, at the Company’s option, at a rate per annum determined by reference to either the Term Secured Overnight Financing Rate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2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March 31, 2026, the Company was in compliance with all of the aforementioned covenants.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maintained a 2014 Equity Incentive Plan (the “2014 Plan”) and continues to maintain a 2023 Equity Incentive Plan (the “2023 Plan”), which was amended and restated in December 2025 to increase the number of shares available for issuance by 444 shares and remove certain share recycling provisions for stock options and stock appreciation rights. The 2023 Plan serves as the successor to the 2014 Plan and permits the granting of restricted stock units ("RSUs"), performance stock units ("PSUs"), market stock units ("MSUs") and other equity incentives at the discretion of the compensation committee of the Company’s board of directors ("Committee"). No new awards have been nor will be issued under the 2014 Plan since the effective date of the 2023 Plan. Outstanding awards under the 2014 Plan continue to be subject to the terms and conditions of the 2014 Plan.</w:t>
      </w:r>
    </w:p>
    <w:p>
      <w:pPr>
        <w:spacing w:after="0" w:line="14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1,649 shares available for future grant under the 2023 Plan, and 1,696 shares were subject to outstanding awards. Generally, the Company issues previously unissued shares for the vesting of awards; however, shares previously subject to 2023 Plan grants or awards that are forfeited or net settled at exercise or release may be reissued to satisfy future issuances.</w:t>
      </w:r>
    </w:p>
    <w:p>
      <w:pPr>
        <w:spacing w:after="0" w:line="14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RSUs, PSUs, MSUs and the Company's Employee Stock Purchase Plan is included in the following line items in the accompanying Unaudited Consolidated Statements of Operations and Comprehensive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1"/>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25,820</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14,503</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14,407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47,657</w:t>
            </w: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35,332</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31,413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$3,101 and $3,117 of stock-based compensation expense in its capitalized internal-use software costs in the three months ended March 31, 2025 and 2026, respectively, and $10,555 and $9,264 for the nine months ended March 31, 2025 and 2026, respectively.</w:t>
      </w:r>
    </w:p>
    <w:p>
      <w:pPr>
        <w:spacing w:after="0" w:line="12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the 2023 Plan with terms determined at the discretion of the Committee. RSUs are time-based awards that generally vest over four years following the grant date.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RSU activity during the nine months ended March 31,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187.32</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176.40</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March 31, 2026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also grants PSUs under the 2023 Plan with terms determined at the discretion of the Committee. The actual number of PSUs that will be eligible to vest is based on the achievement of Recurring and other revenue targets over a one year period with vesting taking place annually over three years. Up to 200% of the target number of shares subject to each PSU are eligible to be earned.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PSU activity during the nine months ended March 31,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balance at July 1, 2025</w:t>
            </w:r>
          </w:p>
        </w:tc>
        <w:tc>
          <w:tcPr>
            <w:tcW w:w="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vested</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155.95</w:t>
            </w:r>
          </w:p>
        </w:tc>
      </w:tr>
      <w:tr>
        <w:trPr>
          <w:trHeight w:val="256"/>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 balance at March 31, 2026</w:t>
            </w:r>
          </w:p>
        </w:tc>
        <w:tc>
          <w:tcPr>
            <w:tcW w:w="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w:t>
            </w:r>
          </w:p>
        </w:tc>
      </w:tr>
      <w:tr>
        <w:trPr>
          <w:trHeight w:val="21"/>
        </w:trPr>
        <w:tc>
          <w:tcPr>
            <w:tcW w:w="8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the 2023 Plan with terms determined at the discretion of the Committee. The actual number of MSUs that will be eligible to vest is based on the achievement of a relative total shareholder return (“TSR”) target as compared to the TSR realized by each of the companies comprising the Russell 3000 Index over approximately three years. The MSUs vest at the end of each TSR measurement period, and up to 200% of the target number of shares subject to each MSU are eligible to be earned.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MSU activity during the nine months ended March 31,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w:t>
            </w:r>
          </w:p>
        </w:tc>
      </w:tr>
      <w:tr>
        <w:trPr>
          <w:trHeight w:val="26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vested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391.16</w:t>
            </w:r>
          </w:p>
        </w:tc>
      </w:tr>
      <w:tr>
        <w:trPr>
          <w:trHeight w:val="276"/>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March 31, 2026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3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22225</wp:posOffset>
            </wp:positionV>
            <wp:extent cx="2100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3"/>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3"/>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r>
      <w:tr>
        <w:trPr>
          <w:trHeight w:val="25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63"/>
        </w:trPr>
        <w:tc>
          <w:tcPr>
            <w:tcW w:w="894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r>
      <w:tr>
        <w:trPr>
          <w:trHeight w:val="904"/>
        </w:trPr>
        <w:tc>
          <w:tcPr>
            <w:tcW w:w="79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7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March 31, 2026, there was $127,366 of total unrecognized compensation cost, net of estimated forfeitures, related to unvested RSUs, PSUs and MSUs. That cost is expected to be recognized over a weighted average period of 1.7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2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sought statutory damages, attorney’s fees and other costs. On April 22, 2025, this matter was dismissed with prejudice. On May 21, 2025, the plaintiff filed a notice of appeal. The Company will continue to vigorously defend against this lawsuit on appeal.</w:t>
      </w:r>
    </w:p>
    <w:p>
      <w:pPr>
        <w:spacing w:after="0" w:line="13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Company is subject to litigation arising in the ordinary course of business. Many of these matters are covered in whole or in part by insurance. In the opinion of the Company’s management, the ultimate disposition of any of these matters that are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27.7% and 29.2% for the three months ended March 31, 2025 and 2026, respectively. The Company's effective tax rate for the three months ended March 31, 2025 was higher than the federal statutory rate of 21% primarily due to an increase to non-deductible stock-based compensation under Internal Revenue Code Section 162(m) and state and local income taxes. The Company's effective tax rate for the three months ended March 31, 2026 was higher than the federal statutory rate of 21% primarily due to stock-based compensation shortfalls realized and state and local income taxes.</w:t>
      </w:r>
    </w:p>
    <w:p>
      <w:pPr>
        <w:spacing w:after="0" w:line="21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26.3% and 30.7% for the nine months ended March 31, 2025 and 2026, respectively. The Company's effective tax rate for the nine months ended March 31, 2025 was higher than the federal statutory rate of 21% primarily due to state and local income taxes. The Company's effective tax rate for the nine months ended March 31, 2026 was higher than the federal statutory rate of 21% primarily due to stock-based compensation shortfalls realized, state and local income taxes and an increase to the valuation allowance as explained below.</w:t>
      </w:r>
    </w:p>
    <w:p>
      <w:pPr>
        <w:spacing w:after="0" w:line="13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most significant provision applicable to the Company relates to accelerated tax deductions for qualified property and research expenditures. As a result of this provision, deferred tax assets and liabilities and income tax payables and receivables were impacted starting in fiscal 2026 and the Company expects cash tax benefits due to lower cash tax payments throughout fiscal 2026. Furthermore, the Company evaluated the impacts of the Act on certain state tax attributes and determined that a valuation allowance was needed to reflect the realizability of those assets based on current federal and state law as of March 31, 2026.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RSUs, PSUs and MSUs as of the balance sheet date. The following table presents the calculation of basic and diluted net income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14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91,483</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178,521</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209,438</w:t>
            </w:r>
          </w:p>
        </w:tc>
      </w:tr>
      <w:tr>
        <w:trPr>
          <w:trHeight w:val="277"/>
        </w:trPr>
        <w:tc>
          <w:tcPr>
            <w:tcW w:w="5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55,810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54,278</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Employee stock options, RSUs, PSUs and MSUs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56,780</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55,016</w:t>
            </w: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bl>
    <w:p>
      <w:pPr>
        <w:spacing w:after="0" w:line="25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performance stock units and market stock units as of March 31, 2025 and 2026 that were excluded from the diluted per share calculation for the periods presented because to include them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4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6100" w:type="dxa"/>
            <w:vAlign w:val="bottom"/>
            <w:gridSpan w:val="2"/>
          </w:tcPr>
          <w:p>
            <w:pPr>
              <w:ind w:left="56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3"/>
        </w:trPr>
        <w:tc>
          <w:tcPr>
            <w:tcW w:w="5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w:t>
            </w:r>
          </w:p>
        </w:tc>
        <w:tc>
          <w:tcPr>
            <w:tcW w:w="10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1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 determined that it operates as one reportable segment and derives revenues from customers by providing its HR, finance and IT software solutions. The Company’s chief operating decision maker (“CODM”) is its president and chief executive officer. The CODM utilizes consolidated net income and certain non-GAAP measures, including adjusted EBITDA, along with other information contained in the consolidated financial statements to assess the Company’s performance and guide decisions on allocation of resources. The segment’s total assets are reported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significant expenses and other segment items as included in consolidated net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5"/>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454,548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1,326,592</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(321,927)</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sales and marketing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(262,908)</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research and development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(137,503)</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(114,988)</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(92,690)</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segment items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(187,695)</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80" w:firstLine="648"/>
        <w:spacing w:after="0" w:line="266" w:lineRule="auto"/>
        <w:rPr>
          <w:sz w:val="20"/>
          <w:szCs w:val="20"/>
          <w:color w:val="auto"/>
        </w:rPr>
      </w:pPr>
      <w:r>
        <w:rPr>
          <w:rFonts w:ascii="Times New Roman" w:cs="Times New Roman" w:eastAsia="Times New Roman" w:hAnsi="Times New Roman"/>
          <w:sz w:val="18"/>
          <w:szCs w:val="18"/>
          <w:color w:val="auto"/>
        </w:rPr>
        <w:t>Other segment items primarily include amortization of capitalized internal-use software and acquired intangible assets and stock-based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16"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On April 6, 2026, the Company acquired all of the outstanding shares of Grayscale Labs, Inc. ("Grayscale") through a merger for cash consideration of $50,000, subject to customary purchase price adjustments. Grayscale is an AI-powered recruiting automation company. This acquisition expands the Company's recruiting capabilities with AI-powered automation to enable its clients to engage candidates earlier and move faster through time-sensitive hiring workflows. This acquisition will be accounted for as a business combination in the fourth quarter of fiscal 2026 in accordance with ASC</w:t>
      </w:r>
    </w:p>
    <w:p>
      <w:pPr>
        <w:spacing w:after="0" w:line="2" w:lineRule="exact"/>
        <w:rPr>
          <w:sz w:val="20"/>
          <w:szCs w:val="20"/>
          <w:color w:val="auto"/>
        </w:rPr>
      </w:pPr>
    </w:p>
    <w:p>
      <w:pPr>
        <w:ind w:right="20" w:firstLine="8"/>
        <w:spacing w:after="0" w:line="258" w:lineRule="auto"/>
        <w:tabs>
          <w:tab w:leader="none" w:pos="3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using the acquisition method of accounting, and the Company will recognize assets and liabilities at fair value as of the date of acquisition. The results from this acquisition will not have a material impact to the Company's consolidated financial statements.</w:t>
      </w:r>
    </w:p>
    <w:p>
      <w:pPr>
        <w:spacing w:after="0" w:line="169"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In April 2026, the Company’s board of directors approved an increase to the Company’s share repurchase program (the "Repurchase Program") under which the Company is authorized to purchase (in the aggregate) an additional $1,000,000 of its issued and outstanding common stock. As of March 31, 2026, $350,363 remained available under the Repurchase Program, increasing total authorization to $1,350,363. Under the Repurchase Program, shares may be repurchased from time-to-time in open market transactions at prevailing market prices, privately negotiated transactions or by other means, including the use of Rule 10b5-1 trading plans entered into by the Company. The actual timing, number and value of shares repurchased under the Repurchase Program will depend on the market price of its common stock, trading volume, general market conditions and other corporate and economic considerations. The Repurchase Program does not obligate the Company to repurchase any specific number of shares and may be modified, suspended or terminated at any time.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under Part I, Item 1A. "Risk Factors” of our Annual Report on Form 10-K for the fiscal year ended June 30, 2025 filed with the SEC on August 6,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We are a leading cloud-based provider of HR, finance and IT software solutions that deliver a comprehensive platform for the modern workforce. Our platform offers an intuitive, easy-to-use product suite that helps businesses automate and streamline HR, finance and IT processes, attract and retain talent, and build culture and connection - with artificial intelligence ("AI") embedded directly into everyday workflows to save time, reduce manual effort, and support better decisions.</w:t>
      </w:r>
    </w:p>
    <w:p>
      <w:pPr>
        <w:spacing w:after="0" w:line="15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Effective management of human capital and business-related spend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57" w:lineRule="exact"/>
        <w:rPr>
          <w:sz w:val="20"/>
          <w:szCs w:val="20"/>
          <w:color w:val="auto"/>
        </w:rPr>
      </w:pPr>
    </w:p>
    <w:p>
      <w:pPr>
        <w:ind w:right="60" w:firstLine="177"/>
        <w:spacing w:after="0" w:line="239"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Our sales and marketing expenses have increased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44"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sales prospects. We expect to continue to invest in and grow our implementation and client service organization as our client base grows.</w:t>
      </w:r>
    </w:p>
    <w:p>
      <w:pPr>
        <w:spacing w:after="0" w:line="140"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4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0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$454.5 million for the three months ended March 31, 2025 to $502.3 million for the three months ended March 31, 2026, representing an 11% year-over-year increase. Total revenues increased from $1,194.5 million for the nine months ended March 31, 2025 to $1,326.6 million for the nine months ended March 31, 2026, representing an 11% year-over-year increase. The increase in year-over-year revenue growth was driven by the strong performance by our sales team. Uncertainties around market and economic conditions may impact revenue growth, which we have recently experienced and may continue to experience, through fluctuations in client employee counts, elongated sales cycles, client losses, and a changing interest rate environment, among other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which are non-GAAP measures,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commonly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in each case as determined in accordance with GAAP. In addition, our definition of Adjusted Gross Profit and Adjusted EBITDA may be different than the definition utilized for similarly-titled measures used by other companies.</w:t>
      </w:r>
    </w:p>
    <w:p>
      <w:pPr>
        <w:spacing w:after="0" w:line="150"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described below. We define Adjusted EBITDA as net income before interest expense, income tax expense, depreciation and amortization expense, stock-based compensation expense and employer payroll taxes related to stock releases and option exercises and other items as described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324,695</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363,188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825,126</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925,118</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52,180</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81"/>
        </w:trPr>
        <w:tc>
          <w:tcPr>
            <w:tcW w:w="5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350,122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897,046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1,004,665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4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91,483</w:t>
            </w:r>
          </w:p>
        </w:tc>
        <w:tc>
          <w:tcPr>
            <w:tcW w:w="8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178,521</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209,438</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92,690</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25,972</w:t>
            </w:r>
          </w:p>
        </w:tc>
        <w:tc>
          <w:tcPr>
            <w:tcW w:w="8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73,184</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82,554</w:t>
            </w: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156,970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389,380</w:t>
            </w: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118,045</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115,910</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0" w:type="dxa"/>
            <w:vAlign w:val="bottom"/>
          </w:tcPr>
          <w:p>
            <w:pPr>
              <w:spacing w:after="0"/>
              <w:rPr>
                <w:sz w:val="1"/>
                <w:szCs w:val="1"/>
                <w:color w:val="auto"/>
              </w:rPr>
            </w:pPr>
          </w:p>
        </w:tc>
      </w:tr>
      <w:tr>
        <w:trPr>
          <w:trHeight w:val="281"/>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197,056</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452,248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509,361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right="680" w:hanging="652"/>
        <w:spacing w:after="0" w:line="261"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acquisition-related costs and severance cost adjustments related to certain roles that have been eliminated. We exclude one-off severance costs that we incur as part of the normal course of our business operations.</w:t>
      </w:r>
    </w:p>
    <w:p>
      <w:pPr>
        <w:ind w:left="660" w:right="380" w:hanging="652"/>
        <w:spacing w:after="0" w:line="260"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transaction-related costs and severance costs related to certain roles that have been eliminated. We exclude one-off severance costs that we incur as part of the normal course of our business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generate substantially all of our recurring and other revenue from ongoing subscriptions to our cloud-based software solutions, which are recurring in nature. Recurring fees for each client generally include a base fee in addition to a fee based on the number of client employees and the number of products a client uses. We also charge fees for our preparation of W-2 documents and annual required filings on behalf of our clients. We charge implementation fees for professional services provided to implement our software solutions.</w:t>
      </w:r>
    </w:p>
    <w:p>
      <w:pPr>
        <w:spacing w:after="0" w:line="13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necessarily a good indicator of our financial results in any given period. Recurring and other revenue accounted for 93% and 94% of our total revenues for the three months ended March 31, 2025 and 2026, respectively, and 92% and 93% of our total revenues for the nine months ended March 31, 2025 and 2026, respectively.</w:t>
      </w:r>
    </w:p>
    <w:p>
      <w:pPr>
        <w:spacing w:after="0" w:line="15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from clients in advance of performing payroll, payroll tax filing and spend management services on behalf of those clients. Until these funds are remitted to the respective payees,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Cost of revenues consists primarily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generally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0"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$15.2 million and $17.2 million of capitalized internal-use software costs during the three months ended March 31, 2025 and 2026, respectively, and $43.9 million and $52.2 million of capitalized internal-use software costs for the nine months ended March 31, 2025 and 2026,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upon new sales throughout the fiscal year. We capitalize certain selling and commission costs related to new contracts or purchases of additional services by our existing clients and generally amortize them over a period of 7 years.</w:t>
      </w:r>
    </w:p>
    <w:p>
      <w:pPr>
        <w:spacing w:after="0" w:line="13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2025 and 2026.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4"/>
        </w:trPr>
        <w:tc>
          <w:tcPr>
            <w:tcW w:w="50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20,368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59,835</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51,396</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52,515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154,811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165,861</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71,764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75,082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225,696</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While we expect our general and administrative expenses to continue to increase in absolute dollars as our company continues to grow, we expect to realize cost efficiencies as our business scales.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interest expense related to our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4"/>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421,096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1,101,915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1,235,768</w:t>
            </w:r>
          </w:p>
        </w:tc>
      </w:tr>
      <w:tr>
        <w:trPr>
          <w:trHeight w:val="229"/>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454,548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1,326,592</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129,853</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369,358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401,474</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825,126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925,118</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290,178</w:t>
            </w: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165,861</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167,508</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197,665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587,329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623,547</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301,571</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302,128</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92,690</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Comparison of Three Months Ended March 31, 2025 and 2026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24"/>
                <w:szCs w:val="24"/>
                <w:color w:val="auto"/>
              </w:rPr>
            </w:pPr>
          </w:p>
        </w:tc>
        <w:tc>
          <w:tcPr>
            <w:tcW w:w="180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421,096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469,930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48,834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33,452</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4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March 31, 2026 increased by $48.8 million, or 12%, to $469.9 million from $421.1 million for the three months ended March 31, 2025. Recurring and other revenue increased primarily as a result of incremental revenues from new and existing clients due to the strong performance by our sales team.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jc w:val="both"/>
        <w:ind w:right="240" w:firstLine="648"/>
        <w:spacing w:after="0" w:line="289" w:lineRule="auto"/>
        <w:rPr>
          <w:sz w:val="20"/>
          <w:szCs w:val="20"/>
          <w:color w:val="auto"/>
        </w:rPr>
      </w:pPr>
      <w:r>
        <w:rPr>
          <w:rFonts w:ascii="Times New Roman" w:cs="Times New Roman" w:eastAsia="Times New Roman" w:hAnsi="Times New Roman"/>
          <w:sz w:val="17"/>
          <w:szCs w:val="17"/>
          <w:color w:val="auto"/>
        </w:rPr>
        <w:t>Interest income on funds held for clients for the three months ended March 31, 2026 decreased by $1.1 million, or 3%, as compared to the three months ended March 31, 2025. The slight decrease in Interest income on funds held for clients was the result of the negative impact from lower interest rates, mostly offset by positive impact from higher average daily balances of funds held for new and existing clients as compared to the prior fiscal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129,853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139,098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9,245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three months ended March 31, 2026 increased by $9.2 million, or 7%, to $139.1 million from $129.9 million for the three months ended March 31, 2025. Cost of revenues increased primarily as a result of the continued growth of our business, in particular, $4.4 million in additional employee-related costs, $4.2 million in additional processing and delivery-related costs and $2.0 million in additional amortization of internal-use software. Gross margin increased from 71% for the three months ended March 31, 2025 to 72% for the three months ended March 31,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91,774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95,732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3,958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three months ended March 31, 2026 increased by $4.0 million, or 4%, to $95.7 million from $91.8 million for the three months ended March 31, 2025. The increase in sales and marketing expense was primarily due to $4.3 million of additional employee-related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51,396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52,515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increased by $1.1 million, or 2%, to $52.5 million from $51.4 million for the three months ended March 31, 2025. The increase in research and development expenses was primarily due to $2.6 million of additional employee-related costs related to additional development personnel, net of capitalized internal-use software costs, partially offset by $1.8 million in lower stock-based compensation expense.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54,495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57,962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3,467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increased by $3.5 million, or 6%, to $58.0 million from $54.5 million for the three months ended March 31, 2025. General and administrative expenses increased largely due to $1.6 million in additional employee-related costs.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for the three months ended March 31, 2026 did not materially change as compared to the three months ended March 31, 2025. The change in other income (expense) was primarily due to a $3.6 million reduction in interest earned on our cash and cash equivalents from lower average balances and lower interest rates, partially offset by a $3.3 million decrease in interest expense related to less borrowings under our revolving credit facility.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27.7% and 29.2% for the three months ended March 31, 2025 and 2026, respectively. Our effective tax rate for the three months ended March 31, 2025 was higher than the federal statutory rate of 21% primarily due to an increase to non-deductible stock-based compensation under Internal Revenue Code Section 162(m) and state and local income taxes. Our effective tax rate for the three months ended March 31, 2026 was higher than the federal statutory rate of 21% primarily due to stock-based compensation shortfalls realized and state and local income taxes.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2025 and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1,101,915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1,235,768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92,569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90,824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nine months ended March 31, 2026 increased by $133.9 million, or 12%, to $1,235.8 million from $1,101.9 million for the nine months ended March 31, 2025. Recurring and other revenue increased primarily as a result of incremental revenues from new and existing clients due to the strong performance by our sales team.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nine months ended March 31, 2026 decreased by $1.7 million, or 2%, to $90.8 million from $92.6 million for the nine months ended March 31, 2025. Interest income on funds held for clients decreased slightly as the negative impact from lower interest rates was mostly offset by positive impact from higher average daily balances of funds held for new and existing clients as compared to the prior fiscal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369,358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401,474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32,116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the nine months ended March 31, 2026 increased by $32.1 million, or 9%, to $401.5 million from $369.4 million for the nine months ended March 31, 2025. Cost of revenues increased primarily as a result of the continued growth of our business, in particular, $16.6 million in additional employee-related costs, $8.3 million in additional amortization of internal-use software and $7.2 million in additional processing and delivery-related costs. Gross margin increased from 69% for the nine months ended March 31, 2025 to 70% for the nine months ended March 31, 2026.</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273,338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290,178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16,840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nine months ended March 31, 2026 increased by $16.8 million, or 6%, to $290.2 million from $273.3 million for the nine months ended March 31, 2025. The increase in sales and marketing expense was primarily due to $15.9 million of additional employee-related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154,811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165,861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11,050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March 31, 2026 increased by $11.1 million, or 7%, to $165.9 million from $154.8 million for the nine months ended March 31, 2025. The increase in research and development expenses was primarily due to $12.7 million of additional employee-related costs related to additional development personnel, net of capitalized internal-use software costs, partially offset by $3.8 million in lower stock-based compensation expense.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159,180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167,508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8,328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March 31, 2026 increased by $8.3 million, or 5%, to $167.5 million from $159.2 million for the nine months ended March 31, 2025. General and administrative expenses increased primarily due to $6.9 million in additional stock-based compensation expense as compared to the prior fiscal year period, largely driven by executive award forfeitures during the nine months ended March 31,</w:t>
      </w:r>
    </w:p>
    <w:p>
      <w:pPr>
        <w:ind w:right="300"/>
        <w:spacing w:after="0" w:line="282" w:lineRule="auto"/>
        <w:rPr>
          <w:sz w:val="20"/>
          <w:szCs w:val="20"/>
          <w:color w:val="auto"/>
        </w:rPr>
      </w:pPr>
      <w:r>
        <w:rPr>
          <w:rFonts w:ascii="Times New Roman" w:cs="Times New Roman" w:eastAsia="Times New Roman" w:hAnsi="Times New Roman"/>
          <w:sz w:val="18"/>
          <w:szCs w:val="18"/>
          <w:color w:val="auto"/>
        </w:rPr>
        <w:t>2025, and $5.2 million in additional employee-related costs during the nine months ended March 31, 2026, partially offset by a $2.3 million decrease in acquisition-related costs and other non-recurring items.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Other income for the nine months ended March 31, 2026 decreased by $3.9 million as compared to the nine months ended March 31, 2025. The change in other income was primarily due to a $9.5 million reduction in interest earned on our cash and cash equivalents from lower average balances and lower interest rates, partially offset by a $5.0 million decrease in interest expense due to less borrowings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Our effective tax rate was 26.3% and 30.7% for the nine months ended March 31, 2025 and 2026, respectively. Our effective tax rate for the nine months ended March 31, 2025 was higher than the federal statutory rate of 21% primarily due to state and local income taxes. Our effective tax rate for the nine months ended March 31, 2026 was higher than the federal statutory rate of 21% primarily due to stock-based compensation shortfalls realized, state and local income taxes and an increase to the valuation allowance as explained below.</w:t>
      </w:r>
    </w:p>
    <w:p>
      <w:pPr>
        <w:spacing w:after="0" w:line="15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most significant provision applicable to us relates to accelerated tax deductions for qualified property and research expenditures. As a result of this provision, deferred tax assets and liabilities and income tax payables and receivables were impacted starting in fiscal 2026 and we expect cash tax benefits due to lower cash tax payments throughout fiscal 2026. Furthermore, we evaluated the impacts of the Act on certain state tax attributes and determined that a valuation allowance was needed to reflect the realizability of those assets based on current federal and state law as of March 31,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4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There have been no material changes in our critical accounting policies and use of estimates from the information provided in Item 7 of our audited consolidated financial statements for the year ended June 30, 2025 included in our Annual Report on Form 10-K filed with the SEC on August 6,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Our primary liquidity needs are related to the funding of general business requirements, including working capital requirements, research and development, and capital expenditures. As of March 31, 2026, our principal source of liquidity was $299.7 million of cash and cash equivalents. We maintain a credit agreement that provides for a $550.0 million revolving credit facility, which may be increased up to $825.0 million. During fiscal 2025, we borrowed $325.0 million under this credit facility to fund the October 2024 acquisition of Airbase Inc. We had $81.3 million in outstanding borrowings</w:t>
      </w:r>
    </w:p>
    <w:p>
      <w:pPr>
        <w:spacing w:after="0" w:line="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under this credit facility at March 31, 2026, as we repaid $162.5 million in the second half of fiscal 2025 and an additional $81.3 million during the first nine months of fiscal 2026. Refer to Notes 4 and 8 of the Notes to the Unaudited Consolidated Financial Statements for additional details on the Airbase acquisition and credit agreement, respectively.</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2024, our board of directors authorized the repurchase of up to $500.0 million of our common stock (the "Repurchase Program"). In July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our board of directors approved a $500.0 million increase to the Repurchase Program. The extent to which we repurchase shares, the number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any shares repurchased and the timing of any repurchases depends on the market price of our common stock, trading volume, general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and other corporate and economic considerations. During the nine months ended March 31, 2026, we repurchased an aggregate of 2.3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for approximately $350.0 million at an average cost per share of $153.10 under the Repurchase Program. As of March 31, 2026,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$350.4 million remains authorized for repurchases under the Repurchase Program. In April 2026, our board of directors authorized an additional $1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common stock for repurchase under the Repurchase Program. Refer to Note 14 of the Notes to the Unaudited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Part I, Item 1: “Financial Statements” for additional detail on our Repurchase Program.</w:t>
      </w:r>
    </w:p>
    <w:p>
      <w:pPr>
        <w:spacing w:after="0" w:line="16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bonds, asset-backed securities, certificates of deposit, U.S. treasury securities, and other securities with credit quality ratings of A-1 or higher as well as in money market funds. As of March 31, 2026, we did not have any corporate investments classified as available-for-sale securities.</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investments in our platform, data centers and general infrastructure, some of which may be significant.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share repurchases and other investments principally with cash flows from operations, and to the extent that our liquidity needs exceed our cash from operations, we would look to our cash on hand or utilize the remaining borrowing capacity under our credit facility to satisfy those needs.</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payroll and spend management processing activities involve the movement of significant funds from accounts of clients to their employees, relevant taxing authorities and vendors. Funds held for clients and client fund obligations will vary substantially from period to period mostly as a result of the timing of payroll and payroll tax obligations due. Though we debit a client’s account prior to any disbursement on its behalf, there is a delay between when our payments are due and when the incoming funds from the client to cover these amounts payable actually clear into our operating accounts. We currently have agreements with various major U.S. banks to execute ACH and wire transfers to support our services. We believe we have sufficient capacity under these ACH arrangements to handle all transaction volumes for the foreseeable future. We primarily collect fees for our HCM and payroll services via ACH transactions at the same time we debit the client’s account for payroll and payroll tax obligations and thus are able to reduce collectability and accounts receivable risks.</w:t>
      </w:r>
    </w:p>
    <w:p>
      <w:pPr>
        <w:spacing w:after="0" w:line="151"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9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7"/>
                <w:szCs w:val="17"/>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331,657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421,359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(259,994)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268,676</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(49,101)</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(15,518)</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and funds held for clients acquired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1,139,099</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shares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3"/>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543,566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680,483</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1,048,133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$331.7 million and $421.4 million for the nine months ended March 31, 2025 and 2026, respectively. The change in net cash provided by operating activities from the nine months ended March 31, 2025 to the nine months ended March 31, 2026 was primarily driven by improved operating results after adjusting for non-cash items, including stock-based compensation expense, depreciation and amortization expense and deferred income tax expense (benefit) and lower income tax payments resulting from the provisions of the One Big Beautiful Bill Act, partially offset by changes in operating assets and liabilities over the same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$328.5 million and $53.7 million for the nine months ended March 31, 2025 and 2026,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5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$277.9 million paid for the acquisition of Airbase Inc., net of cash and funds held for clients acquired during the nine months ended March 31, 2025. The change was also due to a $145.7 million increase in proceeds from the sales and maturities of available-for-sale securities, partially offset by a $138.2 million increase in purchases of available-for-sale securities, during the nine months ended March 31, 2026 as compared to the nine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$543.6 million and $680.5 million for the nine months ended March 31, 2025 and 2026, respectively. The change in net cash provided by financing activities was primarily due to the net change in client fund obligations of $709.2 million due to the timing of client funds collected and related remittance of those funds to client employees and taxing authorities. This was partially offset by $325.0 million in borrowings under our credit facility during the nine months ended March 31, 2025 and $258.9 million in additional share repurchases during the nine months ended March 31, 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March 31, 2026, our principal commitments consisted of $81.3 million in borrowings on our revolving credit facility, which is contractually not due in the next twelve months, and related interest payments, as well as $61.8 million in operating lease obligations, of which $11.1 million is due in the next twelve months. We also had $139.6 million in purchase obligations, of which $76.2 million is due in the next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$7.6 million and $15.5 million for the nine months ended March 31, 2025 and 2026, respectively, exclusive of capitalized internal-use software costs of $45.6 million and $49.1 million for the same periods,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of our Annual Report on Form 10-K filed with the SEC on August 6, 2025 for risks related to our business.</w:t>
      </w:r>
    </w:p>
    <w:p>
      <w:pPr>
        <w:spacing w:after="0" w:line="13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we had cash and cash equivalents of $299.7 million and funds held for clients of $3,838.5 million. We deposit our cash and cash equivalents and significant portions of our funds held for clients in demand deposit accounts with various financial institutions. We may invest portions of our excess cash and cash equivalents and funds held for clients in marketable securities including commercial paper, corporate bonds, asset-backed securities, certificates of deposit, U.S. treasury securities, and other securities, as well as in money market funds.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$16.9 million as of March 31, 2026. An immediate 100-basis point decrease in interest rates would have resulted in an increase in the market value of our available-for-sale securities by</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$17.5 million as of March 31, 2026. Fluctuations in the value of our available-for-sale securities caused by changes in interest rates are recorded in other comprehensive income and are only realized if we sell the underlying securities.</w:t>
      </w:r>
    </w:p>
    <w:p>
      <w:pPr>
        <w:spacing w:after="0" w:line="14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maintain a 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 </w:t>
      </w:r>
      <w:r>
        <w:rPr>
          <w:rFonts w:ascii="Times New Roman" w:cs="Times New Roman" w:eastAsia="Times New Roman" w:hAnsi="Times New Roman"/>
          <w:sz w:val="18"/>
          <w:szCs w:val="18"/>
          <w:color w:val="000000"/>
        </w:rPr>
        <w:t>$825.0</w:t>
      </w:r>
      <w:r>
        <w:rPr>
          <w:rFonts w:ascii="Times New Roman" w:cs="Times New Roman" w:eastAsia="Times New Roman" w:hAnsi="Times New Roman"/>
          <w:sz w:val="18"/>
          <w:szCs w:val="18"/>
          <w:color w:val="212529"/>
        </w:rPr>
        <w:t xml:space="preserve"> million. Borrowings under the credit facility generally bear interest at a rate based upon the Term Secured Overnight Financing Rate (“SOFR”) plus 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12529"/>
        </w:rPr>
        <w:t xml:space="preserve">, we had </w:t>
      </w:r>
      <w:r>
        <w:rPr>
          <w:rFonts w:ascii="Times New Roman" w:cs="Times New Roman" w:eastAsia="Times New Roman" w:hAnsi="Times New Roman"/>
          <w:sz w:val="18"/>
          <w:szCs w:val="18"/>
          <w:color w:val="000000"/>
        </w:rPr>
        <w:t>$81.3</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million in borrowings outstanding under our credit facility. </w:t>
      </w:r>
      <w:r>
        <w:rPr>
          <w:rFonts w:ascii="Times New Roman" w:cs="Times New Roman" w:eastAsia="Times New Roman" w:hAnsi="Times New Roman"/>
          <w:sz w:val="18"/>
          <w:szCs w:val="18"/>
          <w:color w:val="212529"/>
        </w:rPr>
        <w:t>Because interest rates applicable to the credit facility are variable, we are exposed to market risk</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from changes in the underlying index rates, which affects our interest expense. A hypothetical change of 100 basis points in interest rates would not have had a significant impact on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March 31, 2026,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2025 filed with the SEC on August 6,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Company’s purchases of its common stock during the three months ended March 31,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20" w:type="dxa"/>
            <w:vAlign w:val="bottom"/>
          </w:tcPr>
          <w:p>
            <w:pPr>
              <w:spacing w:after="0"/>
              <w:rPr>
                <w:sz w:val="15"/>
                <w:szCs w:val="15"/>
                <w:color w:val="auto"/>
              </w:rPr>
            </w:pPr>
          </w:p>
        </w:tc>
        <w:tc>
          <w:tcPr>
            <w:tcW w:w="2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00" w:type="dxa"/>
            <w:vAlign w:val="bottom"/>
          </w:tcPr>
          <w:p>
            <w:pPr>
              <w:spacing w:after="0"/>
              <w:rPr>
                <w:sz w:val="15"/>
                <w:szCs w:val="15"/>
                <w:color w:val="auto"/>
              </w:rPr>
            </w:pPr>
          </w:p>
        </w:tc>
        <w:tc>
          <w:tcPr>
            <w:tcW w:w="20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Value of Shares that May</w:t>
            </w:r>
          </w:p>
        </w:tc>
        <w:tc>
          <w:tcPr>
            <w:tcW w:w="0" w:type="dxa"/>
            <w:vAlign w:val="bottom"/>
          </w:tcPr>
          <w:p>
            <w:pPr>
              <w:spacing w:after="0"/>
              <w:rPr>
                <w:sz w:val="1"/>
                <w:szCs w:val="1"/>
                <w:color w:val="auto"/>
              </w:rPr>
            </w:pPr>
          </w:p>
        </w:tc>
      </w:tr>
      <w:tr>
        <w:trPr>
          <w:trHeight w:val="184"/>
        </w:trPr>
        <w:tc>
          <w:tcPr>
            <w:tcW w:w="284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2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6"/>
                <w:szCs w:val="16"/>
                <w:color w:val="auto"/>
              </w:rPr>
            </w:pPr>
          </w:p>
        </w:tc>
        <w:tc>
          <w:tcPr>
            <w:tcW w:w="20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Yet Be Purchased Under</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Share (1)</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 Programs (2)</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the Plans or Programs (2)</w:t>
            </w:r>
          </w:p>
        </w:tc>
        <w:tc>
          <w:tcPr>
            <w:tcW w:w="0" w:type="dxa"/>
            <w:vAlign w:val="bottom"/>
          </w:tcPr>
          <w:p>
            <w:pPr>
              <w:spacing w:after="0"/>
              <w:rPr>
                <w:sz w:val="1"/>
                <w:szCs w:val="1"/>
                <w:color w:val="auto"/>
              </w:rPr>
            </w:pPr>
          </w:p>
        </w:tc>
      </w:tr>
      <w:tr>
        <w:trPr>
          <w:trHeight w:val="25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400,362,721</w:t>
            </w:r>
          </w:p>
        </w:tc>
        <w:tc>
          <w:tcPr>
            <w:tcW w:w="0" w:type="dxa"/>
            <w:vAlign w:val="bottom"/>
          </w:tcPr>
          <w:p>
            <w:pPr>
              <w:spacing w:after="0"/>
              <w:rPr>
                <w:sz w:val="1"/>
                <w:szCs w:val="1"/>
                <w:color w:val="auto"/>
              </w:rPr>
            </w:pPr>
          </w:p>
        </w:tc>
      </w:tr>
      <w:tr>
        <w:trPr>
          <w:trHeight w:val="25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2026 - February 28, 2026</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113.20</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441,692</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350,362,799</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350,362,799</w:t>
            </w:r>
          </w:p>
        </w:tc>
        <w:tc>
          <w:tcPr>
            <w:tcW w:w="0" w:type="dxa"/>
            <w:vAlign w:val="bottom"/>
          </w:tcPr>
          <w:p>
            <w:pPr>
              <w:spacing w:after="0"/>
              <w:rPr>
                <w:sz w:val="1"/>
                <w:szCs w:val="1"/>
                <w:color w:val="auto"/>
              </w:rPr>
            </w:pPr>
          </w:p>
        </w:tc>
      </w:tr>
      <w:tr>
        <w:trPr>
          <w:trHeight w:val="223"/>
        </w:trPr>
        <w:tc>
          <w:tcPr>
            <w:tcW w:w="2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441,692</w:t>
            </w: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excludes excise taxes payable on shares repurchased.</w:t>
      </w:r>
    </w:p>
    <w:p>
      <w:pPr>
        <w:spacing w:after="0" w:line="225" w:lineRule="exact"/>
        <w:rPr>
          <w:rFonts w:ascii="Times New Roman" w:cs="Times New Roman" w:eastAsia="Times New Roman" w:hAnsi="Times New Roman"/>
          <w:sz w:val="18"/>
          <w:szCs w:val="18"/>
          <w:color w:val="auto"/>
        </w:rPr>
      </w:pPr>
    </w:p>
    <w:p>
      <w:pPr>
        <w:ind w:right="580" w:firstLine="8"/>
        <w:spacing w:after="0" w:line="266" w:lineRule="auto"/>
        <w:tabs>
          <w:tab w:leader="none" w:pos="39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2024, our board of directors approved a share repurchase program (the “Repurchase Program”) under which we are authorized to purchase (in the aggregate) up to $500 million of our issued and outstanding common stock at such times and prices that management deems to be appropriate. In July 2025, our board of directors approved a $500 million increase to the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following directors and/or officers (as defined in Rule 16a-1(f)) adopted a “Rule 10b5-1 trading arrangement,” as defined in Item 408(a) of Regulation S-K intending to satisfy the affirmative defense conditions of Rule 10b5-1(c):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Total Shares of Common</w:t>
            </w:r>
          </w:p>
        </w:tc>
        <w:tc>
          <w:tcPr>
            <w:tcW w:w="2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Duration</w:t>
            </w:r>
            <w:r>
              <w:rPr>
                <w:rFonts w:ascii="Times New Roman" w:cs="Times New Roman" w:eastAsia="Times New Roman" w:hAnsi="Times New Roman"/>
                <w:sz w:val="23"/>
                <w:szCs w:val="23"/>
                <w:b w:val="1"/>
                <w:bCs w:val="1"/>
                <w:color w:val="auto"/>
                <w:vertAlign w:val="superscript"/>
              </w:rPr>
              <w:t>(1)</w:t>
            </w:r>
          </w:p>
        </w:tc>
        <w:tc>
          <w:tcPr>
            <w:tcW w:w="2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Adoption Date</w:t>
            </w: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43"/>
        </w:trPr>
        <w:tc>
          <w:tcPr>
            <w:tcW w:w="3140" w:type="dxa"/>
            <w:vAlign w:val="bottom"/>
            <w:gridSpan w:val="2"/>
            <w:vMerge w:val="continue"/>
          </w:tcPr>
          <w:p>
            <w:pPr>
              <w:spacing w:after="0"/>
              <w:rPr>
                <w:sz w:val="21"/>
                <w:szCs w:val="21"/>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Stock to be Sold</w:t>
            </w:r>
          </w:p>
        </w:tc>
        <w:tc>
          <w:tcPr>
            <w:tcW w:w="2040" w:type="dxa"/>
            <w:vAlign w:val="bottom"/>
            <w:gridSpan w:val="2"/>
            <w:vMerge w:val="continue"/>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1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Toby Williams</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14, 2026 - March</w:t>
            </w: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15, 2027</w:t>
            </w:r>
          </w:p>
        </w:tc>
        <w:tc>
          <w:tcPr>
            <w:tcW w:w="1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17, 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15, 2027</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60" w:right="380" w:hanging="652"/>
        <w:spacing w:after="0" w:line="222" w:lineRule="auto"/>
        <w:tabs>
          <w:tab w:leader="none" w:pos="325"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trading arrangement permits transactions through and including the earlier to occur of (a) the completion of all sales or (b) the expiration date listed in the table.</w:t>
      </w:r>
    </w:p>
    <w:p>
      <w:pPr>
        <w:ind w:left="320" w:hanging="312"/>
        <w:spacing w:after="0" w:line="220"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that will be sold is determined, in part, based on pricing triggers outlined in the adopting person's trading arrangement.</w:t>
      </w:r>
    </w:p>
    <w:p>
      <w:pPr>
        <w:spacing w:after="0" w:line="3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 directors or officers terminated a Rule 10b5-1 trading arrangement or entered into or terminated a “non-Rule 10b5-1 trading arrangement” as defined in Item 408(a) of Regulation S-K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6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60" w:type="dxa"/>
            <w:vAlign w:val="bottom"/>
            <w:gridSpan w:val="13"/>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Third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8-K on December 4, 2023 (File No. 001-36348)).</w:t>
              </w:r>
            </w:hyperlink>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40" w:type="dxa"/>
            <w:vAlign w:val="bottom"/>
            <w:gridSpan w:val="3"/>
          </w:tcPr>
          <w:p>
            <w:pPr>
              <w:ind w:left="20"/>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3"/>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Third Amended and Restated Bylaws of Paylocity Holding Corporation (filed as Exhibit 3.2 of Paylocity Holding Corporation’s Current</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Report on Form 8-K on December 4, 2023 (File No. 001-36348)).</w:t>
              </w:r>
            </w:hyperlink>
          </w:p>
        </w:tc>
        <w:tc>
          <w:tcPr>
            <w:tcW w:w="20" w:type="dxa"/>
            <w:vAlign w:val="bottom"/>
          </w:tcPr>
          <w:p>
            <w:pPr>
              <w:spacing w:after="0"/>
              <w:rPr>
                <w:sz w:val="14"/>
                <w:szCs w:val="14"/>
                <w:color w:val="auto"/>
              </w:rPr>
            </w:pPr>
          </w:p>
        </w:tc>
      </w:tr>
      <w:tr>
        <w:trPr>
          <w:trHeight w:val="20"/>
        </w:trPr>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264"/>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480" w:type="dxa"/>
            <w:vAlign w:val="bottom"/>
            <w:gridSpan w:val="5"/>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40" w:type="dxa"/>
            <w:vAlign w:val="bottom"/>
            <w:gridSpan w:val="6"/>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300" w:type="dxa"/>
            <w:vAlign w:val="bottom"/>
            <w:gridSpan w:val="11"/>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97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67" w:lineRule="exact"/>
        <w:rPr>
          <w:sz w:val="20"/>
          <w:szCs w:val="20"/>
          <w:color w:val="auto"/>
        </w:rPr>
      </w:pPr>
    </w:p>
    <w:p>
      <w:pPr>
        <w:ind w:left="560" w:hanging="534"/>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60" w:hanging="534"/>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8, 2026</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8, 2026</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tc>
      </w:tr>
      <w:tr>
        <w:trPr>
          <w:trHeight w:val="904"/>
        </w:trPr>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38</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36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720" w:firstLine="648"/>
        <w:spacing w:after="0" w:line="266"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ectPr>
          <w:pgSz w:w="11900" w:h="16838" w:orient="portrait"/>
          <w:cols w:equalWidth="0" w:num="1">
            <w:col w:w="11240"/>
          </w:cols>
          <w:pgMar w:left="320" w:top="36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2026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6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March 31, 2026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2"/>
    </w:lvl>
  </w:abstractNum>
  <w:abstractNum w:abstractNumId="4">
    <w:nsid w:val="1F16E9E8"/>
    <w:multiLevelType w:val="hybridMultilevel"/>
    <w:lvl w:ilvl="0">
      <w:lvlJc w:val="left"/>
      <w:lvlText w:val="(%1)"/>
      <w:numFmt w:val="lowerLetter"/>
      <w:start w:val="3"/>
    </w:lvl>
  </w:abstractNum>
  <w:abstractNum w:abstractNumId="5">
    <w:nsid w:val="1190CDE7"/>
    <w:multiLevelType w:val="hybridMultilevel"/>
    <w:lvl w:ilvl="0">
      <w:lvlJc w:val="left"/>
      <w:lvlText w:val="(%1)"/>
      <w:numFmt w:val="lowerLetter"/>
      <w:start w:val="4"/>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805"/>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9" Type="http://schemas.openxmlformats.org/officeDocument/2006/relationships/hyperlink" Target="https://www.sec.gov/Archives/edgar/data/1591698/000159169823000278/pcty-20231130xexhibit31.htm" TargetMode="External"/><Relationship Id="rId60" Type="http://schemas.openxmlformats.org/officeDocument/2006/relationships/hyperlink" Target="https://www.sec.gov/Archives/edgar/data/1591698/000159169823000278/pcty-20231130x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2026-05-08T09:04:29Z</dcterms:created>
  <dcterms:modified xsi:type="dcterms:W3CDTF">2026-05-08T09:04:29Z</dcterms:modified>
</cp:coreProperties>
</file>