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7170" w:type="dxa"/>
        <w:tblCellMar>
          <w:top w:w="0" w:type="dxa"/>
          <w:left w:w="0" w:type="dxa"/>
          <w:bottom w:w="0" w:type="dxa"/>
          <w:right w:w="0" w:type="dxa"/>
        </w:tblCellMar>
      </w:tblPr>
      <w:tr>
        <w:trPr>
          <w:trHeight w:val="2560"/>
        </w:trPr>
        <w:tc>
          <w:tcPr>
            <w:tcW w:w="563" w:type="dxa"/>
            <w:vAlign w:val="bottom"/>
            <w:textDirection w:val="tbRl"/>
          </w:tcPr>
          <w:p>
            <w:pPr>
              <w:spacing w:after="0"/>
              <w:rPr>
                <w:sz w:val="20"/>
                <w:szCs w:val="20"/>
                <w:color w:val="auto"/>
              </w:rPr>
            </w:pPr>
            <w:r>
              <w:rPr>
                <w:rFonts w:ascii="Arial" w:cs="Arial" w:eastAsia="Arial" w:hAnsi="Arial"/>
                <w:sz w:val="49"/>
                <w:szCs w:val="49"/>
                <w:b w:val="1"/>
                <w:bCs w:val="1"/>
                <w:color w:val="F5F2EA"/>
              </w:rPr>
              <w:t>Fiscal year</w:t>
            </w:r>
          </w:p>
        </w:tc>
      </w:tr>
    </w:tbl>
    <w:p>
      <w:pPr>
        <w:spacing w:after="0"/>
        <w:rPr>
          <w:sz w:val="24"/>
          <w:szCs w:val="24"/>
          <w:color w:val="auto"/>
        </w:rPr>
        <w:sectPr>
          <w:pgSz w:w="11880" w:h="15481" w:orient="portrait"/>
          <w:cols w:equalWidth="0" w:num="1">
            <w:col w:w="9361"/>
          </w:cols>
          <w:pgMar w:left="1080" w:top="360" w:right="1440" w:bottom="542" w:gutter="0" w:footer="0" w:header="0"/>
        </w:sect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right="1521"/>
        <w:spacing w:after="0" w:line="249" w:lineRule="auto"/>
        <w:rPr>
          <w:sz w:val="20"/>
          <w:szCs w:val="20"/>
          <w:color w:val="auto"/>
        </w:rPr>
      </w:pPr>
      <w:r>
        <w:rPr>
          <w:rFonts w:ascii="Arial" w:cs="Arial" w:eastAsia="Arial" w:hAnsi="Arial"/>
          <w:sz w:val="231"/>
          <w:szCs w:val="231"/>
          <w:b w:val="1"/>
          <w:bCs w:val="1"/>
          <w:color w:val="F5F2EA"/>
        </w:rPr>
        <w:t>Annual Report</w:t>
      </w:r>
    </w:p>
    <w:p>
      <w:pPr>
        <w:sectPr>
          <w:pgSz w:w="11880" w:h="15481" w:orient="portrait"/>
          <w:cols w:equalWidth="0" w:num="1">
            <w:col w:w="9361"/>
          </w:cols>
          <w:pgMar w:left="1080" w:top="360" w:right="1440" w:bottom="542" w:gutter="0" w:footer="0" w:header="0"/>
          <w:type w:val="continuous"/>
        </w:sectPr>
      </w:pPr>
    </w:p>
    <w:bookmarkStart w:id="1" w:name="page2"/>
    <w:bookmarkEnd w:id="1"/>
    <w:p>
      <w:pPr>
        <w:ind w:left="40" w:right="3380"/>
        <w:spacing w:after="0" w:line="298" w:lineRule="auto"/>
        <w:rPr>
          <w:sz w:val="20"/>
          <w:szCs w:val="20"/>
          <w:color w:val="auto"/>
        </w:rPr>
      </w:pPr>
      <w:r>
        <w:rPr>
          <w:rFonts w:ascii="Arial" w:cs="Arial" w:eastAsia="Arial" w:hAnsi="Arial"/>
          <w:sz w:val="50"/>
          <w:szCs w:val="50"/>
          <w:color w:val="000005"/>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 xml:space="preserve">Message from </w:t>
      </w:r>
      <w:r>
        <w:rPr>
          <w:rFonts w:ascii="Arial" w:cs="Arial" w:eastAsia="Arial" w:hAnsi="Arial"/>
          <w:sz w:val="50"/>
          <w:szCs w:val="50"/>
          <w:b w:val="1"/>
          <w:bCs w:val="1"/>
          <w:color w:val="000005"/>
        </w:rPr>
        <w:t>Our President</w:t>
      </w:r>
      <w:r>
        <w:rPr>
          <w:rFonts w:ascii="Arial" w:cs="Arial" w:eastAsia="Arial" w:hAnsi="Arial"/>
          <w:sz w:val="50"/>
          <w:szCs w:val="50"/>
          <w:color w:val="000005"/>
        </w:rPr>
        <w:t xml:space="preserve"> </w:t>
      </w:r>
      <w:r>
        <w:rPr>
          <w:rFonts w:ascii="Arial" w:cs="Arial" w:eastAsia="Arial" w:hAnsi="Arial"/>
          <w:sz w:val="50"/>
          <w:szCs w:val="50"/>
          <w:b w:val="1"/>
          <w:bCs w:val="1"/>
          <w:color w:val="000005"/>
        </w:rPr>
        <w:t>and Chief Executive Officer</w:t>
      </w:r>
    </w:p>
    <w:p>
      <w:pPr>
        <w:spacing w:after="0" w:line="1" w:lineRule="exact"/>
        <w:rPr>
          <w:sz w:val="20"/>
          <w:szCs w:val="20"/>
          <w:color w:val="auto"/>
        </w:rPr>
      </w:pPr>
    </w:p>
    <w:p>
      <w:pPr>
        <w:ind w:left="40" w:right="100"/>
        <w:spacing w:after="0" w:line="252" w:lineRule="auto"/>
        <w:rPr>
          <w:sz w:val="20"/>
          <w:szCs w:val="20"/>
          <w:color w:val="auto"/>
        </w:rPr>
      </w:pPr>
      <w:r>
        <w:rPr>
          <w:rFonts w:ascii="Arial" w:cs="Arial" w:eastAsia="Arial" w:hAnsi="Arial"/>
          <w:sz w:val="22"/>
          <w:szCs w:val="22"/>
          <w:color w:val="000005"/>
        </w:rPr>
        <w:t>In fiscal 2025, Paylocity delivered significant growth at scale. Our recurring and other revenue was $1.5B, a 15% year-over-year increase, and our total revenue was $1.6B, a 14% year-over-year increase, as our focus on providing the most complete platform for the modern workforce continued to differentiate us from competitors and resonate with clients and prospects. We also increased profitability in fiscal 2025, with adjusted EBITDA of $583.0M or 36.5% margin, adjusted EBITDA excluding interest income on funds held for clients of $459.6M or 31.2% margin, free cash flow of $342.8M or 21.5% margin, and free cash flow excluding interest income on funds held for clients of $219.3M or 14.9% margin.*</w:t>
      </w:r>
    </w:p>
    <w:p>
      <w:pPr>
        <w:spacing w:after="0" w:line="45" w:lineRule="exact"/>
        <w:rPr>
          <w:sz w:val="20"/>
          <w:szCs w:val="20"/>
          <w:color w:val="auto"/>
        </w:rPr>
      </w:pPr>
    </w:p>
    <w:p>
      <w:pPr>
        <w:ind w:left="40" w:right="160"/>
        <w:spacing w:after="0" w:line="256" w:lineRule="auto"/>
        <w:rPr>
          <w:sz w:val="20"/>
          <w:szCs w:val="20"/>
          <w:color w:val="auto"/>
        </w:rPr>
      </w:pPr>
      <w:r>
        <w:rPr>
          <w:rFonts w:ascii="Arial" w:cs="Arial" w:eastAsia="Arial" w:hAnsi="Arial"/>
          <w:sz w:val="22"/>
          <w:szCs w:val="22"/>
          <w:color w:val="000005"/>
        </w:rPr>
        <w:t>Our focus on innovation and operational excellence with a client-centered approach has positioned us for sustained success in a rapidly changing world of work. This year we delivered continued innovation and expanded our HCM suite, while also broadening our platform with spend management capabilities to better serve HR and finance leaders — increasing Paylocity’s total addressable market beyond HCM and further into the Office of the CFO.</w:t>
      </w:r>
    </w:p>
    <w:p>
      <w:pPr>
        <w:spacing w:after="0" w:line="41" w:lineRule="exact"/>
        <w:rPr>
          <w:sz w:val="20"/>
          <w:szCs w:val="20"/>
          <w:color w:val="auto"/>
        </w:rPr>
      </w:pPr>
    </w:p>
    <w:p>
      <w:pPr>
        <w:ind w:left="40" w:right="300"/>
        <w:spacing w:after="0" w:line="252" w:lineRule="auto"/>
        <w:rPr>
          <w:sz w:val="20"/>
          <w:szCs w:val="20"/>
          <w:color w:val="auto"/>
        </w:rPr>
      </w:pPr>
      <w:r>
        <w:rPr>
          <w:rFonts w:ascii="Arial" w:cs="Arial" w:eastAsia="Arial" w:hAnsi="Arial"/>
          <w:sz w:val="22"/>
          <w:szCs w:val="22"/>
          <w:color w:val="000005"/>
        </w:rPr>
        <w:t>Fiscal 2025 also marked key product milestones that are pivotal to driving our strategy as the most modern platform provider in the industry. We introduced the Paylocity AI Assistant to simplify HR tasks with real-time conversational support; launched enhancements to our Recruiting platform to streamline hiring and improve candidate quality; and unveiled Benefits Decision Support to guide employees through personalized benefits enrollment. And in spend management, Paylocity for Finance (formerly known as Airbase by Paylocity) was recognized as a Visionary in the 2025 Gartner® Magic Quadrant™ for Accounts Payable Applications, validating the strength of our finance solutions.</w:t>
      </w:r>
    </w:p>
    <w:p>
      <w:pPr>
        <w:spacing w:after="0" w:line="45" w:lineRule="exact"/>
        <w:rPr>
          <w:sz w:val="20"/>
          <w:szCs w:val="20"/>
          <w:color w:val="auto"/>
        </w:rPr>
      </w:pPr>
    </w:p>
    <w:p>
      <w:pPr>
        <w:ind w:left="40"/>
        <w:spacing w:after="0" w:line="256" w:lineRule="auto"/>
        <w:rPr>
          <w:sz w:val="20"/>
          <w:szCs w:val="20"/>
          <w:color w:val="auto"/>
        </w:rPr>
      </w:pPr>
      <w:r>
        <w:rPr>
          <w:rFonts w:ascii="Arial" w:cs="Arial" w:eastAsia="Arial" w:hAnsi="Arial"/>
          <w:sz w:val="22"/>
          <w:szCs w:val="22"/>
          <w:color w:val="000005"/>
        </w:rPr>
        <w:t>We also continue to invest in our go-to-market initiatives, expanding our sales force, strengthening referral channels, and further growing our brand presence. These efforts contributed to a 7% increase in our client base, ending fiscal 2025 with 41,650 clients. We also maintained revenue retention of greater than 92%, which is a testament to the strength of our client service and the strategic value we deliver.</w:t>
      </w:r>
    </w:p>
    <w:p>
      <w:pPr>
        <w:spacing w:after="0" w:line="41" w:lineRule="exact"/>
        <w:rPr>
          <w:sz w:val="20"/>
          <w:szCs w:val="20"/>
          <w:color w:val="auto"/>
        </w:rPr>
      </w:pPr>
    </w:p>
    <w:p>
      <w:pPr>
        <w:ind w:left="40" w:right="120"/>
        <w:spacing w:after="0" w:line="256" w:lineRule="auto"/>
        <w:rPr>
          <w:sz w:val="20"/>
          <w:szCs w:val="20"/>
          <w:color w:val="auto"/>
        </w:rPr>
      </w:pPr>
      <w:r>
        <w:rPr>
          <w:rFonts w:ascii="Arial" w:cs="Arial" w:eastAsia="Arial" w:hAnsi="Arial"/>
          <w:sz w:val="22"/>
          <w:szCs w:val="22"/>
          <w:color w:val="000005"/>
        </w:rPr>
        <w:t>Looking ahead, we see significant opportunities to extend our market leadership. Companies increasingly demand unified business platforms that can adapt to the shifting needs of the modern workforce while helping to drive business results. With ongoing investments in our market-leading product innovation and world-class client service, Paylocity is well positioned to deliver lasting value to our clients, growth in our business, and opportunity for our employees.</w:t>
      </w:r>
    </w:p>
    <w:p>
      <w:pPr>
        <w:spacing w:after="0" w:line="41" w:lineRule="exact"/>
        <w:rPr>
          <w:sz w:val="20"/>
          <w:szCs w:val="20"/>
          <w:color w:val="auto"/>
        </w:rPr>
      </w:pPr>
    </w:p>
    <w:p>
      <w:pPr>
        <w:jc w:val="both"/>
        <w:ind w:left="40" w:right="760"/>
        <w:spacing w:after="0" w:line="284" w:lineRule="auto"/>
        <w:rPr>
          <w:sz w:val="20"/>
          <w:szCs w:val="20"/>
          <w:color w:val="auto"/>
        </w:rPr>
      </w:pPr>
      <w:r>
        <w:rPr>
          <w:rFonts w:ascii="Arial" w:cs="Arial" w:eastAsia="Arial" w:hAnsi="Arial"/>
          <w:sz w:val="22"/>
          <w:szCs w:val="22"/>
          <w:color w:val="000005"/>
        </w:rPr>
        <w:t>Thank you to our employees, clients, and partners for your trust and collaboration. We remain committed to moving forward together — shaping the future of work with vision and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380"/>
        <w:spacing w:after="0"/>
        <w:rPr>
          <w:sz w:val="20"/>
          <w:szCs w:val="20"/>
          <w:color w:val="auto"/>
        </w:rPr>
      </w:pPr>
      <w:r>
        <w:rPr>
          <w:rFonts w:ascii="Arial" w:cs="Arial" w:eastAsia="Arial" w:hAnsi="Arial"/>
          <w:sz w:val="24"/>
          <w:szCs w:val="24"/>
          <w:b w:val="1"/>
          <w:bCs w:val="1"/>
          <w:color w:val="000005"/>
        </w:rPr>
        <w:t>Toby Williams</w:t>
      </w:r>
    </w:p>
    <w:p>
      <w:pPr>
        <w:spacing w:after="0" w:line="21" w:lineRule="exact"/>
        <w:rPr>
          <w:sz w:val="20"/>
          <w:szCs w:val="20"/>
          <w:color w:val="auto"/>
        </w:rPr>
      </w:pPr>
    </w:p>
    <w:p>
      <w:pPr>
        <w:ind w:left="2380"/>
        <w:spacing w:after="0"/>
        <w:rPr>
          <w:sz w:val="20"/>
          <w:szCs w:val="20"/>
          <w:color w:val="auto"/>
        </w:rPr>
      </w:pPr>
      <w:r>
        <w:rPr>
          <w:rFonts w:ascii="Arial" w:cs="Arial" w:eastAsia="Arial" w:hAnsi="Arial"/>
          <w:sz w:val="22"/>
          <w:szCs w:val="22"/>
          <w:color w:val="000005"/>
        </w:rPr>
        <w:t>President and Chief Executive Officer</w:t>
      </w:r>
    </w:p>
    <w:p>
      <w:pPr>
        <w:sectPr>
          <w:pgSz w:w="11880" w:h="15481" w:orient="portrait"/>
          <w:cols w:equalWidth="0" w:num="1">
            <w:col w:w="10040"/>
          </w:cols>
          <w:pgMar w:left="720" w:top="704" w:right="1121" w:bottom="322"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756F73"/>
        </w:rPr>
        <w:t>*Refer to Financial Highlights and Appendix A for additional details on non-GAAP financial measures.</w:t>
      </w:r>
    </w:p>
    <w:p>
      <w:pPr>
        <w:sectPr>
          <w:pgSz w:w="11880" w:h="15481" w:orient="portrait"/>
          <w:cols w:equalWidth="0" w:num="1">
            <w:col w:w="10040"/>
          </w:cols>
          <w:pgMar w:left="720" w:top="704" w:right="1121" w:bottom="322" w:gutter="0" w:footer="0" w:header="0"/>
          <w:type w:val="continuous"/>
        </w:sectPr>
      </w:pPr>
    </w:p>
    <w:bookmarkStart w:id="2" w:name="page3"/>
    <w:bookmarkEnd w:id="2"/>
    <w:p>
      <w:pPr>
        <w:spacing w:after="0"/>
        <w:rPr>
          <w:sz w:val="20"/>
          <w:szCs w:val="20"/>
          <w:color w:val="auto"/>
        </w:rPr>
      </w:pPr>
      <w:r>
        <w:rPr>
          <w:rFonts w:ascii="Arial" w:cs="Arial" w:eastAsia="Arial" w:hAnsi="Arial"/>
          <w:sz w:val="50"/>
          <w:szCs w:val="50"/>
          <w:b w:val="1"/>
          <w:bCs w:val="1"/>
          <w:color w:val="000005"/>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Fiscal Year 2025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3160" w:type="dxa"/>
        <w:tblCellMar>
          <w:top w:w="0" w:type="dxa"/>
          <w:left w:w="0" w:type="dxa"/>
          <w:bottom w:w="0" w:type="dxa"/>
          <w:right w:w="0" w:type="dxa"/>
        </w:tblCellMar>
      </w:tblPr>
      <w:tr>
        <w:trPr>
          <w:trHeight w:val="472"/>
        </w:trPr>
        <w:tc>
          <w:tcPr>
            <w:tcW w:w="1980" w:type="dxa"/>
            <w:vAlign w:val="bottom"/>
          </w:tcPr>
          <w:p>
            <w:pPr>
              <w:jc w:val="center"/>
              <w:ind w:right="725"/>
              <w:spacing w:after="0"/>
              <w:rPr>
                <w:sz w:val="20"/>
                <w:szCs w:val="20"/>
                <w:color w:val="auto"/>
              </w:rPr>
            </w:pPr>
            <w:r>
              <w:rPr>
                <w:rFonts w:ascii="Arial" w:cs="Arial" w:eastAsia="Arial" w:hAnsi="Arial"/>
                <w:sz w:val="36"/>
                <w:szCs w:val="36"/>
                <w:b w:val="1"/>
                <w:bCs w:val="1"/>
                <w:color w:val="000005"/>
                <w:w w:val="91"/>
              </w:rPr>
              <w:t>$1.6B</w:t>
            </w:r>
          </w:p>
        </w:tc>
        <w:tc>
          <w:tcPr>
            <w:tcW w:w="1780" w:type="dxa"/>
            <w:vAlign w:val="bottom"/>
          </w:tcPr>
          <w:p>
            <w:pPr>
              <w:jc w:val="right"/>
              <w:ind w:right="25"/>
              <w:spacing w:after="0"/>
              <w:rPr>
                <w:sz w:val="20"/>
                <w:szCs w:val="20"/>
                <w:color w:val="auto"/>
              </w:rPr>
            </w:pPr>
            <w:r>
              <w:rPr>
                <w:rFonts w:ascii="Arial" w:cs="Arial" w:eastAsia="Arial" w:hAnsi="Arial"/>
                <w:sz w:val="36"/>
                <w:szCs w:val="36"/>
                <w:b w:val="1"/>
                <w:bCs w:val="1"/>
                <w:color w:val="000005"/>
              </w:rPr>
              <w:t>14%</w:t>
            </w:r>
          </w:p>
        </w:tc>
        <w:tc>
          <w:tcPr>
            <w:tcW w:w="0" w:type="dxa"/>
            <w:vAlign w:val="bottom"/>
          </w:tcPr>
          <w:p>
            <w:pPr>
              <w:spacing w:after="0"/>
              <w:rPr>
                <w:sz w:val="1"/>
                <w:szCs w:val="1"/>
                <w:color w:val="auto"/>
              </w:rPr>
            </w:pPr>
          </w:p>
        </w:tc>
      </w:tr>
      <w:tr>
        <w:trPr>
          <w:trHeight w:val="200"/>
        </w:trPr>
        <w:tc>
          <w:tcPr>
            <w:tcW w:w="1980" w:type="dxa"/>
            <w:vAlign w:val="bottom"/>
          </w:tcPr>
          <w:p>
            <w:pPr>
              <w:jc w:val="center"/>
              <w:ind w:right="745"/>
              <w:spacing w:after="0" w:line="200" w:lineRule="exact"/>
              <w:rPr>
                <w:sz w:val="20"/>
                <w:szCs w:val="20"/>
                <w:color w:val="auto"/>
              </w:rPr>
            </w:pPr>
            <w:r>
              <w:rPr>
                <w:rFonts w:ascii="Arial" w:cs="Arial" w:eastAsia="Arial" w:hAnsi="Arial"/>
                <w:sz w:val="18"/>
                <w:szCs w:val="18"/>
                <w:color w:val="000005"/>
                <w:w w:val="99"/>
              </w:rPr>
              <w:t>Total revenue</w:t>
            </w:r>
          </w:p>
        </w:tc>
        <w:tc>
          <w:tcPr>
            <w:tcW w:w="1780" w:type="dxa"/>
            <w:vAlign w:val="bottom"/>
            <w:vMerge w:val="restart"/>
          </w:tcPr>
          <w:p>
            <w:pPr>
              <w:jc w:val="center"/>
              <w:ind w:left="745"/>
              <w:spacing w:after="0"/>
              <w:rPr>
                <w:sz w:val="20"/>
                <w:szCs w:val="20"/>
                <w:color w:val="auto"/>
              </w:rPr>
            </w:pPr>
            <w:r>
              <w:rPr>
                <w:rFonts w:ascii="Arial" w:cs="Arial" w:eastAsia="Arial" w:hAnsi="Arial"/>
                <w:sz w:val="18"/>
                <w:szCs w:val="18"/>
                <w:color w:val="000005"/>
                <w:w w:val="96"/>
              </w:rPr>
              <w:t>YoY growth</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1680" w:type="dxa"/>
            <w:vAlign w:val="bottom"/>
          </w:tcPr>
          <w:p>
            <w:pPr>
              <w:jc w:val="center"/>
              <w:ind w:right="163"/>
              <w:spacing w:after="0"/>
              <w:rPr>
                <w:sz w:val="20"/>
                <w:szCs w:val="20"/>
                <w:color w:val="auto"/>
              </w:rPr>
            </w:pPr>
            <w:r>
              <w:rPr>
                <w:rFonts w:ascii="Arial" w:cs="Arial" w:eastAsia="Arial" w:hAnsi="Arial"/>
                <w:sz w:val="18"/>
                <w:szCs w:val="18"/>
                <w:color w:val="000005"/>
                <w:w w:val="97"/>
              </w:rPr>
              <w:t>Adjusted EBITDA</w:t>
            </w:r>
          </w:p>
        </w:tc>
        <w:tc>
          <w:tcPr>
            <w:tcW w:w="2740" w:type="dxa"/>
            <w:vAlign w:val="bottom"/>
          </w:tcPr>
          <w:p>
            <w:pPr>
              <w:jc w:val="center"/>
              <w:ind w:right="203"/>
              <w:spacing w:after="0"/>
              <w:rPr>
                <w:sz w:val="20"/>
                <w:szCs w:val="20"/>
                <w:color w:val="auto"/>
              </w:rPr>
            </w:pPr>
            <w:r>
              <w:rPr>
                <w:rFonts w:ascii="Arial" w:cs="Arial" w:eastAsia="Arial" w:hAnsi="Arial"/>
                <w:sz w:val="18"/>
                <w:szCs w:val="18"/>
                <w:color w:val="000005"/>
                <w:w w:val="98"/>
              </w:rPr>
              <w:t>Adjusted EBITDA margin</w:t>
            </w:r>
          </w:p>
        </w:tc>
        <w:tc>
          <w:tcPr>
            <w:tcW w:w="2260" w:type="dxa"/>
            <w:vAlign w:val="bottom"/>
          </w:tcPr>
          <w:p>
            <w:pPr>
              <w:jc w:val="center"/>
              <w:ind w:left="143"/>
              <w:spacing w:after="0"/>
              <w:rPr>
                <w:sz w:val="20"/>
                <w:szCs w:val="20"/>
                <w:color w:val="auto"/>
              </w:rPr>
            </w:pPr>
            <w:r>
              <w:rPr>
                <w:rFonts w:ascii="Arial" w:cs="Arial" w:eastAsia="Arial" w:hAnsi="Arial"/>
                <w:sz w:val="18"/>
                <w:szCs w:val="18"/>
                <w:color w:val="000005"/>
                <w:w w:val="95"/>
              </w:rPr>
              <w:t>Adjusted EBITDA</w:t>
            </w:r>
          </w:p>
        </w:tc>
        <w:tc>
          <w:tcPr>
            <w:tcW w:w="1800" w:type="dxa"/>
            <w:vAlign w:val="bottom"/>
          </w:tcPr>
          <w:p>
            <w:pPr>
              <w:jc w:val="center"/>
              <w:ind w:left="183"/>
              <w:spacing w:after="0"/>
              <w:rPr>
                <w:sz w:val="20"/>
                <w:szCs w:val="20"/>
                <w:color w:val="auto"/>
              </w:rPr>
            </w:pPr>
            <w:r>
              <w:rPr>
                <w:rFonts w:ascii="Arial" w:cs="Arial" w:eastAsia="Arial" w:hAnsi="Arial"/>
                <w:sz w:val="18"/>
                <w:szCs w:val="18"/>
                <w:color w:val="000005"/>
                <w:w w:val="97"/>
              </w:rPr>
              <w:t>Adjusted EBITDA</w:t>
            </w:r>
          </w:p>
        </w:tc>
        <w:tc>
          <w:tcPr>
            <w:tcW w:w="0" w:type="dxa"/>
            <w:vAlign w:val="bottom"/>
          </w:tcPr>
          <w:p>
            <w:pPr>
              <w:spacing w:after="0"/>
              <w:rPr>
                <w:sz w:val="1"/>
                <w:szCs w:val="1"/>
                <w:color w:val="auto"/>
              </w:rPr>
            </w:pPr>
          </w:p>
        </w:tc>
      </w:tr>
      <w:tr>
        <w:trPr>
          <w:trHeight w:val="116"/>
        </w:trPr>
        <w:tc>
          <w:tcPr>
            <w:tcW w:w="1680" w:type="dxa"/>
            <w:vAlign w:val="bottom"/>
          </w:tcPr>
          <w:p>
            <w:pPr>
              <w:jc w:val="center"/>
              <w:ind w:right="163"/>
              <w:spacing w:after="0" w:line="116" w:lineRule="exact"/>
              <w:rPr>
                <w:sz w:val="20"/>
                <w:szCs w:val="20"/>
                <w:color w:val="auto"/>
              </w:rPr>
            </w:pPr>
            <w:r>
              <w:rPr>
                <w:rFonts w:ascii="Arial" w:cs="Arial" w:eastAsia="Arial" w:hAnsi="Arial"/>
                <w:sz w:val="13"/>
                <w:szCs w:val="13"/>
                <w:b w:val="1"/>
                <w:bCs w:val="1"/>
                <w:color w:val="000005"/>
              </w:rPr>
              <w:t>$583.0M</w:t>
            </w:r>
          </w:p>
        </w:tc>
        <w:tc>
          <w:tcPr>
            <w:tcW w:w="2740" w:type="dxa"/>
            <w:vAlign w:val="bottom"/>
          </w:tcPr>
          <w:p>
            <w:pPr>
              <w:jc w:val="right"/>
              <w:ind w:right="963"/>
              <w:spacing w:after="0" w:line="116" w:lineRule="exact"/>
              <w:rPr>
                <w:sz w:val="20"/>
                <w:szCs w:val="20"/>
                <w:color w:val="auto"/>
              </w:rPr>
            </w:pPr>
            <w:r>
              <w:rPr>
                <w:rFonts w:ascii="Arial" w:cs="Arial" w:eastAsia="Arial" w:hAnsi="Arial"/>
                <w:sz w:val="13"/>
                <w:szCs w:val="13"/>
                <w:b w:val="1"/>
                <w:bCs w:val="1"/>
                <w:color w:val="000005"/>
              </w:rPr>
              <w:t>36.5%</w:t>
            </w:r>
          </w:p>
        </w:tc>
        <w:tc>
          <w:tcPr>
            <w:tcW w:w="2260" w:type="dxa"/>
            <w:vAlign w:val="bottom"/>
            <w:vMerge w:val="restart"/>
          </w:tcPr>
          <w:p>
            <w:pPr>
              <w:jc w:val="center"/>
              <w:ind w:left="143"/>
              <w:spacing w:after="0"/>
              <w:rPr>
                <w:sz w:val="20"/>
                <w:szCs w:val="20"/>
                <w:color w:val="auto"/>
              </w:rPr>
            </w:pPr>
            <w:r>
              <w:rPr>
                <w:rFonts w:ascii="Arial" w:cs="Arial" w:eastAsia="Arial" w:hAnsi="Arial"/>
                <w:sz w:val="12"/>
                <w:szCs w:val="12"/>
                <w:color w:val="000005"/>
              </w:rPr>
              <w:t>excluding interest income</w:t>
            </w:r>
          </w:p>
        </w:tc>
        <w:tc>
          <w:tcPr>
            <w:tcW w:w="1800" w:type="dxa"/>
            <w:vAlign w:val="bottom"/>
            <w:vMerge w:val="restart"/>
          </w:tcPr>
          <w:p>
            <w:pPr>
              <w:jc w:val="center"/>
              <w:ind w:left="163"/>
              <w:spacing w:after="0"/>
              <w:rPr>
                <w:sz w:val="20"/>
                <w:szCs w:val="20"/>
                <w:color w:val="auto"/>
              </w:rPr>
            </w:pPr>
            <w:r>
              <w:rPr>
                <w:rFonts w:ascii="Arial" w:cs="Arial" w:eastAsia="Arial" w:hAnsi="Arial"/>
                <w:sz w:val="12"/>
                <w:szCs w:val="12"/>
                <w:color w:val="000005"/>
              </w:rPr>
              <w:t>excluding interest income on</w:t>
            </w:r>
          </w:p>
        </w:tc>
        <w:tc>
          <w:tcPr>
            <w:tcW w:w="0" w:type="dxa"/>
            <w:vAlign w:val="bottom"/>
          </w:tcPr>
          <w:p>
            <w:pPr>
              <w:spacing w:after="0"/>
              <w:rPr>
                <w:sz w:val="1"/>
                <w:szCs w:val="1"/>
                <w:color w:val="auto"/>
              </w:rPr>
            </w:pPr>
          </w:p>
        </w:tc>
      </w:tr>
      <w:tr>
        <w:trPr>
          <w:trHeight w:val="31"/>
        </w:trPr>
        <w:tc>
          <w:tcPr>
            <w:tcW w:w="1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60" w:type="dxa"/>
            <w:vAlign w:val="bottom"/>
            <w:vMerge w:val="continue"/>
          </w:tcPr>
          <w:p>
            <w:pPr>
              <w:spacing w:after="0"/>
              <w:rPr>
                <w:sz w:val="2"/>
                <w:szCs w:val="2"/>
                <w:color w:val="auto"/>
              </w:rPr>
            </w:pPr>
          </w:p>
        </w:tc>
        <w:tc>
          <w:tcPr>
            <w:tcW w:w="1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1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60" w:type="dxa"/>
            <w:vAlign w:val="bottom"/>
          </w:tcPr>
          <w:p>
            <w:pPr>
              <w:jc w:val="center"/>
              <w:ind w:left="123"/>
              <w:spacing w:after="0" w:line="129" w:lineRule="exact"/>
              <w:rPr>
                <w:sz w:val="20"/>
                <w:szCs w:val="20"/>
                <w:color w:val="auto"/>
              </w:rPr>
            </w:pPr>
            <w:r>
              <w:rPr>
                <w:rFonts w:ascii="Arial" w:cs="Arial" w:eastAsia="Arial" w:hAnsi="Arial"/>
                <w:sz w:val="12"/>
                <w:szCs w:val="12"/>
                <w:color w:val="000005"/>
              </w:rPr>
              <w:t>on funds held for clients</w:t>
            </w:r>
          </w:p>
        </w:tc>
        <w:tc>
          <w:tcPr>
            <w:tcW w:w="1800" w:type="dxa"/>
            <w:vAlign w:val="bottom"/>
          </w:tcPr>
          <w:p>
            <w:pPr>
              <w:jc w:val="center"/>
              <w:ind w:left="163"/>
              <w:spacing w:after="0" w:line="129" w:lineRule="exact"/>
              <w:rPr>
                <w:sz w:val="20"/>
                <w:szCs w:val="20"/>
                <w:color w:val="auto"/>
              </w:rPr>
            </w:pPr>
            <w:r>
              <w:rPr>
                <w:rFonts w:ascii="Arial" w:cs="Arial" w:eastAsia="Arial" w:hAnsi="Arial"/>
                <w:sz w:val="12"/>
                <w:szCs w:val="12"/>
                <w:color w:val="000005"/>
              </w:rPr>
              <w:t>funds held for clients margin</w:t>
            </w:r>
          </w:p>
        </w:tc>
        <w:tc>
          <w:tcPr>
            <w:tcW w:w="0" w:type="dxa"/>
            <w:vAlign w:val="bottom"/>
          </w:tcPr>
          <w:p>
            <w:pPr>
              <w:spacing w:after="0"/>
              <w:rPr>
                <w:sz w:val="1"/>
                <w:szCs w:val="1"/>
                <w:color w:val="auto"/>
              </w:rPr>
            </w:pPr>
          </w:p>
        </w:tc>
      </w:tr>
      <w:tr>
        <w:trPr>
          <w:trHeight w:val="501"/>
        </w:trPr>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60" w:type="dxa"/>
            <w:vAlign w:val="bottom"/>
          </w:tcPr>
          <w:p>
            <w:pPr>
              <w:jc w:val="center"/>
              <w:ind w:left="123"/>
              <w:spacing w:after="0"/>
              <w:rPr>
                <w:sz w:val="20"/>
                <w:szCs w:val="20"/>
                <w:color w:val="auto"/>
              </w:rPr>
            </w:pPr>
            <w:r>
              <w:rPr>
                <w:rFonts w:ascii="Arial" w:cs="Arial" w:eastAsia="Arial" w:hAnsi="Arial"/>
                <w:sz w:val="36"/>
                <w:szCs w:val="36"/>
                <w:b w:val="1"/>
                <w:bCs w:val="1"/>
                <w:color w:val="000005"/>
              </w:rPr>
              <w:t>$459.6M</w:t>
            </w:r>
          </w:p>
        </w:tc>
        <w:tc>
          <w:tcPr>
            <w:tcW w:w="1800" w:type="dxa"/>
            <w:vAlign w:val="bottom"/>
          </w:tcPr>
          <w:p>
            <w:pPr>
              <w:jc w:val="center"/>
              <w:ind w:left="163"/>
              <w:spacing w:after="0"/>
              <w:rPr>
                <w:sz w:val="20"/>
                <w:szCs w:val="20"/>
                <w:color w:val="auto"/>
              </w:rPr>
            </w:pPr>
            <w:r>
              <w:rPr>
                <w:rFonts w:ascii="Arial" w:cs="Arial" w:eastAsia="Arial" w:hAnsi="Arial"/>
                <w:sz w:val="36"/>
                <w:szCs w:val="36"/>
                <w:b w:val="1"/>
                <w:bCs w:val="1"/>
                <w:color w:val="000005"/>
                <w:w w:val="84"/>
              </w:rPr>
              <w:t>31.2%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720" w:type="dxa"/>
            <w:vAlign w:val="bottom"/>
          </w:tcPr>
          <w:p>
            <w:pPr>
              <w:jc w:val="center"/>
              <w:ind w:right="190"/>
              <w:spacing w:after="0"/>
              <w:rPr>
                <w:sz w:val="20"/>
                <w:szCs w:val="20"/>
                <w:color w:val="auto"/>
              </w:rPr>
            </w:pPr>
            <w:r>
              <w:rPr>
                <w:rFonts w:ascii="Arial" w:cs="Arial" w:eastAsia="Arial" w:hAnsi="Arial"/>
                <w:sz w:val="18"/>
                <w:szCs w:val="18"/>
                <w:color w:val="000005"/>
                <w:w w:val="99"/>
              </w:rPr>
              <w:t>Free cash flow</w:t>
            </w:r>
          </w:p>
        </w:tc>
        <w:tc>
          <w:tcPr>
            <w:tcW w:w="2680" w:type="dxa"/>
            <w:vAlign w:val="bottom"/>
          </w:tcPr>
          <w:p>
            <w:pPr>
              <w:jc w:val="center"/>
              <w:ind w:right="190"/>
              <w:spacing w:after="0"/>
              <w:rPr>
                <w:sz w:val="20"/>
                <w:szCs w:val="20"/>
                <w:color w:val="auto"/>
              </w:rPr>
            </w:pPr>
            <w:r>
              <w:rPr>
                <w:rFonts w:ascii="Arial" w:cs="Arial" w:eastAsia="Arial" w:hAnsi="Arial"/>
                <w:sz w:val="18"/>
                <w:szCs w:val="18"/>
                <w:color w:val="000005"/>
              </w:rPr>
              <w:t>Free cash flow margin</w:t>
            </w:r>
          </w:p>
        </w:tc>
        <w:tc>
          <w:tcPr>
            <w:tcW w:w="2240" w:type="dxa"/>
            <w:vAlign w:val="bottom"/>
          </w:tcPr>
          <w:p>
            <w:pPr>
              <w:jc w:val="center"/>
              <w:ind w:left="203"/>
              <w:spacing w:after="0"/>
              <w:rPr>
                <w:sz w:val="20"/>
                <w:szCs w:val="20"/>
                <w:color w:val="auto"/>
              </w:rPr>
            </w:pPr>
            <w:r>
              <w:rPr>
                <w:rFonts w:ascii="Arial" w:cs="Arial" w:eastAsia="Arial" w:hAnsi="Arial"/>
                <w:sz w:val="18"/>
                <w:szCs w:val="18"/>
                <w:color w:val="000005"/>
              </w:rPr>
              <w:t>Free cash flow</w:t>
            </w:r>
          </w:p>
        </w:tc>
        <w:tc>
          <w:tcPr>
            <w:tcW w:w="1840" w:type="dxa"/>
            <w:vAlign w:val="bottom"/>
          </w:tcPr>
          <w:p>
            <w:pPr>
              <w:jc w:val="center"/>
              <w:ind w:left="223"/>
              <w:spacing w:after="0"/>
              <w:rPr>
                <w:sz w:val="20"/>
                <w:szCs w:val="20"/>
                <w:color w:val="auto"/>
              </w:rPr>
            </w:pPr>
            <w:r>
              <w:rPr>
                <w:rFonts w:ascii="Arial" w:cs="Arial" w:eastAsia="Arial" w:hAnsi="Arial"/>
                <w:sz w:val="18"/>
                <w:szCs w:val="18"/>
                <w:color w:val="000005"/>
                <w:w w:val="99"/>
              </w:rPr>
              <w:t>Free cash flow</w:t>
            </w:r>
          </w:p>
        </w:tc>
        <w:tc>
          <w:tcPr>
            <w:tcW w:w="0" w:type="dxa"/>
            <w:vAlign w:val="bottom"/>
          </w:tcPr>
          <w:p>
            <w:pPr>
              <w:spacing w:after="0"/>
              <w:rPr>
                <w:sz w:val="1"/>
                <w:szCs w:val="1"/>
                <w:color w:val="auto"/>
              </w:rPr>
            </w:pPr>
          </w:p>
        </w:tc>
      </w:tr>
      <w:tr>
        <w:trPr>
          <w:trHeight w:val="160"/>
        </w:trPr>
        <w:tc>
          <w:tcPr>
            <w:tcW w:w="1720" w:type="dxa"/>
            <w:vAlign w:val="bottom"/>
          </w:tcPr>
          <w:p>
            <w:pPr>
              <w:jc w:val="center"/>
              <w:ind w:right="190"/>
              <w:spacing w:after="0" w:line="160" w:lineRule="exact"/>
              <w:rPr>
                <w:sz w:val="20"/>
                <w:szCs w:val="20"/>
                <w:color w:val="auto"/>
              </w:rPr>
            </w:pPr>
            <w:r>
              <w:rPr>
                <w:rFonts w:ascii="Arial" w:cs="Arial" w:eastAsia="Arial" w:hAnsi="Arial"/>
                <w:sz w:val="18"/>
                <w:szCs w:val="18"/>
                <w:b w:val="1"/>
                <w:bCs w:val="1"/>
                <w:color w:val="000005"/>
              </w:rPr>
              <w:t>$342.8M</w:t>
            </w:r>
          </w:p>
        </w:tc>
        <w:tc>
          <w:tcPr>
            <w:tcW w:w="2680" w:type="dxa"/>
            <w:vAlign w:val="bottom"/>
          </w:tcPr>
          <w:p>
            <w:pPr>
              <w:jc w:val="right"/>
              <w:ind w:right="950"/>
              <w:spacing w:after="0" w:line="160" w:lineRule="exact"/>
              <w:rPr>
                <w:sz w:val="20"/>
                <w:szCs w:val="20"/>
                <w:color w:val="auto"/>
              </w:rPr>
            </w:pPr>
            <w:r>
              <w:rPr>
                <w:rFonts w:ascii="Arial" w:cs="Arial" w:eastAsia="Arial" w:hAnsi="Arial"/>
                <w:sz w:val="18"/>
                <w:szCs w:val="18"/>
                <w:b w:val="1"/>
                <w:bCs w:val="1"/>
                <w:color w:val="000005"/>
              </w:rPr>
              <w:t>21.5%</w:t>
            </w:r>
          </w:p>
        </w:tc>
        <w:tc>
          <w:tcPr>
            <w:tcW w:w="2240" w:type="dxa"/>
            <w:vAlign w:val="bottom"/>
            <w:vMerge w:val="restart"/>
          </w:tcPr>
          <w:p>
            <w:pPr>
              <w:jc w:val="center"/>
              <w:ind w:left="203"/>
              <w:spacing w:after="0"/>
              <w:rPr>
                <w:sz w:val="20"/>
                <w:szCs w:val="20"/>
                <w:color w:val="auto"/>
              </w:rPr>
            </w:pPr>
            <w:r>
              <w:rPr>
                <w:rFonts w:ascii="Arial" w:cs="Arial" w:eastAsia="Arial" w:hAnsi="Arial"/>
                <w:sz w:val="12"/>
                <w:szCs w:val="12"/>
                <w:color w:val="000005"/>
              </w:rPr>
              <w:t>excluding interest income</w:t>
            </w:r>
          </w:p>
        </w:tc>
        <w:tc>
          <w:tcPr>
            <w:tcW w:w="1840" w:type="dxa"/>
            <w:vAlign w:val="bottom"/>
            <w:vMerge w:val="restart"/>
          </w:tcPr>
          <w:p>
            <w:pPr>
              <w:jc w:val="center"/>
              <w:ind w:left="203"/>
              <w:spacing w:after="0"/>
              <w:rPr>
                <w:sz w:val="20"/>
                <w:szCs w:val="20"/>
                <w:color w:val="auto"/>
              </w:rPr>
            </w:pPr>
            <w:r>
              <w:rPr>
                <w:rFonts w:ascii="Arial" w:cs="Arial" w:eastAsia="Arial" w:hAnsi="Arial"/>
                <w:sz w:val="12"/>
                <w:szCs w:val="12"/>
                <w:color w:val="000005"/>
              </w:rPr>
              <w:t>excluding interest income on</w:t>
            </w:r>
          </w:p>
        </w:tc>
        <w:tc>
          <w:tcPr>
            <w:tcW w:w="0" w:type="dxa"/>
            <w:vAlign w:val="bottom"/>
          </w:tcPr>
          <w:p>
            <w:pPr>
              <w:spacing w:after="0"/>
              <w:rPr>
                <w:sz w:val="1"/>
                <w:szCs w:val="1"/>
                <w:color w:val="auto"/>
              </w:rPr>
            </w:pPr>
          </w:p>
        </w:tc>
      </w:tr>
      <w:tr>
        <w:trPr>
          <w:trHeight w:val="30"/>
        </w:trPr>
        <w:tc>
          <w:tcPr>
            <w:tcW w:w="1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40" w:type="dxa"/>
            <w:vAlign w:val="bottom"/>
            <w:vMerge w:val="continue"/>
          </w:tcPr>
          <w:p>
            <w:pPr>
              <w:spacing w:after="0"/>
              <w:rPr>
                <w:sz w:val="2"/>
                <w:szCs w:val="2"/>
                <w:color w:val="auto"/>
              </w:rPr>
            </w:pP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7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240" w:type="dxa"/>
            <w:vAlign w:val="bottom"/>
          </w:tcPr>
          <w:p>
            <w:pPr>
              <w:jc w:val="center"/>
              <w:ind w:left="183"/>
              <w:spacing w:after="0" w:line="130" w:lineRule="exact"/>
              <w:rPr>
                <w:sz w:val="20"/>
                <w:szCs w:val="20"/>
                <w:color w:val="auto"/>
              </w:rPr>
            </w:pPr>
            <w:r>
              <w:rPr>
                <w:rFonts w:ascii="Arial" w:cs="Arial" w:eastAsia="Arial" w:hAnsi="Arial"/>
                <w:sz w:val="12"/>
                <w:szCs w:val="12"/>
                <w:color w:val="000005"/>
              </w:rPr>
              <w:t>on funds held for clients</w:t>
            </w:r>
          </w:p>
        </w:tc>
        <w:tc>
          <w:tcPr>
            <w:tcW w:w="1840" w:type="dxa"/>
            <w:vAlign w:val="bottom"/>
          </w:tcPr>
          <w:p>
            <w:pPr>
              <w:jc w:val="center"/>
              <w:ind w:left="203"/>
              <w:spacing w:after="0" w:line="130" w:lineRule="exact"/>
              <w:rPr>
                <w:sz w:val="20"/>
                <w:szCs w:val="20"/>
                <w:color w:val="auto"/>
              </w:rPr>
            </w:pPr>
            <w:r>
              <w:rPr>
                <w:rFonts w:ascii="Arial" w:cs="Arial" w:eastAsia="Arial" w:hAnsi="Arial"/>
                <w:sz w:val="12"/>
                <w:szCs w:val="12"/>
                <w:color w:val="000005"/>
              </w:rPr>
              <w:t>funds held for clients margin</w:t>
            </w:r>
          </w:p>
        </w:tc>
        <w:tc>
          <w:tcPr>
            <w:tcW w:w="0" w:type="dxa"/>
            <w:vAlign w:val="bottom"/>
          </w:tcPr>
          <w:p>
            <w:pPr>
              <w:spacing w:after="0"/>
              <w:rPr>
                <w:sz w:val="1"/>
                <w:szCs w:val="1"/>
                <w:color w:val="auto"/>
              </w:rPr>
            </w:pPr>
          </w:p>
        </w:tc>
      </w:tr>
      <w:tr>
        <w:trPr>
          <w:trHeight w:val="501"/>
        </w:trPr>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40" w:type="dxa"/>
            <w:vAlign w:val="bottom"/>
          </w:tcPr>
          <w:p>
            <w:pPr>
              <w:jc w:val="center"/>
              <w:ind w:left="203"/>
              <w:spacing w:after="0"/>
              <w:rPr>
                <w:sz w:val="20"/>
                <w:szCs w:val="20"/>
                <w:color w:val="auto"/>
              </w:rPr>
            </w:pPr>
            <w:r>
              <w:rPr>
                <w:rFonts w:ascii="Arial" w:cs="Arial" w:eastAsia="Arial" w:hAnsi="Arial"/>
                <w:sz w:val="36"/>
                <w:szCs w:val="36"/>
                <w:b w:val="1"/>
                <w:bCs w:val="1"/>
                <w:color w:val="000005"/>
                <w:w w:val="98"/>
              </w:rPr>
              <w:t>$219.3M</w:t>
            </w:r>
          </w:p>
        </w:tc>
        <w:tc>
          <w:tcPr>
            <w:tcW w:w="1840" w:type="dxa"/>
            <w:vAlign w:val="bottom"/>
          </w:tcPr>
          <w:p>
            <w:pPr>
              <w:jc w:val="center"/>
              <w:ind w:left="223"/>
              <w:spacing w:after="0"/>
              <w:rPr>
                <w:sz w:val="20"/>
                <w:szCs w:val="20"/>
                <w:color w:val="auto"/>
              </w:rPr>
            </w:pPr>
            <w:r>
              <w:rPr>
                <w:rFonts w:ascii="Arial" w:cs="Arial" w:eastAsia="Arial" w:hAnsi="Arial"/>
                <w:sz w:val="36"/>
                <w:szCs w:val="36"/>
                <w:b w:val="1"/>
                <w:bCs w:val="1"/>
                <w:color w:val="000005"/>
                <w:w w:val="90"/>
              </w:rPr>
              <w:t>14.9%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1860" w:right="60"/>
        <w:spacing w:after="0" w:line="281" w:lineRule="auto"/>
        <w:rPr>
          <w:sz w:val="20"/>
          <w:szCs w:val="20"/>
          <w:color w:val="auto"/>
        </w:rPr>
      </w:pPr>
      <w:r>
        <w:rPr>
          <w:rFonts w:ascii="Arial" w:cs="Arial" w:eastAsia="Arial" w:hAnsi="Arial"/>
          <w:sz w:val="24"/>
          <w:szCs w:val="24"/>
          <w:color w:val="000005"/>
        </w:rPr>
        <w:t>Paylocity recognized by Gartner Peer Insights Voice of the Customer for Cloud HCM Suites for 1,000+ Employee Enterprises</w:t>
      </w:r>
    </w:p>
    <w:p>
      <w:pPr>
        <w:spacing w:after="0" w:line="295" w:lineRule="exact"/>
        <w:rPr>
          <w:sz w:val="20"/>
          <w:szCs w:val="20"/>
          <w:color w:val="auto"/>
        </w:rPr>
      </w:pPr>
    </w:p>
    <w:p>
      <w:pPr>
        <w:jc w:val="center"/>
        <w:ind w:right="-698"/>
        <w:spacing w:after="0"/>
        <w:rPr>
          <w:sz w:val="20"/>
          <w:szCs w:val="20"/>
          <w:color w:val="auto"/>
        </w:rPr>
      </w:pPr>
      <w:r>
        <w:rPr>
          <w:rFonts w:ascii="Arial" w:cs="Arial" w:eastAsia="Arial" w:hAnsi="Arial"/>
          <w:sz w:val="78"/>
          <w:szCs w:val="78"/>
          <w:b w:val="1"/>
          <w:bCs w:val="1"/>
          <w:color w:val="FFFFFF"/>
        </w:rPr>
        <w:t>41,650</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35"/>
          <w:szCs w:val="35"/>
          <w:b w:val="1"/>
          <w:bCs w:val="1"/>
          <w:color w:val="FFFFFF"/>
        </w:rPr>
        <w:t>Clients</w:t>
      </w:r>
    </w:p>
    <w:p>
      <w:pPr>
        <w:spacing w:after="0" w:line="272" w:lineRule="exact"/>
        <w:rPr>
          <w:sz w:val="20"/>
          <w:szCs w:val="20"/>
          <w:color w:val="auto"/>
        </w:rPr>
      </w:pPr>
    </w:p>
    <w:p>
      <w:pPr>
        <w:ind w:left="2340"/>
        <w:spacing w:after="0"/>
        <w:tabs>
          <w:tab w:leader="none" w:pos="7640" w:val="left"/>
        </w:tabs>
        <w:rPr>
          <w:sz w:val="20"/>
          <w:szCs w:val="20"/>
          <w:color w:val="auto"/>
        </w:rPr>
      </w:pPr>
      <w:r>
        <w:rPr>
          <w:rFonts w:ascii="Arial" w:cs="Arial" w:eastAsia="Arial" w:hAnsi="Arial"/>
          <w:sz w:val="50"/>
          <w:szCs w:val="50"/>
          <w:b w:val="1"/>
          <w:bCs w:val="1"/>
          <w:color w:val="000005"/>
        </w:rPr>
        <w:t>6.5M+</w:t>
      </w:r>
      <w:r>
        <w:rPr>
          <w:sz w:val="20"/>
          <w:szCs w:val="20"/>
          <w:color w:val="auto"/>
        </w:rPr>
        <w:tab/>
      </w:r>
      <w:r>
        <w:rPr>
          <w:rFonts w:ascii="Arial" w:cs="Arial" w:eastAsia="Arial" w:hAnsi="Arial"/>
          <w:sz w:val="43"/>
          <w:szCs w:val="43"/>
          <w:b w:val="1"/>
          <w:bCs w:val="1"/>
          <w:color w:val="000005"/>
        </w:rPr>
        <w:t>92%+</w:t>
      </w:r>
    </w:p>
    <w:p>
      <w:pPr>
        <w:spacing w:after="0" w:line="51" w:lineRule="exact"/>
        <w:rPr>
          <w:sz w:val="20"/>
          <w:szCs w:val="20"/>
          <w:color w:val="auto"/>
        </w:rPr>
      </w:pPr>
    </w:p>
    <w:tbl>
      <w:tblPr>
        <w:tblLayout w:type="fixed"/>
        <w:tblInd w:w="2340" w:type="dxa"/>
        <w:tblCellMar>
          <w:top w:w="0" w:type="dxa"/>
          <w:left w:w="0" w:type="dxa"/>
          <w:bottom w:w="0" w:type="dxa"/>
          <w:right w:w="0" w:type="dxa"/>
        </w:tblCellMar>
      </w:tblPr>
      <w:tr>
        <w:trPr>
          <w:trHeight w:val="322"/>
        </w:trPr>
        <w:tc>
          <w:tcPr>
            <w:tcW w:w="3400" w:type="dxa"/>
            <w:vAlign w:val="bottom"/>
          </w:tcPr>
          <w:p>
            <w:pPr>
              <w:spacing w:after="0"/>
              <w:rPr>
                <w:sz w:val="20"/>
                <w:szCs w:val="20"/>
                <w:color w:val="auto"/>
              </w:rPr>
            </w:pPr>
            <w:r>
              <w:rPr>
                <w:rFonts w:ascii="Arial" w:cs="Arial" w:eastAsia="Arial" w:hAnsi="Arial"/>
                <w:sz w:val="28"/>
                <w:szCs w:val="28"/>
                <w:color w:val="000005"/>
              </w:rPr>
              <w:t>Employees</w:t>
            </w:r>
          </w:p>
        </w:tc>
        <w:tc>
          <w:tcPr>
            <w:tcW w:w="3040" w:type="dxa"/>
            <w:vAlign w:val="bottom"/>
          </w:tcPr>
          <w:p>
            <w:pPr>
              <w:ind w:left="1920"/>
              <w:spacing w:after="0"/>
              <w:rPr>
                <w:sz w:val="20"/>
                <w:szCs w:val="20"/>
                <w:color w:val="auto"/>
              </w:rPr>
            </w:pPr>
            <w:r>
              <w:rPr>
                <w:rFonts w:ascii="Arial" w:cs="Arial" w:eastAsia="Arial" w:hAnsi="Arial"/>
                <w:sz w:val="28"/>
                <w:szCs w:val="28"/>
                <w:color w:val="000005"/>
                <w:w w:val="98"/>
              </w:rPr>
              <w:t>Revenue</w:t>
            </w:r>
          </w:p>
        </w:tc>
      </w:tr>
      <w:tr>
        <w:trPr>
          <w:trHeight w:val="413"/>
        </w:trPr>
        <w:tc>
          <w:tcPr>
            <w:tcW w:w="3400" w:type="dxa"/>
            <w:vAlign w:val="bottom"/>
          </w:tcPr>
          <w:p>
            <w:pPr>
              <w:spacing w:after="0"/>
              <w:rPr>
                <w:sz w:val="20"/>
                <w:szCs w:val="20"/>
                <w:color w:val="auto"/>
              </w:rPr>
            </w:pPr>
            <w:r>
              <w:rPr>
                <w:rFonts w:ascii="Arial" w:cs="Arial" w:eastAsia="Arial" w:hAnsi="Arial"/>
                <w:sz w:val="28"/>
                <w:szCs w:val="28"/>
                <w:color w:val="000005"/>
              </w:rPr>
              <w:t>on platform</w:t>
            </w:r>
          </w:p>
        </w:tc>
        <w:tc>
          <w:tcPr>
            <w:tcW w:w="3040" w:type="dxa"/>
            <w:vAlign w:val="bottom"/>
          </w:tcPr>
          <w:p>
            <w:pPr>
              <w:ind w:left="1920"/>
              <w:spacing w:after="0"/>
              <w:rPr>
                <w:sz w:val="20"/>
                <w:szCs w:val="20"/>
                <w:color w:val="auto"/>
              </w:rPr>
            </w:pPr>
            <w:r>
              <w:rPr>
                <w:rFonts w:ascii="Arial" w:cs="Arial" w:eastAsia="Arial" w:hAnsi="Arial"/>
                <w:sz w:val="28"/>
                <w:szCs w:val="28"/>
                <w:color w:val="000005"/>
              </w:rPr>
              <w:t>retention</w:t>
            </w:r>
          </w:p>
        </w:tc>
      </w:tr>
    </w:tbl>
    <w:p>
      <w:pPr>
        <w:spacing w:after="0" w:line="356" w:lineRule="exact"/>
        <w:rPr>
          <w:sz w:val="20"/>
          <w:szCs w:val="20"/>
          <w:color w:val="auto"/>
        </w:rPr>
      </w:pPr>
    </w:p>
    <w:p>
      <w:pPr>
        <w:ind w:left="4020"/>
        <w:spacing w:after="0"/>
        <w:rPr>
          <w:sz w:val="20"/>
          <w:szCs w:val="20"/>
          <w:color w:val="auto"/>
        </w:rPr>
      </w:pPr>
      <w:r>
        <w:rPr>
          <w:rFonts w:ascii="Arial" w:cs="Arial" w:eastAsia="Arial" w:hAnsi="Arial"/>
          <w:sz w:val="78"/>
          <w:szCs w:val="78"/>
          <w:b w:val="1"/>
          <w:bCs w:val="1"/>
          <w:color w:val="FFFFFF"/>
        </w:rPr>
        <w:t>6,700</w:t>
      </w:r>
    </w:p>
    <w:p>
      <w:pPr>
        <w:spacing w:after="0" w:line="124" w:lineRule="exact"/>
        <w:rPr>
          <w:sz w:val="20"/>
          <w:szCs w:val="20"/>
          <w:color w:val="auto"/>
        </w:rPr>
      </w:pPr>
    </w:p>
    <w:p>
      <w:pPr>
        <w:ind w:left="4140"/>
        <w:spacing w:after="0"/>
        <w:rPr>
          <w:sz w:val="20"/>
          <w:szCs w:val="20"/>
          <w:color w:val="auto"/>
        </w:rPr>
      </w:pPr>
      <w:r>
        <w:rPr>
          <w:rFonts w:ascii="Arial" w:cs="Arial" w:eastAsia="Arial" w:hAnsi="Arial"/>
          <w:sz w:val="35"/>
          <w:szCs w:val="35"/>
          <w:b w:val="1"/>
          <w:bCs w:val="1"/>
          <w:color w:val="FFFFFF"/>
        </w:rPr>
        <w:t>Employees</w:t>
      </w:r>
    </w:p>
    <w:p>
      <w:pPr>
        <w:spacing w:after="0" w:line="200" w:lineRule="exact"/>
        <w:rPr>
          <w:sz w:val="20"/>
          <w:szCs w:val="20"/>
          <w:color w:val="auto"/>
        </w:rPr>
      </w:pPr>
    </w:p>
    <w:p>
      <w:pPr>
        <w:spacing w:after="0" w:line="366" w:lineRule="exact"/>
        <w:rPr>
          <w:sz w:val="20"/>
          <w:szCs w:val="20"/>
          <w:color w:val="auto"/>
        </w:rPr>
      </w:pPr>
    </w:p>
    <w:tbl>
      <w:tblPr>
        <w:tblLayout w:type="fixed"/>
        <w:tblInd w:w="1600" w:type="dxa"/>
        <w:tblCellMar>
          <w:top w:w="0" w:type="dxa"/>
          <w:left w:w="0" w:type="dxa"/>
          <w:bottom w:w="0" w:type="dxa"/>
          <w:right w:w="0" w:type="dxa"/>
        </w:tblCellMar>
      </w:tblPr>
      <w:tr>
        <w:trPr>
          <w:trHeight w:val="322"/>
        </w:trPr>
        <w:tc>
          <w:tcPr>
            <w:tcW w:w="4060" w:type="dxa"/>
            <w:vAlign w:val="bottom"/>
          </w:tcPr>
          <w:p>
            <w:pPr>
              <w:spacing w:after="0"/>
              <w:rPr>
                <w:sz w:val="20"/>
                <w:szCs w:val="20"/>
                <w:color w:val="auto"/>
              </w:rPr>
            </w:pPr>
            <w:r>
              <w:rPr>
                <w:rFonts w:ascii="Arial" w:cs="Arial" w:eastAsia="Arial" w:hAnsi="Arial"/>
                <w:sz w:val="28"/>
                <w:szCs w:val="28"/>
                <w:b w:val="1"/>
                <w:bCs w:val="1"/>
                <w:color w:val="000005"/>
              </w:rPr>
              <w:t>Headquarters</w:t>
            </w:r>
          </w:p>
        </w:tc>
        <w:tc>
          <w:tcPr>
            <w:tcW w:w="2940" w:type="dxa"/>
            <w:vAlign w:val="bottom"/>
          </w:tcPr>
          <w:p>
            <w:pPr>
              <w:ind w:left="1520"/>
              <w:spacing w:after="0"/>
              <w:rPr>
                <w:sz w:val="20"/>
                <w:szCs w:val="20"/>
                <w:color w:val="auto"/>
              </w:rPr>
            </w:pPr>
            <w:r>
              <w:rPr>
                <w:rFonts w:ascii="Arial" w:cs="Arial" w:eastAsia="Arial" w:hAnsi="Arial"/>
                <w:sz w:val="28"/>
                <w:szCs w:val="28"/>
                <w:b w:val="1"/>
                <w:bCs w:val="1"/>
                <w:color w:val="000005"/>
                <w:w w:val="92"/>
              </w:rPr>
              <w:t>Founded in</w:t>
            </w:r>
          </w:p>
        </w:tc>
      </w:tr>
      <w:tr>
        <w:trPr>
          <w:trHeight w:val="479"/>
        </w:trPr>
        <w:tc>
          <w:tcPr>
            <w:tcW w:w="4060" w:type="dxa"/>
            <w:vAlign w:val="bottom"/>
          </w:tcPr>
          <w:p>
            <w:pPr>
              <w:spacing w:after="0"/>
              <w:rPr>
                <w:sz w:val="20"/>
                <w:szCs w:val="20"/>
                <w:color w:val="auto"/>
              </w:rPr>
            </w:pPr>
            <w:r>
              <w:rPr>
                <w:rFonts w:ascii="Arial" w:cs="Arial" w:eastAsia="Arial" w:hAnsi="Arial"/>
                <w:sz w:val="36"/>
                <w:szCs w:val="36"/>
                <w:color w:val="000005"/>
              </w:rPr>
              <w:t>Schaumburg, IL</w:t>
            </w:r>
          </w:p>
        </w:tc>
        <w:tc>
          <w:tcPr>
            <w:tcW w:w="2940" w:type="dxa"/>
            <w:vAlign w:val="bottom"/>
          </w:tcPr>
          <w:p>
            <w:pPr>
              <w:ind w:left="1520"/>
              <w:spacing w:after="0"/>
              <w:rPr>
                <w:sz w:val="20"/>
                <w:szCs w:val="20"/>
                <w:color w:val="auto"/>
              </w:rPr>
            </w:pPr>
            <w:r>
              <w:rPr>
                <w:rFonts w:ascii="Arial" w:cs="Arial" w:eastAsia="Arial" w:hAnsi="Arial"/>
                <w:sz w:val="36"/>
                <w:szCs w:val="36"/>
                <w:color w:val="000005"/>
              </w:rPr>
              <w:t>1997</w:t>
            </w:r>
          </w:p>
        </w:tc>
      </w:tr>
    </w:tbl>
    <w:p>
      <w:pPr>
        <w:sectPr>
          <w:pgSz w:w="11880" w:h="15481" w:orient="portrait"/>
          <w:cols w:equalWidth="0" w:num="1">
            <w:col w:w="9341"/>
          </w:cols>
          <w:pgMar w:left="1100" w:top="704" w:right="1440" w:bottom="842" w:gutter="0" w:footer="0" w:header="0"/>
        </w:sectPr>
      </w:pPr>
    </w:p>
    <w:bookmarkStart w:id="3" w:name="page4"/>
    <w:bookmarkEnd w:id="3"/>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Innovation</w:t>
      </w:r>
    </w:p>
    <w:p>
      <w:pPr>
        <w:spacing w:after="0" w:line="235" w:lineRule="exact"/>
        <w:rPr>
          <w:sz w:val="20"/>
          <w:szCs w:val="20"/>
          <w:color w:val="auto"/>
        </w:rPr>
      </w:pPr>
    </w:p>
    <w:p>
      <w:pPr>
        <w:ind w:left="40" w:right="4260"/>
        <w:spacing w:after="0" w:line="320" w:lineRule="auto"/>
        <w:rPr>
          <w:sz w:val="20"/>
          <w:szCs w:val="20"/>
          <w:color w:val="auto"/>
        </w:rPr>
      </w:pPr>
      <w:r>
        <w:rPr>
          <w:rFonts w:ascii="Arial" w:cs="Arial" w:eastAsia="Arial" w:hAnsi="Arial"/>
          <w:sz w:val="44"/>
          <w:szCs w:val="44"/>
          <w:b w:val="1"/>
          <w:bCs w:val="1"/>
          <w:color w:val="000005"/>
        </w:rPr>
        <w:t>A Modern Platform that Evolves with Your Business</w:t>
      </w:r>
    </w:p>
    <w:p>
      <w:pPr>
        <w:ind w:left="40" w:right="80"/>
        <w:spacing w:after="0" w:line="254" w:lineRule="auto"/>
        <w:rPr>
          <w:sz w:val="20"/>
          <w:szCs w:val="20"/>
          <w:color w:val="auto"/>
        </w:rPr>
      </w:pPr>
      <w:r>
        <w:rPr>
          <w:rFonts w:ascii="Arial" w:cs="Arial" w:eastAsia="Arial" w:hAnsi="Arial"/>
          <w:sz w:val="22"/>
          <w:szCs w:val="22"/>
          <w:color w:val="000005"/>
        </w:rPr>
        <w:t>We deliver first-to-market innovations that solve complex challenges and drive business outcomes for our more than 41,650 clients. Building on our award-winning HCM suite, we’re unifying work across HR and finance so organizations can stop piecing things together and start moving forward faster. With a focus on the future, our solutions push the boundaries of traditional HR and finance technology to streamline processes, boost efficiency, simplify spend management, and deliver seamless, intuitive experiences to make leaders, administrators, and employees more productive.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000005"/>
        </w:rPr>
        <w:t>Single Platform with Flexible Data</w:t>
      </w:r>
    </w:p>
    <w:p>
      <w:pPr>
        <w:spacing w:after="0" w:line="21" w:lineRule="exact"/>
        <w:rPr>
          <w:sz w:val="20"/>
          <w:szCs w:val="20"/>
          <w:color w:val="auto"/>
        </w:rPr>
      </w:pPr>
    </w:p>
    <w:p>
      <w:pPr>
        <w:ind w:left="40"/>
        <w:spacing w:after="0" w:line="256" w:lineRule="auto"/>
        <w:rPr>
          <w:sz w:val="20"/>
          <w:szCs w:val="20"/>
          <w:color w:val="auto"/>
        </w:rPr>
      </w:pPr>
      <w:r>
        <w:rPr>
          <w:rFonts w:ascii="Arial" w:cs="Arial" w:eastAsia="Arial" w:hAnsi="Arial"/>
          <w:sz w:val="22"/>
          <w:szCs w:val="22"/>
          <w:color w:val="000005"/>
        </w:rPr>
        <w:t>The foundation of our platform is a single employee system of record, with end-to-end HR and finance capabilities that ensure efficiency and compliance across the employee lifecycle. We also make it easy to connect Paylocity with other business systems through hundreds of integrations with benefits, 401(k), and other providers with open APIs. This comprehensive platform serves as a single pane of glass, empowering HR and finance leaders to consolidate data and gain a holistic view of their business.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000005"/>
        </w:rPr>
        <w:t>Insights, Recommendations, and AI</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Standard reporting for compliance meets</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the needs of some companies, but we take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it a step further. AI is woven intentionally</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throughout our platform to deliver value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every day with intelligent automation,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tailored insights, and embedded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experiences that provide real-time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guidance to administrators and employees.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000005"/>
        </w:rPr>
        <w:t>Employee Experience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When employees feel engaged, they’re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more likely to stay — and to do their best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work. Paylocity offers tools like native video,</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collaboration, recognition and rewards,</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chat, and automated surveys that enable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employers to engage with and retain their</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top talent.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000005"/>
        </w:rPr>
        <w:t>Unmatched Client Service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We build deep, long-lasting partnerships</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with clients. From initial implementation to</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ongoing service, we have a track record of</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going beyond the transactional to move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clients toward their strategic goals. We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consider clients our “co-creators,” regularly</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soliciting and prioritizing their feedback in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22"/>
          <w:szCs w:val="22"/>
          <w:color w:val="000005"/>
        </w:rPr>
        <w:t>our product and service roadmaps.</w:t>
      </w:r>
    </w:p>
    <w:p>
      <w:pPr>
        <w:spacing w:after="0" w:line="20" w:lineRule="exact"/>
        <w:rPr>
          <w:sz w:val="20"/>
          <w:szCs w:val="20"/>
          <w:color w:val="auto"/>
        </w:rPr>
      </w:pPr>
    </w:p>
    <w:p>
      <w:pPr>
        <w:sectPr>
          <w:pgSz w:w="11880" w:h="15481" w:orient="portrait"/>
          <w:cols w:equalWidth="0" w:num="1">
            <w:col w:w="10200"/>
          </w:cols>
          <w:pgMar w:left="680" w:top="959" w:right="1001" w:bottom="1440" w:gutter="0" w:footer="0" w:header="0"/>
        </w:sectPr>
      </w:pPr>
    </w:p>
    <w:bookmarkStart w:id="4" w:name="page5"/>
    <w:bookmarkEnd w:id="4"/>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Product</w:t>
      </w:r>
    </w:p>
    <w:p>
      <w:pPr>
        <w:spacing w:after="0" w:line="235" w:lineRule="exact"/>
        <w:rPr>
          <w:sz w:val="20"/>
          <w:szCs w:val="20"/>
          <w:color w:val="auto"/>
        </w:rPr>
      </w:pPr>
    </w:p>
    <w:p>
      <w:pPr>
        <w:ind w:left="40" w:right="1520"/>
        <w:spacing w:after="0" w:line="311" w:lineRule="auto"/>
        <w:rPr>
          <w:sz w:val="20"/>
          <w:szCs w:val="20"/>
          <w:color w:val="auto"/>
        </w:rPr>
      </w:pPr>
      <w:r>
        <w:rPr>
          <w:rFonts w:ascii="Arial" w:cs="Arial" w:eastAsia="Arial" w:hAnsi="Arial"/>
          <w:sz w:val="48"/>
          <w:szCs w:val="48"/>
          <w:b w:val="1"/>
          <w:bCs w:val="1"/>
          <w:color w:val="000005"/>
        </w:rPr>
        <w:t>The Most Complete Platform for the Modern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800" w:type="dxa"/>
        <w:tblCellMar>
          <w:top w:w="0" w:type="dxa"/>
          <w:left w:w="0" w:type="dxa"/>
          <w:bottom w:w="0" w:type="dxa"/>
          <w:right w:w="0" w:type="dxa"/>
        </w:tblCellMar>
      </w:tblPr>
      <w:tr>
        <w:trPr>
          <w:trHeight w:val="363"/>
        </w:trPr>
        <w:tc>
          <w:tcPr>
            <w:tcW w:w="3020" w:type="dxa"/>
            <w:vAlign w:val="bottom"/>
          </w:tcPr>
          <w:p>
            <w:pPr>
              <w:ind w:left="380"/>
              <w:spacing w:after="0"/>
              <w:rPr>
                <w:sz w:val="20"/>
                <w:szCs w:val="20"/>
                <w:color w:val="auto"/>
              </w:rPr>
            </w:pPr>
            <w:r>
              <w:rPr>
                <w:rFonts w:ascii="Arial" w:cs="Arial" w:eastAsia="Arial" w:hAnsi="Arial"/>
                <w:sz w:val="24"/>
                <w:szCs w:val="24"/>
                <w:b w:val="1"/>
                <w:bCs w:val="1"/>
                <w:color w:val="000005"/>
              </w:rPr>
              <w:t>Payroll</w:t>
            </w:r>
          </w:p>
        </w:tc>
        <w:tc>
          <w:tcPr>
            <w:tcW w:w="2820" w:type="dxa"/>
            <w:vAlign w:val="bottom"/>
          </w:tcPr>
          <w:p>
            <w:pPr>
              <w:ind w:left="700"/>
              <w:spacing w:after="0"/>
              <w:rPr>
                <w:sz w:val="20"/>
                <w:szCs w:val="20"/>
                <w:color w:val="auto"/>
              </w:rPr>
            </w:pPr>
            <w:r>
              <w:rPr>
                <w:rFonts w:ascii="Arial" w:cs="Arial" w:eastAsia="Arial" w:hAnsi="Arial"/>
                <w:sz w:val="24"/>
                <w:szCs w:val="24"/>
                <w:b w:val="1"/>
                <w:bCs w:val="1"/>
                <w:color w:val="000005"/>
              </w:rPr>
              <w:t>Time &amp; Labor</w:t>
            </w:r>
          </w:p>
        </w:tc>
        <w:tc>
          <w:tcPr>
            <w:tcW w:w="2940" w:type="dxa"/>
            <w:vAlign w:val="bottom"/>
          </w:tcPr>
          <w:p>
            <w:pPr>
              <w:ind w:left="1000"/>
              <w:spacing w:after="0"/>
              <w:rPr>
                <w:sz w:val="20"/>
                <w:szCs w:val="20"/>
                <w:color w:val="auto"/>
              </w:rPr>
            </w:pPr>
            <w:r>
              <w:rPr>
                <w:rFonts w:ascii="Arial" w:cs="Arial" w:eastAsia="Arial" w:hAnsi="Arial"/>
                <w:sz w:val="24"/>
                <w:szCs w:val="24"/>
                <w:b w:val="1"/>
                <w:bCs w:val="1"/>
                <w:color w:val="auto"/>
              </w:rPr>
              <w:t>Benefits</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Arial" w:cs="Arial" w:eastAsia="Arial" w:hAnsi="Arial"/>
                <w:sz w:val="20"/>
                <w:szCs w:val="20"/>
                <w:color w:val="000005"/>
              </w:rPr>
              <w:t>• SaaS-based Payroll</w:t>
            </w:r>
          </w:p>
        </w:tc>
        <w:tc>
          <w:tcPr>
            <w:tcW w:w="2820" w:type="dxa"/>
            <w:vAlign w:val="bottom"/>
          </w:tcPr>
          <w:p>
            <w:pPr>
              <w:ind w:left="320"/>
              <w:spacing w:after="0"/>
              <w:rPr>
                <w:sz w:val="20"/>
                <w:szCs w:val="20"/>
                <w:color w:val="auto"/>
              </w:rPr>
            </w:pPr>
            <w:r>
              <w:rPr>
                <w:rFonts w:ascii="Arial" w:cs="Arial" w:eastAsia="Arial" w:hAnsi="Arial"/>
                <w:sz w:val="20"/>
                <w:szCs w:val="20"/>
                <w:color w:val="000005"/>
              </w:rPr>
              <w:t>• Time &amp; Attendance</w:t>
            </w:r>
          </w:p>
        </w:tc>
        <w:tc>
          <w:tcPr>
            <w:tcW w:w="2940" w:type="dxa"/>
            <w:vAlign w:val="bottom"/>
          </w:tcPr>
          <w:p>
            <w:pPr>
              <w:ind w:left="620"/>
              <w:spacing w:after="0"/>
              <w:rPr>
                <w:sz w:val="20"/>
                <w:szCs w:val="20"/>
                <w:color w:val="auto"/>
              </w:rPr>
            </w:pPr>
            <w:r>
              <w:rPr>
                <w:rFonts w:ascii="Arial" w:cs="Arial" w:eastAsia="Arial" w:hAnsi="Arial"/>
                <w:sz w:val="20"/>
                <w:szCs w:val="20"/>
                <w:color w:val="000005"/>
              </w:rPr>
              <w:t>• Benefit Enrollment &amp;</w:t>
            </w:r>
          </w:p>
        </w:tc>
        <w:tc>
          <w:tcPr>
            <w:tcW w:w="0" w:type="dxa"/>
            <w:vAlign w:val="bottom"/>
          </w:tcPr>
          <w:p>
            <w:pPr>
              <w:spacing w:after="0"/>
              <w:rPr>
                <w:sz w:val="1"/>
                <w:szCs w:val="1"/>
                <w:color w:val="auto"/>
              </w:rPr>
            </w:pPr>
          </w:p>
        </w:tc>
      </w:tr>
      <w:tr>
        <w:trPr>
          <w:trHeight w:val="267"/>
        </w:trPr>
        <w:tc>
          <w:tcPr>
            <w:tcW w:w="3020" w:type="dxa"/>
            <w:vAlign w:val="bottom"/>
            <w:vMerge w:val="restart"/>
          </w:tcPr>
          <w:p>
            <w:pPr>
              <w:spacing w:after="0"/>
              <w:rPr>
                <w:sz w:val="20"/>
                <w:szCs w:val="20"/>
                <w:color w:val="auto"/>
              </w:rPr>
            </w:pPr>
            <w:r>
              <w:rPr>
                <w:rFonts w:ascii="Arial" w:cs="Arial" w:eastAsia="Arial" w:hAnsi="Arial"/>
                <w:sz w:val="20"/>
                <w:szCs w:val="20"/>
                <w:color w:val="000005"/>
              </w:rPr>
              <w:t>• Global Payroll</w:t>
            </w:r>
          </w:p>
        </w:tc>
        <w:tc>
          <w:tcPr>
            <w:tcW w:w="2820" w:type="dxa"/>
            <w:vAlign w:val="bottom"/>
            <w:vMerge w:val="restart"/>
          </w:tcPr>
          <w:p>
            <w:pPr>
              <w:ind w:left="320"/>
              <w:spacing w:after="0"/>
              <w:rPr>
                <w:sz w:val="20"/>
                <w:szCs w:val="20"/>
                <w:color w:val="auto"/>
              </w:rPr>
            </w:pPr>
            <w:r>
              <w:rPr>
                <w:rFonts w:ascii="Arial" w:cs="Arial" w:eastAsia="Arial" w:hAnsi="Arial"/>
                <w:sz w:val="20"/>
                <w:szCs w:val="20"/>
                <w:color w:val="000005"/>
              </w:rPr>
              <w:t>• Scheduling</w:t>
            </w:r>
          </w:p>
        </w:tc>
        <w:tc>
          <w:tcPr>
            <w:tcW w:w="2940" w:type="dxa"/>
            <w:vAlign w:val="bottom"/>
          </w:tcPr>
          <w:p>
            <w:pPr>
              <w:ind w:left="800"/>
              <w:spacing w:after="0"/>
              <w:rPr>
                <w:sz w:val="20"/>
                <w:szCs w:val="20"/>
                <w:color w:val="auto"/>
              </w:rPr>
            </w:pPr>
            <w:r>
              <w:rPr>
                <w:rFonts w:ascii="Arial" w:cs="Arial" w:eastAsia="Arial" w:hAnsi="Arial"/>
                <w:sz w:val="20"/>
                <w:szCs w:val="20"/>
                <w:color w:val="000005"/>
              </w:rPr>
              <w:t>Updates</w:t>
            </w:r>
          </w:p>
        </w:tc>
        <w:tc>
          <w:tcPr>
            <w:tcW w:w="0" w:type="dxa"/>
            <w:vAlign w:val="bottom"/>
          </w:tcPr>
          <w:p>
            <w:pPr>
              <w:spacing w:after="0"/>
              <w:rPr>
                <w:sz w:val="1"/>
                <w:szCs w:val="1"/>
                <w:color w:val="auto"/>
              </w:rPr>
            </w:pPr>
          </w:p>
        </w:tc>
      </w:tr>
      <w:tr>
        <w:trPr>
          <w:trHeight w:val="115"/>
        </w:trPr>
        <w:tc>
          <w:tcPr>
            <w:tcW w:w="302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2940" w:type="dxa"/>
            <w:vAlign w:val="bottom"/>
            <w:vMerge w:val="restart"/>
          </w:tcPr>
          <w:p>
            <w:pPr>
              <w:ind w:left="620"/>
              <w:spacing w:after="0"/>
              <w:rPr>
                <w:sz w:val="20"/>
                <w:szCs w:val="20"/>
                <w:color w:val="auto"/>
              </w:rPr>
            </w:pPr>
            <w:r>
              <w:rPr>
                <w:rFonts w:ascii="Arial" w:cs="Arial" w:eastAsia="Arial" w:hAnsi="Arial"/>
                <w:sz w:val="20"/>
                <w:szCs w:val="20"/>
                <w:color w:val="000005"/>
              </w:rPr>
              <w:t>• Advanced Reporting</w:t>
            </w:r>
          </w:p>
        </w:tc>
        <w:tc>
          <w:tcPr>
            <w:tcW w:w="0" w:type="dxa"/>
            <w:vAlign w:val="bottom"/>
          </w:tcPr>
          <w:p>
            <w:pPr>
              <w:spacing w:after="0"/>
              <w:rPr>
                <w:sz w:val="1"/>
                <w:szCs w:val="1"/>
                <w:color w:val="auto"/>
              </w:rPr>
            </w:pPr>
          </w:p>
        </w:tc>
      </w:tr>
      <w:tr>
        <w:trPr>
          <w:trHeight w:val="210"/>
        </w:trPr>
        <w:tc>
          <w:tcPr>
            <w:tcW w:w="3020" w:type="dxa"/>
            <w:vAlign w:val="bottom"/>
            <w:vMerge w:val="restart"/>
          </w:tcPr>
          <w:p>
            <w:pPr>
              <w:spacing w:after="0"/>
              <w:rPr>
                <w:sz w:val="20"/>
                <w:szCs w:val="20"/>
                <w:color w:val="auto"/>
              </w:rPr>
            </w:pPr>
            <w:r>
              <w:rPr>
                <w:rFonts w:ascii="Arial" w:cs="Arial" w:eastAsia="Arial" w:hAnsi="Arial"/>
                <w:sz w:val="20"/>
                <w:szCs w:val="20"/>
                <w:color w:val="000005"/>
              </w:rPr>
              <w:t>• Tax Filing, Direct Deposit</w:t>
            </w:r>
          </w:p>
        </w:tc>
        <w:tc>
          <w:tcPr>
            <w:tcW w:w="2820" w:type="dxa"/>
            <w:vAlign w:val="bottom"/>
            <w:vMerge w:val="restart"/>
          </w:tcPr>
          <w:p>
            <w:pPr>
              <w:ind w:left="320"/>
              <w:spacing w:after="0"/>
              <w:rPr>
                <w:sz w:val="20"/>
                <w:szCs w:val="20"/>
                <w:color w:val="auto"/>
              </w:rPr>
            </w:pPr>
            <w:r>
              <w:rPr>
                <w:rFonts w:ascii="Arial" w:cs="Arial" w:eastAsia="Arial" w:hAnsi="Arial"/>
                <w:sz w:val="20"/>
                <w:szCs w:val="20"/>
                <w:color w:val="000005"/>
              </w:rPr>
              <w:t>• Time Collection</w:t>
            </w:r>
          </w:p>
        </w:tc>
        <w:tc>
          <w:tcPr>
            <w:tcW w:w="2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2940" w:type="dxa"/>
            <w:vAlign w:val="bottom"/>
            <w:vMerge w:val="restart"/>
          </w:tcPr>
          <w:p>
            <w:pPr>
              <w:ind w:left="620"/>
              <w:spacing w:after="0"/>
              <w:rPr>
                <w:sz w:val="20"/>
                <w:szCs w:val="20"/>
                <w:color w:val="auto"/>
              </w:rPr>
            </w:pPr>
            <w:r>
              <w:rPr>
                <w:rFonts w:ascii="Arial" w:cs="Arial" w:eastAsia="Arial" w:hAnsi="Arial"/>
                <w:sz w:val="20"/>
                <w:szCs w:val="20"/>
                <w:color w:val="000005"/>
              </w:rPr>
              <w:t>• TPA Solutions</w:t>
            </w:r>
          </w:p>
        </w:tc>
        <w:tc>
          <w:tcPr>
            <w:tcW w:w="0" w:type="dxa"/>
            <w:vAlign w:val="bottom"/>
          </w:tcPr>
          <w:p>
            <w:pPr>
              <w:spacing w:after="0"/>
              <w:rPr>
                <w:sz w:val="1"/>
                <w:szCs w:val="1"/>
                <w:color w:val="auto"/>
              </w:rPr>
            </w:pPr>
          </w:p>
        </w:tc>
      </w:tr>
      <w:tr>
        <w:trPr>
          <w:trHeight w:val="210"/>
        </w:trPr>
        <w:tc>
          <w:tcPr>
            <w:tcW w:w="3020" w:type="dxa"/>
            <w:vAlign w:val="bottom"/>
            <w:vMerge w:val="restart"/>
          </w:tcPr>
          <w:p>
            <w:pPr>
              <w:spacing w:after="0"/>
              <w:rPr>
                <w:sz w:val="20"/>
                <w:szCs w:val="20"/>
                <w:color w:val="auto"/>
              </w:rPr>
            </w:pPr>
            <w:r>
              <w:rPr>
                <w:rFonts w:ascii="Arial" w:cs="Arial" w:eastAsia="Arial" w:hAnsi="Arial"/>
                <w:sz w:val="20"/>
                <w:szCs w:val="20"/>
                <w:color w:val="000005"/>
              </w:rPr>
              <w:t>• On Demand Payment</w:t>
            </w:r>
          </w:p>
        </w:tc>
        <w:tc>
          <w:tcPr>
            <w:tcW w:w="2820" w:type="dxa"/>
            <w:vAlign w:val="bottom"/>
            <w:vMerge w:val="restart"/>
          </w:tcPr>
          <w:p>
            <w:pPr>
              <w:ind w:left="700"/>
              <w:spacing w:after="0"/>
              <w:rPr>
                <w:sz w:val="20"/>
                <w:szCs w:val="20"/>
                <w:color w:val="auto"/>
              </w:rPr>
            </w:pPr>
            <w:r>
              <w:rPr>
                <w:rFonts w:ascii="Arial" w:cs="Arial" w:eastAsia="Arial" w:hAnsi="Arial"/>
                <w:sz w:val="24"/>
                <w:szCs w:val="24"/>
                <w:b w:val="1"/>
                <w:bCs w:val="1"/>
                <w:color w:val="000005"/>
              </w:rPr>
              <w:t>Talent</w:t>
            </w:r>
          </w:p>
        </w:tc>
        <w:tc>
          <w:tcPr>
            <w:tcW w:w="2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282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2940" w:type="dxa"/>
            <w:vAlign w:val="bottom"/>
            <w:vMerge w:val="restart"/>
          </w:tcPr>
          <w:p>
            <w:pPr>
              <w:ind w:left="1000"/>
              <w:spacing w:after="0"/>
              <w:rPr>
                <w:sz w:val="20"/>
                <w:szCs w:val="20"/>
                <w:color w:val="auto"/>
              </w:rPr>
            </w:pPr>
            <w:r>
              <w:rPr>
                <w:rFonts w:ascii="Arial" w:cs="Arial" w:eastAsia="Arial" w:hAnsi="Arial"/>
                <w:sz w:val="24"/>
                <w:szCs w:val="24"/>
                <w:b w:val="1"/>
                <w:bCs w:val="1"/>
                <w:color w:val="000005"/>
              </w:rPr>
              <w:t>Finance</w:t>
            </w:r>
          </w:p>
        </w:tc>
        <w:tc>
          <w:tcPr>
            <w:tcW w:w="0" w:type="dxa"/>
            <w:vAlign w:val="bottom"/>
          </w:tcPr>
          <w:p>
            <w:pPr>
              <w:spacing w:after="0"/>
              <w:rPr>
                <w:sz w:val="1"/>
                <w:szCs w:val="1"/>
                <w:color w:val="auto"/>
              </w:rPr>
            </w:pPr>
          </w:p>
        </w:tc>
      </w:tr>
      <w:tr>
        <w:trPr>
          <w:trHeight w:val="240"/>
        </w:trPr>
        <w:tc>
          <w:tcPr>
            <w:tcW w:w="3020" w:type="dxa"/>
            <w:vAlign w:val="bottom"/>
            <w:vMerge w:val="restart"/>
          </w:tcPr>
          <w:p>
            <w:pPr>
              <w:ind w:left="380"/>
              <w:spacing w:after="0"/>
              <w:rPr>
                <w:sz w:val="20"/>
                <w:szCs w:val="20"/>
                <w:color w:val="auto"/>
              </w:rPr>
            </w:pPr>
            <w:r>
              <w:rPr>
                <w:rFonts w:ascii="Arial" w:cs="Arial" w:eastAsia="Arial" w:hAnsi="Arial"/>
                <w:sz w:val="24"/>
                <w:szCs w:val="24"/>
                <w:b w:val="1"/>
                <w:bCs w:val="1"/>
                <w:color w:val="000005"/>
              </w:rPr>
              <w:t>Employee Experience</w:t>
            </w:r>
          </w:p>
        </w:tc>
        <w:tc>
          <w:tcPr>
            <w:tcW w:w="2820" w:type="dxa"/>
            <w:vAlign w:val="bottom"/>
            <w:vMerge w:val="restart"/>
          </w:tcPr>
          <w:p>
            <w:pPr>
              <w:ind w:left="320"/>
              <w:spacing w:after="0"/>
              <w:rPr>
                <w:sz w:val="20"/>
                <w:szCs w:val="20"/>
                <w:color w:val="auto"/>
              </w:rPr>
            </w:pPr>
            <w:r>
              <w:rPr>
                <w:rFonts w:ascii="Arial" w:cs="Arial" w:eastAsia="Arial" w:hAnsi="Arial"/>
                <w:sz w:val="20"/>
                <w:szCs w:val="20"/>
                <w:color w:val="000005"/>
              </w:rPr>
              <w:t>• Recruiting</w:t>
            </w: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30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940" w:type="dxa"/>
            <w:vAlign w:val="bottom"/>
            <w:vMerge w:val="restart"/>
          </w:tcPr>
          <w:p>
            <w:pPr>
              <w:ind w:left="620"/>
              <w:spacing w:after="0"/>
              <w:rPr>
                <w:sz w:val="20"/>
                <w:szCs w:val="20"/>
                <w:color w:val="auto"/>
              </w:rPr>
            </w:pPr>
            <w:r>
              <w:rPr>
                <w:rFonts w:ascii="Arial" w:cs="Arial" w:eastAsia="Arial" w:hAnsi="Arial"/>
                <w:sz w:val="20"/>
                <w:szCs w:val="20"/>
                <w:color w:val="000005"/>
              </w:rPr>
              <w:t>• Headcount Planning</w:t>
            </w:r>
          </w:p>
        </w:tc>
        <w:tc>
          <w:tcPr>
            <w:tcW w:w="0" w:type="dxa"/>
            <w:vAlign w:val="bottom"/>
          </w:tcPr>
          <w:p>
            <w:pPr>
              <w:spacing w:after="0"/>
              <w:rPr>
                <w:sz w:val="1"/>
                <w:szCs w:val="1"/>
                <w:color w:val="auto"/>
              </w:rPr>
            </w:pPr>
          </w:p>
        </w:tc>
      </w:tr>
      <w:tr>
        <w:trPr>
          <w:trHeight w:val="177"/>
        </w:trPr>
        <w:tc>
          <w:tcPr>
            <w:tcW w:w="3020" w:type="dxa"/>
            <w:vAlign w:val="bottom"/>
            <w:vMerge w:val="restart"/>
          </w:tcPr>
          <w:p>
            <w:pPr>
              <w:spacing w:after="0"/>
              <w:rPr>
                <w:sz w:val="20"/>
                <w:szCs w:val="20"/>
                <w:color w:val="auto"/>
              </w:rPr>
            </w:pPr>
            <w:r>
              <w:rPr>
                <w:rFonts w:ascii="Arial" w:cs="Arial" w:eastAsia="Arial" w:hAnsi="Arial"/>
                <w:sz w:val="20"/>
                <w:szCs w:val="20"/>
                <w:color w:val="000005"/>
              </w:rPr>
              <w:t>• Community</w:t>
            </w:r>
          </w:p>
        </w:tc>
        <w:tc>
          <w:tcPr>
            <w:tcW w:w="2820" w:type="dxa"/>
            <w:vAlign w:val="bottom"/>
            <w:vMerge w:val="restart"/>
          </w:tcPr>
          <w:p>
            <w:pPr>
              <w:ind w:left="320"/>
              <w:spacing w:after="0"/>
              <w:rPr>
                <w:sz w:val="20"/>
                <w:szCs w:val="20"/>
                <w:color w:val="auto"/>
              </w:rPr>
            </w:pPr>
            <w:r>
              <w:rPr>
                <w:rFonts w:ascii="Arial" w:cs="Arial" w:eastAsia="Arial" w:hAnsi="Arial"/>
                <w:sz w:val="20"/>
                <w:szCs w:val="20"/>
                <w:color w:val="000005"/>
              </w:rPr>
              <w:t>• Onboarding</w:t>
            </w: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2940" w:type="dxa"/>
            <w:vAlign w:val="bottom"/>
            <w:vMerge w:val="restart"/>
          </w:tcPr>
          <w:p>
            <w:pPr>
              <w:ind w:left="620"/>
              <w:spacing w:after="0"/>
              <w:rPr>
                <w:sz w:val="20"/>
                <w:szCs w:val="20"/>
                <w:color w:val="auto"/>
              </w:rPr>
            </w:pPr>
            <w:r>
              <w:rPr>
                <w:rFonts w:ascii="Arial" w:cs="Arial" w:eastAsia="Arial" w:hAnsi="Arial"/>
                <w:sz w:val="20"/>
                <w:szCs w:val="20"/>
                <w:color w:val="000005"/>
              </w:rPr>
              <w:t>• Expense Management</w:t>
            </w:r>
          </w:p>
        </w:tc>
        <w:tc>
          <w:tcPr>
            <w:tcW w:w="0" w:type="dxa"/>
            <w:vAlign w:val="bottom"/>
          </w:tcPr>
          <w:p>
            <w:pPr>
              <w:spacing w:after="0"/>
              <w:rPr>
                <w:sz w:val="1"/>
                <w:szCs w:val="1"/>
                <w:color w:val="auto"/>
              </w:rPr>
            </w:pPr>
          </w:p>
        </w:tc>
      </w:tr>
      <w:tr>
        <w:trPr>
          <w:trHeight w:val="70"/>
        </w:trPr>
        <w:tc>
          <w:tcPr>
            <w:tcW w:w="3020" w:type="dxa"/>
            <w:vAlign w:val="bottom"/>
            <w:vMerge w:val="continue"/>
          </w:tcPr>
          <w:p>
            <w:pPr>
              <w:spacing w:after="0"/>
              <w:rPr>
                <w:sz w:val="6"/>
                <w:szCs w:val="6"/>
                <w:color w:val="auto"/>
              </w:rPr>
            </w:pPr>
          </w:p>
        </w:tc>
        <w:tc>
          <w:tcPr>
            <w:tcW w:w="2820" w:type="dxa"/>
            <w:vAlign w:val="bottom"/>
            <w:vMerge w:val="restart"/>
          </w:tcPr>
          <w:p>
            <w:pPr>
              <w:ind w:left="320"/>
              <w:spacing w:after="0"/>
              <w:rPr>
                <w:sz w:val="20"/>
                <w:szCs w:val="20"/>
                <w:color w:val="auto"/>
              </w:rPr>
            </w:pPr>
            <w:r>
              <w:rPr>
                <w:rFonts w:ascii="Arial" w:cs="Arial" w:eastAsia="Arial" w:hAnsi="Arial"/>
                <w:sz w:val="20"/>
                <w:szCs w:val="20"/>
                <w:color w:val="000005"/>
              </w:rPr>
              <w:t>• Performance</w:t>
            </w: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20" w:type="dxa"/>
            <w:vAlign w:val="bottom"/>
            <w:vMerge w:val="restart"/>
          </w:tcPr>
          <w:p>
            <w:pPr>
              <w:spacing w:after="0"/>
              <w:rPr>
                <w:sz w:val="20"/>
                <w:szCs w:val="20"/>
                <w:color w:val="auto"/>
              </w:rPr>
            </w:pPr>
            <w:r>
              <w:rPr>
                <w:rFonts w:ascii="Arial" w:cs="Arial" w:eastAsia="Arial" w:hAnsi="Arial"/>
                <w:sz w:val="20"/>
                <w:szCs w:val="20"/>
                <w:color w:val="000005"/>
              </w:rPr>
              <w:t>• Video</w:t>
            </w:r>
          </w:p>
        </w:tc>
        <w:tc>
          <w:tcPr>
            <w:tcW w:w="2820" w:type="dxa"/>
            <w:vAlign w:val="bottom"/>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2940" w:type="dxa"/>
            <w:vAlign w:val="bottom"/>
            <w:vMerge w:val="restart"/>
          </w:tcPr>
          <w:p>
            <w:pPr>
              <w:ind w:left="620"/>
              <w:spacing w:after="0"/>
              <w:rPr>
                <w:sz w:val="20"/>
                <w:szCs w:val="20"/>
                <w:color w:val="auto"/>
              </w:rPr>
            </w:pPr>
            <w:r>
              <w:rPr>
                <w:rFonts w:ascii="Arial" w:cs="Arial" w:eastAsia="Arial" w:hAnsi="Arial"/>
                <w:sz w:val="20"/>
                <w:szCs w:val="20"/>
                <w:color w:val="000005"/>
              </w:rPr>
              <w:t>• Bill Pay | AP Automation</w:t>
            </w:r>
          </w:p>
        </w:tc>
        <w:tc>
          <w:tcPr>
            <w:tcW w:w="0" w:type="dxa"/>
            <w:vAlign w:val="bottom"/>
          </w:tcPr>
          <w:p>
            <w:pPr>
              <w:spacing w:after="0"/>
              <w:rPr>
                <w:sz w:val="1"/>
                <w:szCs w:val="1"/>
                <w:color w:val="auto"/>
              </w:rPr>
            </w:pPr>
          </w:p>
        </w:tc>
      </w:tr>
      <w:tr>
        <w:trPr>
          <w:trHeight w:val="70"/>
        </w:trPr>
        <w:tc>
          <w:tcPr>
            <w:tcW w:w="3020" w:type="dxa"/>
            <w:vAlign w:val="bottom"/>
            <w:vMerge w:val="continue"/>
          </w:tcPr>
          <w:p>
            <w:pPr>
              <w:spacing w:after="0"/>
              <w:rPr>
                <w:sz w:val="6"/>
                <w:szCs w:val="6"/>
                <w:color w:val="auto"/>
              </w:rPr>
            </w:pPr>
          </w:p>
        </w:tc>
        <w:tc>
          <w:tcPr>
            <w:tcW w:w="2820" w:type="dxa"/>
            <w:vAlign w:val="bottom"/>
            <w:vMerge w:val="restart"/>
          </w:tcPr>
          <w:p>
            <w:pPr>
              <w:ind w:left="320"/>
              <w:spacing w:after="0"/>
              <w:rPr>
                <w:sz w:val="20"/>
                <w:szCs w:val="20"/>
                <w:color w:val="auto"/>
              </w:rPr>
            </w:pPr>
            <w:r>
              <w:rPr>
                <w:rFonts w:ascii="Arial" w:cs="Arial" w:eastAsia="Arial" w:hAnsi="Arial"/>
                <w:sz w:val="20"/>
                <w:szCs w:val="20"/>
                <w:color w:val="000005"/>
              </w:rPr>
              <w:t>• Compensation</w:t>
            </w: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20" w:type="dxa"/>
            <w:vAlign w:val="bottom"/>
            <w:vMerge w:val="restart"/>
          </w:tcPr>
          <w:p>
            <w:pPr>
              <w:spacing w:after="0"/>
              <w:rPr>
                <w:sz w:val="20"/>
                <w:szCs w:val="20"/>
                <w:color w:val="auto"/>
              </w:rPr>
            </w:pPr>
            <w:r>
              <w:rPr>
                <w:rFonts w:ascii="Arial" w:cs="Arial" w:eastAsia="Arial" w:hAnsi="Arial"/>
                <w:sz w:val="20"/>
                <w:szCs w:val="20"/>
                <w:color w:val="000005"/>
              </w:rPr>
              <w:t>• Recognition &amp; Rewards</w:t>
            </w:r>
          </w:p>
        </w:tc>
        <w:tc>
          <w:tcPr>
            <w:tcW w:w="2820" w:type="dxa"/>
            <w:vAlign w:val="bottom"/>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2940" w:type="dxa"/>
            <w:vAlign w:val="bottom"/>
            <w:vMerge w:val="restart"/>
          </w:tcPr>
          <w:p>
            <w:pPr>
              <w:ind w:left="620"/>
              <w:spacing w:after="0"/>
              <w:rPr>
                <w:sz w:val="20"/>
                <w:szCs w:val="20"/>
                <w:color w:val="auto"/>
              </w:rPr>
            </w:pPr>
            <w:r>
              <w:rPr>
                <w:rFonts w:ascii="Arial" w:cs="Arial" w:eastAsia="Arial" w:hAnsi="Arial"/>
                <w:sz w:val="20"/>
                <w:szCs w:val="20"/>
                <w:color w:val="000005"/>
              </w:rPr>
              <w:t>• Corporate Cards</w:t>
            </w:r>
          </w:p>
        </w:tc>
        <w:tc>
          <w:tcPr>
            <w:tcW w:w="0" w:type="dxa"/>
            <w:vAlign w:val="bottom"/>
          </w:tcPr>
          <w:p>
            <w:pPr>
              <w:spacing w:after="0"/>
              <w:rPr>
                <w:sz w:val="1"/>
                <w:szCs w:val="1"/>
                <w:color w:val="auto"/>
              </w:rPr>
            </w:pPr>
          </w:p>
        </w:tc>
      </w:tr>
      <w:tr>
        <w:trPr>
          <w:trHeight w:val="70"/>
        </w:trPr>
        <w:tc>
          <w:tcPr>
            <w:tcW w:w="3020" w:type="dxa"/>
            <w:vAlign w:val="bottom"/>
            <w:vMerge w:val="continue"/>
          </w:tcPr>
          <w:p>
            <w:pPr>
              <w:spacing w:after="0"/>
              <w:rPr>
                <w:sz w:val="6"/>
                <w:szCs w:val="6"/>
                <w:color w:val="auto"/>
              </w:rPr>
            </w:pPr>
          </w:p>
        </w:tc>
        <w:tc>
          <w:tcPr>
            <w:tcW w:w="2820" w:type="dxa"/>
            <w:vAlign w:val="bottom"/>
            <w:vMerge w:val="restart"/>
          </w:tcPr>
          <w:p>
            <w:pPr>
              <w:ind w:left="320"/>
              <w:spacing w:after="0"/>
              <w:rPr>
                <w:sz w:val="20"/>
                <w:szCs w:val="20"/>
                <w:color w:val="auto"/>
              </w:rPr>
            </w:pPr>
            <w:r>
              <w:rPr>
                <w:rFonts w:ascii="Arial" w:cs="Arial" w:eastAsia="Arial" w:hAnsi="Arial"/>
                <w:sz w:val="20"/>
                <w:szCs w:val="20"/>
                <w:color w:val="000005"/>
              </w:rPr>
              <w:t>• Learning</w:t>
            </w: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20" w:type="dxa"/>
            <w:vAlign w:val="bottom"/>
            <w:vMerge w:val="restart"/>
          </w:tcPr>
          <w:p>
            <w:pPr>
              <w:spacing w:after="0"/>
              <w:rPr>
                <w:sz w:val="20"/>
                <w:szCs w:val="20"/>
                <w:color w:val="auto"/>
              </w:rPr>
            </w:pPr>
            <w:r>
              <w:rPr>
                <w:rFonts w:ascii="Arial" w:cs="Arial" w:eastAsia="Arial" w:hAnsi="Arial"/>
                <w:sz w:val="20"/>
                <w:szCs w:val="20"/>
                <w:color w:val="000005"/>
              </w:rPr>
              <w:t>• Employee Voice</w:t>
            </w:r>
          </w:p>
        </w:tc>
        <w:tc>
          <w:tcPr>
            <w:tcW w:w="2820" w:type="dxa"/>
            <w:vAlign w:val="bottom"/>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2940" w:type="dxa"/>
            <w:vAlign w:val="bottom"/>
            <w:vMerge w:val="restart"/>
          </w:tcPr>
          <w:p>
            <w:pPr>
              <w:ind w:left="620"/>
              <w:spacing w:after="0"/>
              <w:rPr>
                <w:sz w:val="20"/>
                <w:szCs w:val="20"/>
                <w:color w:val="auto"/>
              </w:rPr>
            </w:pPr>
            <w:r>
              <w:rPr>
                <w:rFonts w:ascii="Arial" w:cs="Arial" w:eastAsia="Arial" w:hAnsi="Arial"/>
                <w:sz w:val="20"/>
                <w:szCs w:val="20"/>
                <w:color w:val="000005"/>
              </w:rPr>
              <w:t>• Procurement</w:t>
            </w:r>
          </w:p>
        </w:tc>
        <w:tc>
          <w:tcPr>
            <w:tcW w:w="0" w:type="dxa"/>
            <w:vAlign w:val="bottom"/>
          </w:tcPr>
          <w:p>
            <w:pPr>
              <w:spacing w:after="0"/>
              <w:rPr>
                <w:sz w:val="1"/>
                <w:szCs w:val="1"/>
                <w:color w:val="auto"/>
              </w:rPr>
            </w:pPr>
          </w:p>
        </w:tc>
      </w:tr>
      <w:tr>
        <w:trPr>
          <w:trHeight w:val="70"/>
        </w:trPr>
        <w:tc>
          <w:tcPr>
            <w:tcW w:w="3020" w:type="dxa"/>
            <w:vAlign w:val="bottom"/>
            <w:vMerge w:val="continue"/>
          </w:tcPr>
          <w:p>
            <w:pPr>
              <w:spacing w:after="0"/>
              <w:rPr>
                <w:sz w:val="6"/>
                <w:szCs w:val="6"/>
                <w:color w:val="auto"/>
              </w:rPr>
            </w:pPr>
          </w:p>
        </w:tc>
        <w:tc>
          <w:tcPr>
            <w:tcW w:w="282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760"/>
        <w:spacing w:after="0"/>
        <w:rPr>
          <w:sz w:val="20"/>
          <w:szCs w:val="20"/>
          <w:color w:val="auto"/>
        </w:rPr>
      </w:pPr>
      <w:r>
        <w:rPr>
          <w:sz w:val="1"/>
          <w:szCs w:val="1"/>
          <w:color w:val="auto"/>
        </w:rPr>
        <w:drawing>
          <wp:inline distT="0" distB="0" distL="0" distR="0">
            <wp:extent cx="220980" cy="209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0980" cy="209550"/>
                    </a:xfrm>
                    <a:prstGeom prst="rect">
                      <a:avLst/>
                    </a:prstGeom>
                    <a:noFill/>
                    <a:ln>
                      <a:noFill/>
                    </a:ln>
                  </pic:spPr>
                </pic:pic>
              </a:graphicData>
            </a:graphic>
          </wp:inline>
        </w:drawing>
      </w:r>
      <w:r>
        <w:rPr>
          <w:rFonts w:ascii="Arial" w:cs="Arial" w:eastAsia="Arial" w:hAnsi="Arial"/>
          <w:sz w:val="24"/>
          <w:szCs w:val="24"/>
          <w:b w:val="1"/>
          <w:bCs w:val="1"/>
          <w:color w:val="000005"/>
        </w:rPr>
        <w:t xml:space="preserve"> Human Resources</w:t>
      </w:r>
    </w:p>
    <w:p>
      <w:pPr>
        <w:sectPr>
          <w:pgSz w:w="11880" w:h="15481" w:orient="portrait"/>
          <w:cols w:equalWidth="0" w:num="1">
            <w:col w:w="9580"/>
          </w:cols>
          <w:pgMar w:left="1040" w:top="959" w:right="1261" w:bottom="619" w:gutter="0" w:footer="0" w:header="0"/>
        </w:sectPr>
      </w:pPr>
    </w:p>
    <w:p>
      <w:pPr>
        <w:spacing w:after="0" w:line="62" w:lineRule="exact"/>
        <w:rPr>
          <w:sz w:val="20"/>
          <w:szCs w:val="20"/>
          <w:color w:val="auto"/>
        </w:rPr>
      </w:pPr>
    </w:p>
    <w:p>
      <w:pPr>
        <w:ind w:left="980" w:hanging="170"/>
        <w:spacing w:after="0"/>
        <w:tabs>
          <w:tab w:leader="none" w:pos="980" w:val="left"/>
        </w:tabs>
        <w:numPr>
          <w:ilvl w:val="0"/>
          <w:numId w:val="1"/>
        </w:numPr>
        <w:rPr>
          <w:rFonts w:ascii="Arial" w:cs="Arial" w:eastAsia="Arial" w:hAnsi="Arial"/>
          <w:sz w:val="20"/>
          <w:szCs w:val="20"/>
          <w:color w:val="000005"/>
        </w:rPr>
      </w:pPr>
      <w:r>
        <w:rPr>
          <w:rFonts w:ascii="Arial" w:cs="Arial" w:eastAsia="Arial" w:hAnsi="Arial"/>
          <w:sz w:val="20"/>
          <w:szCs w:val="20"/>
          <w:color w:val="000005"/>
        </w:rPr>
        <w:t>Employee Self-Service</w:t>
      </w:r>
    </w:p>
    <w:p>
      <w:pPr>
        <w:spacing w:after="0" w:line="100" w:lineRule="exact"/>
        <w:rPr>
          <w:rFonts w:ascii="Arial" w:cs="Arial" w:eastAsia="Arial" w:hAnsi="Arial"/>
          <w:sz w:val="20"/>
          <w:szCs w:val="20"/>
          <w:color w:val="000005"/>
        </w:rPr>
      </w:pPr>
    </w:p>
    <w:p>
      <w:pPr>
        <w:ind w:left="980" w:hanging="170"/>
        <w:spacing w:after="0"/>
        <w:tabs>
          <w:tab w:leader="none" w:pos="980" w:val="left"/>
        </w:tabs>
        <w:numPr>
          <w:ilvl w:val="0"/>
          <w:numId w:val="1"/>
        </w:numPr>
        <w:rPr>
          <w:rFonts w:ascii="Arial" w:cs="Arial" w:eastAsia="Arial" w:hAnsi="Arial"/>
          <w:sz w:val="20"/>
          <w:szCs w:val="20"/>
          <w:color w:val="000005"/>
        </w:rPr>
      </w:pPr>
      <w:r>
        <w:rPr>
          <w:rFonts w:ascii="Arial" w:cs="Arial" w:eastAsia="Arial" w:hAnsi="Arial"/>
          <w:sz w:val="20"/>
          <w:szCs w:val="20"/>
          <w:color w:val="000005"/>
        </w:rPr>
        <w:t>Compliance &amp; Record Keeping</w:t>
      </w:r>
    </w:p>
    <w:p>
      <w:pPr>
        <w:spacing w:after="0" w:line="100" w:lineRule="exact"/>
        <w:rPr>
          <w:rFonts w:ascii="Arial" w:cs="Arial" w:eastAsia="Arial" w:hAnsi="Arial"/>
          <w:sz w:val="20"/>
          <w:szCs w:val="20"/>
          <w:color w:val="000005"/>
        </w:rPr>
      </w:pPr>
    </w:p>
    <w:p>
      <w:pPr>
        <w:ind w:left="980" w:hanging="170"/>
        <w:spacing w:after="0"/>
        <w:tabs>
          <w:tab w:leader="none" w:pos="980" w:val="left"/>
        </w:tabs>
        <w:numPr>
          <w:ilvl w:val="0"/>
          <w:numId w:val="1"/>
        </w:numPr>
        <w:rPr>
          <w:rFonts w:ascii="Arial" w:cs="Arial" w:eastAsia="Arial" w:hAnsi="Arial"/>
          <w:sz w:val="20"/>
          <w:szCs w:val="20"/>
          <w:color w:val="000005"/>
        </w:rPr>
      </w:pPr>
      <w:r>
        <w:rPr>
          <w:rFonts w:ascii="Arial" w:cs="Arial" w:eastAsia="Arial" w:hAnsi="Arial"/>
          <w:sz w:val="20"/>
          <w:szCs w:val="20"/>
          <w:color w:val="000005"/>
        </w:rPr>
        <w:t>Workflows &amp; Documents</w:t>
      </w:r>
    </w:p>
    <w:p>
      <w:pPr>
        <w:sectPr>
          <w:pgSz w:w="11880" w:h="15481" w:orient="portrait"/>
          <w:cols w:equalWidth="0" w:num="1">
            <w:col w:w="9580"/>
          </w:cols>
          <w:pgMar w:left="1040" w:top="959" w:right="1261" w:bottom="619" w:gutter="0" w:footer="0" w:header="0"/>
          <w:type w:val="continuous"/>
        </w:sectPr>
      </w:pPr>
    </w:p>
    <w:bookmarkStart w:id="5" w:name="page6"/>
    <w:bookmarkEnd w:id="5"/>
    <w:p>
      <w:pPr>
        <w:spacing w:after="0"/>
        <w:rPr>
          <w:sz w:val="20"/>
          <w:szCs w:val="20"/>
          <w:color w:val="auto"/>
        </w:rPr>
      </w:pPr>
      <w:r>
        <w:rPr>
          <w:rFonts w:ascii="Arial" w:cs="Arial" w:eastAsia="Arial" w:hAnsi="Arial"/>
          <w:sz w:val="50"/>
          <w:szCs w:val="50"/>
          <w:b w:val="1"/>
          <w:bCs w:val="1"/>
          <w:color w:val="000005"/>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External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8320"/>
        <w:spacing w:after="0"/>
        <w:rPr>
          <w:sz w:val="20"/>
          <w:szCs w:val="20"/>
          <w:color w:val="auto"/>
        </w:rPr>
      </w:pPr>
      <w:r>
        <w:rPr>
          <w:rFonts w:ascii="Arial" w:cs="Arial" w:eastAsia="Arial" w:hAnsi="Arial"/>
          <w:sz w:val="8"/>
          <w:szCs w:val="8"/>
          <w:b w:val="1"/>
          <w:bCs w:val="1"/>
          <w:color w:val="FFFFFF"/>
        </w:rPr>
        <w:t>AUG 2025-AUG 2026</w:t>
      </w:r>
    </w:p>
    <w:p>
      <w:pPr>
        <w:spacing w:after="0" w:line="51" w:lineRule="exact"/>
        <w:rPr>
          <w:sz w:val="20"/>
          <w:szCs w:val="20"/>
          <w:color w:val="auto"/>
        </w:rPr>
      </w:pPr>
    </w:p>
    <w:p>
      <w:pPr>
        <w:jc w:val="center"/>
        <w:ind w:right="8320"/>
        <w:spacing w:after="0"/>
        <w:rPr>
          <w:sz w:val="20"/>
          <w:szCs w:val="20"/>
          <w:color w:val="auto"/>
        </w:rPr>
      </w:pPr>
      <w:r>
        <w:rPr>
          <w:rFonts w:ascii="Arial" w:cs="Arial" w:eastAsia="Arial" w:hAnsi="Arial"/>
          <w:sz w:val="8"/>
          <w:szCs w:val="8"/>
          <w:b w:val="1"/>
          <w:bCs w:val="1"/>
          <w:color w:val="FFFFFF"/>
        </w:rPr>
        <w:t>USA</w:t>
      </w:r>
    </w:p>
    <w:p>
      <w:pPr>
        <w:spacing w:after="0" w:line="177" w:lineRule="exact"/>
        <w:rPr>
          <w:sz w:val="20"/>
          <w:szCs w:val="20"/>
          <w:color w:val="auto"/>
        </w:rPr>
      </w:pPr>
    </w:p>
    <w:p>
      <w:pPr>
        <w:ind w:left="340"/>
        <w:spacing w:after="0"/>
        <w:tabs>
          <w:tab w:leader="none" w:pos="2400" w:val="left"/>
          <w:tab w:leader="none" w:pos="4560" w:val="left"/>
          <w:tab w:leader="none" w:pos="6740" w:val="left"/>
          <w:tab w:leader="none" w:pos="8940" w:val="left"/>
        </w:tabs>
        <w:rPr>
          <w:sz w:val="20"/>
          <w:szCs w:val="20"/>
          <w:color w:val="auto"/>
        </w:rPr>
      </w:pPr>
      <w:r>
        <w:rPr>
          <w:rFonts w:ascii="Arial" w:cs="Arial" w:eastAsia="Arial" w:hAnsi="Arial"/>
          <w:sz w:val="22"/>
          <w:szCs w:val="22"/>
          <w:color w:val="auto"/>
        </w:rPr>
        <w:t>2019-2026</w:t>
      </w:r>
      <w:r>
        <w:rPr>
          <w:sz w:val="20"/>
          <w:szCs w:val="20"/>
          <w:color w:val="auto"/>
        </w:rPr>
        <w:tab/>
      </w:r>
      <w:r>
        <w:rPr>
          <w:rFonts w:ascii="Arial" w:cs="Arial" w:eastAsia="Arial" w:hAnsi="Arial"/>
          <w:sz w:val="22"/>
          <w:szCs w:val="22"/>
          <w:color w:val="auto"/>
        </w:rPr>
        <w:t>2020-2025</w:t>
      </w:r>
      <w:r>
        <w:rPr>
          <w:sz w:val="20"/>
          <w:szCs w:val="20"/>
          <w:color w:val="auto"/>
        </w:rPr>
        <w:tab/>
      </w:r>
      <w:r>
        <w:rPr>
          <w:rFonts w:ascii="Arial" w:cs="Arial" w:eastAsia="Arial" w:hAnsi="Arial"/>
          <w:sz w:val="22"/>
          <w:szCs w:val="22"/>
          <w:color w:val="auto"/>
        </w:rPr>
        <w:t>2020-2025</w:t>
      </w:r>
      <w:r>
        <w:rPr>
          <w:sz w:val="20"/>
          <w:szCs w:val="20"/>
          <w:color w:val="auto"/>
        </w:rPr>
        <w:tab/>
      </w:r>
      <w:r>
        <w:rPr>
          <w:rFonts w:ascii="Arial" w:cs="Arial" w:eastAsia="Arial" w:hAnsi="Arial"/>
          <w:sz w:val="22"/>
          <w:szCs w:val="22"/>
          <w:color w:val="auto"/>
        </w:rPr>
        <w:t>2020-2025</w:t>
      </w:r>
      <w:r>
        <w:rPr>
          <w:sz w:val="20"/>
          <w:szCs w:val="20"/>
          <w:color w:val="auto"/>
        </w:rPr>
        <w:tab/>
      </w:r>
      <w:r>
        <w:rPr>
          <w:rFonts w:ascii="Arial" w:cs="Arial" w:eastAsia="Arial" w:hAnsi="Arial"/>
          <w:sz w:val="21"/>
          <w:szCs w:val="21"/>
          <w:color w:val="auto"/>
        </w:rPr>
        <w:t>2024-2025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0"/>
        <w:spacing w:after="0"/>
        <w:tabs>
          <w:tab w:leader="none" w:pos="2440" w:val="left"/>
          <w:tab w:leader="none" w:pos="4560" w:val="left"/>
          <w:tab w:leader="none" w:pos="7040" w:val="left"/>
          <w:tab w:leader="none" w:pos="9200" w:val="left"/>
        </w:tabs>
        <w:rPr>
          <w:sz w:val="20"/>
          <w:szCs w:val="20"/>
          <w:color w:val="auto"/>
        </w:rPr>
      </w:pPr>
      <w:r>
        <w:rPr>
          <w:rFonts w:ascii="Arial" w:cs="Arial" w:eastAsia="Arial" w:hAnsi="Arial"/>
          <w:sz w:val="22"/>
          <w:szCs w:val="22"/>
          <w:color w:val="auto"/>
        </w:rPr>
        <w:t>2025</w:t>
      </w:r>
      <w:r>
        <w:rPr>
          <w:sz w:val="20"/>
          <w:szCs w:val="20"/>
          <w:color w:val="auto"/>
        </w:rPr>
        <w:tab/>
      </w:r>
      <w:r>
        <w:rPr>
          <w:rFonts w:ascii="Arial" w:cs="Arial" w:eastAsia="Arial" w:hAnsi="Arial"/>
          <w:sz w:val="22"/>
          <w:szCs w:val="22"/>
          <w:color w:val="auto"/>
        </w:rPr>
        <w:t>2012-2025</w:t>
      </w:r>
      <w:r>
        <w:rPr>
          <w:sz w:val="20"/>
          <w:szCs w:val="20"/>
          <w:color w:val="auto"/>
        </w:rPr>
        <w:tab/>
      </w:r>
      <w:r>
        <w:rPr>
          <w:rFonts w:ascii="Arial" w:cs="Arial" w:eastAsia="Arial" w:hAnsi="Arial"/>
          <w:sz w:val="22"/>
          <w:szCs w:val="22"/>
          <w:color w:val="auto"/>
        </w:rPr>
        <w:t>2024-2025</w:t>
      </w:r>
      <w:r>
        <w:rPr>
          <w:sz w:val="20"/>
          <w:szCs w:val="20"/>
          <w:color w:val="auto"/>
        </w:rPr>
        <w:tab/>
      </w:r>
      <w:r>
        <w:rPr>
          <w:rFonts w:ascii="Arial" w:cs="Arial" w:eastAsia="Arial" w:hAnsi="Arial"/>
          <w:sz w:val="22"/>
          <w:szCs w:val="22"/>
          <w:color w:val="auto"/>
        </w:rPr>
        <w:t>2025</w:t>
      </w:r>
      <w:r>
        <w:rPr>
          <w:sz w:val="20"/>
          <w:szCs w:val="20"/>
          <w:color w:val="auto"/>
        </w:rPr>
        <w:tab/>
      </w:r>
      <w:r>
        <w:rPr>
          <w:rFonts w:ascii="Arial" w:cs="Arial" w:eastAsia="Arial" w:hAnsi="Arial"/>
          <w:sz w:val="20"/>
          <w:szCs w:val="20"/>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00" w:type="dxa"/>
        <w:tblCellMar>
          <w:top w:w="0" w:type="dxa"/>
          <w:left w:w="0" w:type="dxa"/>
          <w:bottom w:w="0" w:type="dxa"/>
          <w:right w:w="0" w:type="dxa"/>
        </w:tblCellMar>
      </w:tblPr>
      <w:tr>
        <w:trPr>
          <w:trHeight w:val="292"/>
        </w:trPr>
        <w:tc>
          <w:tcPr>
            <w:tcW w:w="1300" w:type="dxa"/>
            <w:vAlign w:val="bottom"/>
          </w:tcPr>
          <w:p>
            <w:pPr>
              <w:jc w:val="right"/>
              <w:ind w:right="710"/>
              <w:spacing w:after="0"/>
              <w:rPr>
                <w:sz w:val="20"/>
                <w:szCs w:val="20"/>
                <w:color w:val="auto"/>
              </w:rPr>
            </w:pPr>
            <w:r>
              <w:rPr>
                <w:rFonts w:ascii="Arial" w:cs="Arial" w:eastAsia="Arial" w:hAnsi="Arial"/>
                <w:sz w:val="22"/>
                <w:szCs w:val="22"/>
                <w:color w:val="auto"/>
                <w:w w:val="93"/>
              </w:rPr>
              <w:t>2025</w:t>
            </w:r>
          </w:p>
        </w:tc>
        <w:tc>
          <w:tcPr>
            <w:tcW w:w="2120" w:type="dxa"/>
            <w:vAlign w:val="bottom"/>
            <w:vMerge w:val="restart"/>
          </w:tcPr>
          <w:p>
            <w:pPr>
              <w:jc w:val="right"/>
              <w:ind w:right="730"/>
              <w:spacing w:after="0"/>
              <w:rPr>
                <w:sz w:val="20"/>
                <w:szCs w:val="20"/>
                <w:color w:val="auto"/>
              </w:rPr>
            </w:pPr>
            <w:r>
              <w:rPr>
                <w:rFonts w:ascii="Arial" w:cs="Arial" w:eastAsia="Arial" w:hAnsi="Arial"/>
                <w:sz w:val="22"/>
                <w:szCs w:val="22"/>
                <w:color w:val="auto"/>
              </w:rPr>
              <w:t>2025</w:t>
            </w:r>
          </w:p>
        </w:tc>
        <w:tc>
          <w:tcPr>
            <w:tcW w:w="2040" w:type="dxa"/>
            <w:vAlign w:val="bottom"/>
            <w:vMerge w:val="restart"/>
          </w:tcPr>
          <w:p>
            <w:pPr>
              <w:jc w:val="right"/>
              <w:ind w:right="610"/>
              <w:spacing w:after="0"/>
              <w:rPr>
                <w:sz w:val="20"/>
                <w:szCs w:val="20"/>
                <w:color w:val="auto"/>
              </w:rPr>
            </w:pPr>
            <w:r>
              <w:rPr>
                <w:rFonts w:ascii="Arial" w:cs="Arial" w:eastAsia="Arial" w:hAnsi="Arial"/>
                <w:sz w:val="22"/>
                <w:szCs w:val="22"/>
                <w:color w:val="auto"/>
              </w:rPr>
              <w:t>2025</w:t>
            </w:r>
          </w:p>
        </w:tc>
        <w:tc>
          <w:tcPr>
            <w:tcW w:w="2320" w:type="dxa"/>
            <w:vAlign w:val="bottom"/>
            <w:vMerge w:val="restart"/>
          </w:tcPr>
          <w:p>
            <w:pPr>
              <w:jc w:val="right"/>
              <w:ind w:right="450"/>
              <w:spacing w:after="0"/>
              <w:rPr>
                <w:sz w:val="20"/>
                <w:szCs w:val="20"/>
                <w:color w:val="auto"/>
              </w:rPr>
            </w:pPr>
            <w:r>
              <w:rPr>
                <w:rFonts w:ascii="Arial" w:cs="Arial" w:eastAsia="Arial" w:hAnsi="Arial"/>
                <w:sz w:val="22"/>
                <w:szCs w:val="22"/>
                <w:color w:val="auto"/>
              </w:rPr>
              <w:t>2024-2025</w:t>
            </w:r>
          </w:p>
        </w:tc>
        <w:tc>
          <w:tcPr>
            <w:tcW w:w="1600" w:type="dxa"/>
            <w:vAlign w:val="bottom"/>
            <w:vMerge w:val="restart"/>
          </w:tcPr>
          <w:p>
            <w:pPr>
              <w:jc w:val="right"/>
              <w:spacing w:after="0"/>
              <w:rPr>
                <w:sz w:val="20"/>
                <w:szCs w:val="20"/>
                <w:color w:val="auto"/>
              </w:rPr>
            </w:pPr>
            <w:r>
              <w:rPr>
                <w:rFonts w:ascii="Arial" w:cs="Arial" w:eastAsia="Arial" w:hAnsi="Arial"/>
                <w:sz w:val="22"/>
                <w:szCs w:val="22"/>
                <w:color w:val="auto"/>
              </w:rPr>
              <w:t>2024-2025</w:t>
            </w:r>
          </w:p>
        </w:tc>
        <w:tc>
          <w:tcPr>
            <w:tcW w:w="0" w:type="dxa"/>
            <w:vAlign w:val="bottom"/>
          </w:tcPr>
          <w:p>
            <w:pPr>
              <w:spacing w:after="0"/>
              <w:rPr>
                <w:sz w:val="1"/>
                <w:szCs w:val="1"/>
                <w:color w:val="auto"/>
              </w:rPr>
            </w:pPr>
          </w:p>
        </w:tc>
      </w:tr>
      <w:tr>
        <w:trPr>
          <w:trHeight w:val="99"/>
        </w:trPr>
        <w:tc>
          <w:tcPr>
            <w:tcW w:w="130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tabs>
          <w:tab w:leader="none" w:pos="2400" w:val="left"/>
          <w:tab w:leader="none" w:pos="4860" w:val="left"/>
          <w:tab w:leader="none" w:pos="7040" w:val="left"/>
          <w:tab w:leader="none" w:pos="9200" w:val="left"/>
        </w:tabs>
        <w:rPr>
          <w:sz w:val="20"/>
          <w:szCs w:val="20"/>
          <w:color w:val="auto"/>
        </w:rPr>
      </w:pPr>
      <w:r>
        <w:rPr>
          <w:rFonts w:ascii="Arial" w:cs="Arial" w:eastAsia="Arial" w:hAnsi="Arial"/>
          <w:sz w:val="22"/>
          <w:szCs w:val="22"/>
          <w:color w:val="auto"/>
        </w:rPr>
        <w:t>2023-2025</w:t>
      </w:r>
      <w:r>
        <w:rPr>
          <w:sz w:val="20"/>
          <w:szCs w:val="20"/>
          <w:color w:val="auto"/>
        </w:rPr>
        <w:tab/>
      </w:r>
      <w:r>
        <w:rPr>
          <w:rFonts w:ascii="Arial" w:cs="Arial" w:eastAsia="Arial" w:hAnsi="Arial"/>
          <w:sz w:val="22"/>
          <w:szCs w:val="22"/>
          <w:color w:val="auto"/>
        </w:rPr>
        <w:t>2024-2025</w:t>
      </w:r>
      <w:r>
        <w:rPr>
          <w:sz w:val="20"/>
          <w:szCs w:val="20"/>
          <w:color w:val="auto"/>
        </w:rPr>
        <w:tab/>
      </w:r>
      <w:r>
        <w:rPr>
          <w:rFonts w:ascii="Arial" w:cs="Arial" w:eastAsia="Arial" w:hAnsi="Arial"/>
          <w:sz w:val="22"/>
          <w:szCs w:val="22"/>
          <w:color w:val="auto"/>
        </w:rPr>
        <w:t>2024</w:t>
      </w:r>
      <w:r>
        <w:rPr>
          <w:sz w:val="20"/>
          <w:szCs w:val="20"/>
          <w:color w:val="auto"/>
        </w:rPr>
        <w:tab/>
      </w:r>
      <w:r>
        <w:rPr>
          <w:rFonts w:ascii="Arial" w:cs="Arial" w:eastAsia="Arial" w:hAnsi="Arial"/>
          <w:sz w:val="22"/>
          <w:szCs w:val="22"/>
          <w:color w:val="auto"/>
        </w:rPr>
        <w:t>2024</w:t>
      </w:r>
      <w:r>
        <w:rPr>
          <w:sz w:val="20"/>
          <w:szCs w:val="20"/>
          <w:color w:val="auto"/>
        </w:rPr>
        <w:tab/>
      </w:r>
      <w:r>
        <w:rPr>
          <w:rFonts w:ascii="Arial" w:cs="Arial" w:eastAsia="Arial" w:hAnsi="Arial"/>
          <w:sz w:val="20"/>
          <w:szCs w:val="20"/>
          <w:color w:val="auto"/>
        </w:rPr>
        <w:t>2024</w:t>
      </w:r>
    </w:p>
    <w:p>
      <w:pPr>
        <w:sectPr>
          <w:pgSz w:w="11880" w:h="15481" w:orient="portrait"/>
          <w:cols w:equalWidth="0" w:num="1">
            <w:col w:w="10000"/>
          </w:cols>
          <w:pgMar w:left="720" w:top="704" w:right="1161"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0"/>
        <w:spacing w:after="0"/>
        <w:tabs>
          <w:tab w:leader="none" w:pos="2420" w:val="left"/>
        </w:tabs>
        <w:rPr>
          <w:sz w:val="20"/>
          <w:szCs w:val="20"/>
          <w:color w:val="auto"/>
        </w:rPr>
      </w:pPr>
      <w:r>
        <w:rPr>
          <w:rFonts w:ascii="Arial" w:cs="Arial" w:eastAsia="Arial" w:hAnsi="Arial"/>
          <w:sz w:val="21"/>
          <w:szCs w:val="21"/>
          <w:color w:val="auto"/>
        </w:rPr>
        <w:t>2024</w:t>
      </w:r>
      <w:r>
        <w:rPr>
          <w:sz w:val="20"/>
          <w:szCs w:val="20"/>
          <w:color w:val="auto"/>
        </w:rPr>
        <w:tab/>
      </w:r>
      <w:r>
        <w:rPr>
          <w:rFonts w:ascii="Arial" w:cs="Arial" w:eastAsia="Arial" w:hAnsi="Arial"/>
          <w:sz w:val="21"/>
          <w:szCs w:val="21"/>
          <w:color w:val="auto"/>
        </w:rPr>
        <w:t>2022-2024</w:t>
      </w:r>
    </w:p>
    <w:p>
      <w:pPr>
        <w:sectPr>
          <w:pgSz w:w="11880" w:h="15481" w:orient="portrait"/>
          <w:cols w:equalWidth="0" w:num="1">
            <w:col w:w="10000"/>
          </w:cols>
          <w:pgMar w:left="720" w:top="704" w:right="1161" w:bottom="1440"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Corporate Social Responsibility</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50"/>
          <w:szCs w:val="50"/>
          <w:b w:val="1"/>
          <w:bCs w:val="1"/>
          <w:color w:val="000005"/>
        </w:rPr>
        <w:t>Our CSR Mission</w:t>
      </w:r>
    </w:p>
    <w:p>
      <w:pPr>
        <w:spacing w:after="0" w:line="197" w:lineRule="exact"/>
        <w:rPr>
          <w:sz w:val="20"/>
          <w:szCs w:val="20"/>
          <w:color w:val="auto"/>
        </w:rPr>
      </w:pPr>
    </w:p>
    <w:p>
      <w:pPr>
        <w:ind w:left="20" w:right="220"/>
        <w:spacing w:after="0" w:line="259" w:lineRule="auto"/>
        <w:rPr>
          <w:sz w:val="20"/>
          <w:szCs w:val="20"/>
          <w:color w:val="auto"/>
        </w:rPr>
      </w:pPr>
      <w:r>
        <w:rPr>
          <w:rFonts w:ascii="Arial" w:cs="Arial" w:eastAsia="Arial" w:hAnsi="Arial"/>
          <w:sz w:val="22"/>
          <w:szCs w:val="22"/>
          <w:color w:val="000005"/>
        </w:rPr>
        <w:t>We are a socially responsible corporation committed to making meaningful impacts by fostering awareness and understanding among our employees, clients, partners, and our communities. Through collaborative efforts, we aim to create an informed, engaged, and responsible community committed to inspiring positive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28"/>
          <w:szCs w:val="28"/>
          <w:b w:val="1"/>
          <w:bCs w:val="1"/>
          <w:color w:val="000005"/>
        </w:rPr>
        <w:t>Supporting Our People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000005"/>
        </w:rPr>
        <w:t>Encouraging a holistic approach to well-being for our employees and the</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000005"/>
        </w:rPr>
        <w:t>communities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8"/>
          <w:szCs w:val="28"/>
          <w:b w:val="1"/>
          <w:bCs w:val="1"/>
          <w:color w:val="000005"/>
        </w:rPr>
        <w:t>Uplifting Our Communities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000005"/>
        </w:rPr>
        <w:t>Championing collaboration with nonprofits to uplift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8"/>
          <w:szCs w:val="28"/>
          <w:b w:val="1"/>
          <w:bCs w:val="1"/>
          <w:color w:val="000005"/>
        </w:rPr>
        <w:t>Sustainability</w:t>
      </w:r>
    </w:p>
    <w:p>
      <w:pPr>
        <w:spacing w:after="0" w:line="129" w:lineRule="exact"/>
        <w:rPr>
          <w:sz w:val="20"/>
          <w:szCs w:val="20"/>
          <w:color w:val="auto"/>
        </w:rPr>
      </w:pPr>
    </w:p>
    <w:p>
      <w:pPr>
        <w:jc w:val="center"/>
        <w:ind w:left="1120" w:right="840"/>
        <w:spacing w:after="0" w:line="298" w:lineRule="auto"/>
        <w:rPr>
          <w:sz w:val="20"/>
          <w:szCs w:val="20"/>
          <w:color w:val="auto"/>
        </w:rPr>
      </w:pPr>
      <w:r>
        <w:rPr>
          <w:rFonts w:ascii="Arial" w:cs="Arial" w:eastAsia="Arial" w:hAnsi="Arial"/>
          <w:sz w:val="24"/>
          <w:szCs w:val="24"/>
          <w:color w:val="000005"/>
        </w:rPr>
        <w:t>Promoting environmental responsibility and sustainable practices to ensure a healthier planet for future generations.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140"/>
        <w:spacing w:after="0" w:line="259" w:lineRule="auto"/>
        <w:rPr>
          <w:sz w:val="20"/>
          <w:szCs w:val="20"/>
          <w:color w:val="auto"/>
        </w:rPr>
      </w:pPr>
      <w:r>
        <w:rPr>
          <w:rFonts w:ascii="Arial" w:cs="Arial" w:eastAsia="Arial" w:hAnsi="Arial"/>
          <w:sz w:val="22"/>
          <w:szCs w:val="22"/>
          <w:color w:val="000005"/>
        </w:rPr>
        <w:t>A culture of inclusion and belonging is a fundamental aspect of our corporate social responsibility. As we expand internationally, we maintain this commitment by adhering to regionally aligned regulations, addressing social needs, and supporting relevant initiatives. Our goal is to ensure that all Paylocity employees feel valued and can thrive.</w:t>
      </w:r>
    </w:p>
    <w:p>
      <w:pPr>
        <w:sectPr>
          <w:pgSz w:w="11880" w:h="15481" w:orient="portrait"/>
          <w:cols w:equalWidth="0" w:num="1">
            <w:col w:w="10060"/>
          </w:cols>
          <w:pgMar w:left="1060" w:top="1197" w:right="761" w:bottom="748"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50"/>
          <w:szCs w:val="50"/>
          <w:b w:val="1"/>
          <w:bCs w:val="1"/>
          <w:color w:val="000005"/>
        </w:rPr>
        <w:t>Our Inclusion and Belonging Journey</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22"/>
          <w:szCs w:val="22"/>
          <w:color w:val="000005"/>
        </w:rPr>
        <w:t>We strive to create a culture of excellence that embraces all perspectives. Our progress will continue to be rooted in intentional action together. Our goal is to build the most inclusive culture possible, filled with talented and amazing people. This approach drives innovation and sustainable growth, helping us move forward as a company while also inspiring positive change in our industry and community.</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000005"/>
        </w:rPr>
        <w:t>Diversity Leadership Council (DLC)</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22"/>
          <w:szCs w:val="22"/>
          <w:color w:val="000005"/>
        </w:rPr>
        <w:t>Our DLC, established in 2020, continues to be pivotal in driving our inclusion and belonging strategies across the organization. In 2025, the DLC further strengthened its impact by supporting key employee-focused initiatives and programs across our business, including our robust network of Employee Resource Groups (ERGs). The council, composed of cross-functional department leaders and executive advisory board members, remains committed to developing and implementing company-wide inclusion and belonging strategies.</w:t>
      </w: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000005"/>
        </w:rPr>
        <w:t>Employee Resource Groups (ERG)</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22"/>
          <w:szCs w:val="22"/>
          <w:color w:val="000005"/>
        </w:rPr>
        <w:t>In 2025, our ERGs continued to spearhead initiatives aligned with their four key pillars: career development, community impact, company advancement, and culture enrichment. Led by our employees, ERGs empower our people through a wide range of initiatives, including local and virtual volunteerism, enriching cultural education programs, expert-led presentations, learning opportunities for personal and professional growth, environmental sustainability campaigns, and comprehensive wellness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Arial" w:cs="Arial" w:eastAsia="Arial" w:hAnsi="Arial"/>
          <w:sz w:val="24"/>
          <w:szCs w:val="24"/>
          <w:b w:val="1"/>
          <w:bCs w:val="1"/>
          <w:color w:val="000005"/>
        </w:rPr>
        <w:t>Progress on Corporate Social Responsibility</w:t>
      </w:r>
    </w:p>
    <w:p>
      <w:pPr>
        <w:spacing w:after="0" w:line="21" w:lineRule="exact"/>
        <w:rPr>
          <w:sz w:val="20"/>
          <w:szCs w:val="20"/>
          <w:color w:val="auto"/>
        </w:rPr>
      </w:pPr>
    </w:p>
    <w:p>
      <w:pPr>
        <w:ind w:left="560" w:right="3480"/>
        <w:spacing w:after="0" w:line="282" w:lineRule="auto"/>
        <w:rPr>
          <w:sz w:val="20"/>
          <w:szCs w:val="20"/>
          <w:color w:val="auto"/>
        </w:rPr>
      </w:pPr>
      <w:r>
        <w:rPr>
          <w:rFonts w:ascii="Arial" w:cs="Arial" w:eastAsia="Arial" w:hAnsi="Arial"/>
          <w:sz w:val="22"/>
          <w:szCs w:val="22"/>
          <w:color w:val="000005"/>
        </w:rPr>
        <w:t>Learn about the steps we’re taking to build a better tomorrow at Paylocity, in our local communities, and beyond.</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000005"/>
        </w:rPr>
        <w:t>Read our complete CSR report</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22"/>
          <w:szCs w:val="22"/>
          <w:color w:val="000005"/>
        </w:rPr>
        <w:t>Scan the QR code or visit paylocity.com/CSR</w:t>
      </w:r>
    </w:p>
    <w:p>
      <w:pPr>
        <w:sectPr>
          <w:pgSz w:w="11880" w:h="15481" w:orient="portrait"/>
          <w:cols w:equalWidth="0" w:num="1">
            <w:col w:w="10100"/>
          </w:cols>
          <w:pgMar w:left="720" w:top="1440" w:right="1061" w:bottom="1440" w:gutter="0" w:footer="0" w:header="0"/>
        </w:sectPr>
      </w:pPr>
    </w:p>
    <w:bookmarkStart w:id="8" w:name="page9"/>
    <w:bookmarkEnd w:id="8"/>
    <w:p>
      <w:pPr>
        <w:spacing w:after="0"/>
        <w:rPr>
          <w:sz w:val="20"/>
          <w:szCs w:val="20"/>
          <w:color w:val="auto"/>
        </w:rPr>
      </w:pPr>
      <w:r>
        <w:rPr>
          <w:rFonts w:ascii="Arial" w:cs="Arial" w:eastAsia="Arial" w:hAnsi="Arial"/>
          <w:sz w:val="50"/>
          <w:szCs w:val="50"/>
          <w:b w:val="1"/>
          <w:bCs w:val="1"/>
          <w:color w:val="000005"/>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Governance</w:t>
      </w:r>
    </w:p>
    <w:p>
      <w:pPr>
        <w:spacing w:after="0" w:line="197" w:lineRule="exact"/>
        <w:rPr>
          <w:sz w:val="20"/>
          <w:szCs w:val="20"/>
          <w:color w:val="auto"/>
        </w:rPr>
      </w:pPr>
    </w:p>
    <w:p>
      <w:pPr>
        <w:ind w:right="60"/>
        <w:spacing w:after="0" w:line="265" w:lineRule="auto"/>
        <w:rPr>
          <w:sz w:val="20"/>
          <w:szCs w:val="20"/>
          <w:color w:val="auto"/>
        </w:rPr>
      </w:pPr>
      <w:r>
        <w:rPr>
          <w:rFonts w:ascii="Arial" w:cs="Arial" w:eastAsia="Arial" w:hAnsi="Arial"/>
          <w:sz w:val="22"/>
          <w:szCs w:val="22"/>
          <w:color w:val="000005"/>
        </w:rPr>
        <w:t>Our responsible corporate governance is rooted in our company’s code of ethics, driven from the top down. Both our Executive Team and Board of Directors work tirelessly to create long-term value for our company and shareholders, promote transparency, and adhere to the highest ethical standards.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24"/>
          <w:szCs w:val="24"/>
          <w:b w:val="1"/>
          <w:bCs w:val="1"/>
          <w:color w:val="000005"/>
        </w:rPr>
        <w:t>Protecting Our Clients</w:t>
      </w:r>
    </w:p>
    <w:p>
      <w:pPr>
        <w:spacing w:after="0" w:line="21" w:lineRule="exact"/>
        <w:rPr>
          <w:sz w:val="20"/>
          <w:szCs w:val="20"/>
          <w:color w:val="auto"/>
        </w:rPr>
      </w:pPr>
    </w:p>
    <w:p>
      <w:pPr>
        <w:jc w:val="both"/>
        <w:ind w:left="1000" w:right="620"/>
        <w:spacing w:after="0" w:line="259" w:lineRule="auto"/>
        <w:rPr>
          <w:sz w:val="20"/>
          <w:szCs w:val="20"/>
          <w:color w:val="auto"/>
        </w:rPr>
      </w:pPr>
      <w:r>
        <w:rPr>
          <w:rFonts w:ascii="Arial" w:cs="Arial" w:eastAsia="Arial" w:hAnsi="Arial"/>
          <w:sz w:val="22"/>
          <w:szCs w:val="22"/>
          <w:color w:val="000005"/>
        </w:rPr>
        <w:t>Our customers are at the center of our decision-making, the technology we build, the infrastructure we use, and how we hire and educate our people. We treat our clients’ important and sensitive data with the utmost care, embedding security controls and practices across our operations.</w:t>
      </w:r>
    </w:p>
    <w:p>
      <w:pPr>
        <w:spacing w:after="0" w:line="201" w:lineRule="exact"/>
        <w:rPr>
          <w:sz w:val="20"/>
          <w:szCs w:val="20"/>
          <w:color w:val="auto"/>
        </w:rPr>
      </w:pPr>
    </w:p>
    <w:p>
      <w:pPr>
        <w:ind w:left="1000"/>
        <w:spacing w:after="0"/>
        <w:rPr>
          <w:sz w:val="20"/>
          <w:szCs w:val="20"/>
          <w:color w:val="auto"/>
        </w:rPr>
      </w:pPr>
      <w:r>
        <w:rPr>
          <w:rFonts w:ascii="Arial" w:cs="Arial" w:eastAsia="Arial" w:hAnsi="Arial"/>
          <w:sz w:val="24"/>
          <w:szCs w:val="24"/>
          <w:b w:val="1"/>
          <w:bCs w:val="1"/>
          <w:color w:val="000005"/>
        </w:rPr>
        <w:t>Data Security</w:t>
      </w:r>
    </w:p>
    <w:p>
      <w:pPr>
        <w:spacing w:after="0" w:line="21" w:lineRule="exact"/>
        <w:rPr>
          <w:sz w:val="20"/>
          <w:szCs w:val="20"/>
          <w:color w:val="auto"/>
        </w:rPr>
      </w:pPr>
    </w:p>
    <w:p>
      <w:pPr>
        <w:ind w:left="1000"/>
        <w:spacing w:after="0" w:line="265" w:lineRule="auto"/>
        <w:rPr>
          <w:sz w:val="20"/>
          <w:szCs w:val="20"/>
          <w:color w:val="auto"/>
        </w:rPr>
      </w:pPr>
      <w:r>
        <w:rPr>
          <w:rFonts w:ascii="Arial" w:cs="Arial" w:eastAsia="Arial" w:hAnsi="Arial"/>
          <w:sz w:val="22"/>
          <w:szCs w:val="22"/>
          <w:color w:val="000005"/>
        </w:rPr>
        <w:t>We manage critical business information and protect client data with industry-accepted solutions and practices, utilizing our enterprise-class data centers to safeguard the physical security of our data and provide consistent product uptime.</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24"/>
          <w:szCs w:val="24"/>
          <w:b w:val="1"/>
          <w:bCs w:val="1"/>
          <w:color w:val="000005"/>
        </w:rPr>
        <w:t>Data Privacy</w:t>
      </w:r>
    </w:p>
    <w:p>
      <w:pPr>
        <w:spacing w:after="0" w:line="21" w:lineRule="exact"/>
        <w:rPr>
          <w:sz w:val="20"/>
          <w:szCs w:val="20"/>
          <w:color w:val="auto"/>
        </w:rPr>
      </w:pPr>
    </w:p>
    <w:p>
      <w:pPr>
        <w:ind w:left="1000" w:right="480"/>
        <w:spacing w:after="0" w:line="259" w:lineRule="auto"/>
        <w:rPr>
          <w:sz w:val="20"/>
          <w:szCs w:val="20"/>
          <w:color w:val="auto"/>
        </w:rPr>
      </w:pPr>
      <w:r>
        <w:rPr>
          <w:rFonts w:ascii="Arial" w:cs="Arial" w:eastAsia="Arial" w:hAnsi="Arial"/>
          <w:sz w:val="22"/>
          <w:szCs w:val="22"/>
          <w:color w:val="000005"/>
        </w:rPr>
        <w:t>We’re committed to safeguarding the privacy and personal information of all our stakeholders, including our employees, contractors, and job applicants; our clients’ employees and contractors; our business partners, including client contacts, prospects, and vendors; and our website users.</w:t>
      </w:r>
    </w:p>
    <w:p>
      <w:pPr>
        <w:sectPr>
          <w:pgSz w:w="11880" w:h="15481" w:orient="portrait"/>
          <w:cols w:equalWidth="0" w:num="1">
            <w:col w:w="10020"/>
          </w:cols>
          <w:pgMar w:left="1080" w:top="704" w:right="781" w:bottom="1440" w:gutter="0" w:footer="0" w:header="0"/>
        </w:sectPr>
      </w:pPr>
    </w:p>
    <w:bookmarkStart w:id="9" w:name="page10"/>
    <w:bookmarkEnd w:id="9"/>
    <w:p>
      <w:pPr>
        <w:jc w:val="center"/>
        <w:ind w:right="280"/>
        <w:spacing w:after="0"/>
        <w:rPr>
          <w:sz w:val="20"/>
          <w:szCs w:val="20"/>
          <w:color w:val="auto"/>
        </w:rPr>
      </w:pPr>
      <w:r>
        <w:rPr>
          <w:rFonts w:ascii="Arial" w:cs="Arial" w:eastAsia="Arial" w:hAnsi="Arial"/>
          <w:sz w:val="48"/>
          <w:szCs w:val="48"/>
          <w:b w:val="1"/>
          <w:bCs w:val="1"/>
          <w:color w:val="000005"/>
        </w:rPr>
        <w:t>Financial Highlights</w:t>
      </w:r>
    </w:p>
    <w:p>
      <w:pPr>
        <w:spacing w:after="0" w:line="200" w:lineRule="exact"/>
        <w:rPr>
          <w:sz w:val="20"/>
          <w:szCs w:val="20"/>
          <w:color w:val="auto"/>
        </w:rPr>
      </w:pPr>
    </w:p>
    <w:p>
      <w:pPr>
        <w:spacing w:after="0" w:line="333"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FFFFFF"/>
        </w:rPr>
        <w:t>Long-Term Financial Targets*</w:t>
      </w:r>
    </w:p>
    <w:p>
      <w:pPr>
        <w:spacing w:after="0" w:line="247" w:lineRule="exact"/>
        <w:rPr>
          <w:sz w:val="20"/>
          <w:szCs w:val="20"/>
          <w:color w:val="auto"/>
        </w:rPr>
      </w:pPr>
    </w:p>
    <w:p>
      <w:pPr>
        <w:jc w:val="both"/>
        <w:ind w:left="60" w:right="460"/>
        <w:spacing w:after="0" w:line="309" w:lineRule="auto"/>
        <w:rPr>
          <w:sz w:val="20"/>
          <w:szCs w:val="20"/>
          <w:color w:val="auto"/>
        </w:rPr>
      </w:pPr>
      <w:r>
        <w:rPr>
          <w:rFonts w:ascii="Arial" w:cs="Arial" w:eastAsia="Arial" w:hAnsi="Arial"/>
          <w:sz w:val="20"/>
          <w:szCs w:val="20"/>
          <w:color w:val="000005"/>
        </w:rPr>
        <w:t>Increased profitability targets reflect commitment to driving greater operational efficiency over time.</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79"/>
        </w:trPr>
        <w:tc>
          <w:tcPr>
            <w:tcW w:w="3560" w:type="dxa"/>
            <w:vAlign w:val="bottom"/>
          </w:tcPr>
          <w:p>
            <w:pPr>
              <w:spacing w:after="0"/>
              <w:rPr>
                <w:sz w:val="20"/>
                <w:szCs w:val="20"/>
                <w:color w:val="auto"/>
              </w:rPr>
            </w:pPr>
            <w:r>
              <w:rPr>
                <w:rFonts w:ascii="Arial" w:cs="Arial" w:eastAsia="Arial" w:hAnsi="Arial"/>
                <w:sz w:val="20"/>
                <w:szCs w:val="20"/>
                <w:b w:val="1"/>
                <w:bCs w:val="1"/>
                <w:color w:val="000005"/>
                <w:w w:val="92"/>
              </w:rPr>
              <w:t xml:space="preserve">Total Revenue </w:t>
            </w:r>
            <w:r>
              <w:rPr>
                <w:rFonts w:ascii="Arial" w:cs="Arial" w:eastAsia="Arial" w:hAnsi="Arial"/>
                <w:sz w:val="20"/>
                <w:szCs w:val="20"/>
                <w:color w:val="000005"/>
                <w:w w:val="92"/>
              </w:rPr>
              <w:t>. . . . . . . . . . . . . . . . . . . . . .</w:t>
            </w:r>
          </w:p>
        </w:tc>
        <w:tc>
          <w:tcPr>
            <w:tcW w:w="660" w:type="dxa"/>
            <w:vAlign w:val="bottom"/>
          </w:tcPr>
          <w:p>
            <w:pPr>
              <w:spacing w:after="0"/>
              <w:rPr>
                <w:sz w:val="20"/>
                <w:szCs w:val="20"/>
                <w:color w:val="auto"/>
              </w:rPr>
            </w:pPr>
            <w:r>
              <w:rPr>
                <w:rFonts w:ascii="Arial" w:cs="Arial" w:eastAsia="Arial" w:hAnsi="Arial"/>
                <w:sz w:val="20"/>
                <w:szCs w:val="20"/>
                <w:color w:val="000005"/>
              </w:rPr>
              <w:t>$2Bn+</w:t>
            </w:r>
          </w:p>
        </w:tc>
      </w:tr>
      <w:tr>
        <w:trPr>
          <w:trHeight w:val="350"/>
        </w:trPr>
        <w:tc>
          <w:tcPr>
            <w:tcW w:w="3560" w:type="dxa"/>
            <w:vAlign w:val="bottom"/>
          </w:tcPr>
          <w:p>
            <w:pPr>
              <w:spacing w:after="0"/>
              <w:rPr>
                <w:sz w:val="20"/>
                <w:szCs w:val="20"/>
                <w:color w:val="auto"/>
              </w:rPr>
            </w:pPr>
            <w:r>
              <w:rPr>
                <w:rFonts w:ascii="Arial" w:cs="Arial" w:eastAsia="Arial" w:hAnsi="Arial"/>
                <w:sz w:val="20"/>
                <w:szCs w:val="20"/>
                <w:b w:val="1"/>
                <w:bCs w:val="1"/>
                <w:color w:val="000005"/>
                <w:w w:val="93"/>
              </w:rPr>
              <w:t xml:space="preserve">Adjusted Gross Profit  </w:t>
            </w:r>
            <w:r>
              <w:rPr>
                <w:rFonts w:ascii="Arial" w:cs="Arial" w:eastAsia="Arial" w:hAnsi="Arial"/>
                <w:sz w:val="20"/>
                <w:szCs w:val="20"/>
                <w:color w:val="000005"/>
                <w:w w:val="93"/>
              </w:rPr>
              <w:t>. . . . . . . . . . . . . . .</w:t>
            </w:r>
          </w:p>
        </w:tc>
        <w:tc>
          <w:tcPr>
            <w:tcW w:w="660" w:type="dxa"/>
            <w:vAlign w:val="bottom"/>
          </w:tcPr>
          <w:p>
            <w:pPr>
              <w:spacing w:after="0"/>
              <w:rPr>
                <w:sz w:val="20"/>
                <w:szCs w:val="20"/>
                <w:color w:val="auto"/>
              </w:rPr>
            </w:pPr>
            <w:r>
              <w:rPr>
                <w:rFonts w:ascii="Arial" w:cs="Arial" w:eastAsia="Arial" w:hAnsi="Arial"/>
                <w:sz w:val="20"/>
                <w:szCs w:val="20"/>
                <w:color w:val="000005"/>
                <w:w w:val="92"/>
              </w:rPr>
              <w:t>75-80%</w:t>
            </w:r>
          </w:p>
        </w:tc>
      </w:tr>
      <w:tr>
        <w:trPr>
          <w:trHeight w:val="350"/>
        </w:trPr>
        <w:tc>
          <w:tcPr>
            <w:tcW w:w="3560" w:type="dxa"/>
            <w:vAlign w:val="bottom"/>
          </w:tcPr>
          <w:p>
            <w:pPr>
              <w:spacing w:after="0"/>
              <w:rPr>
                <w:sz w:val="20"/>
                <w:szCs w:val="20"/>
                <w:color w:val="auto"/>
              </w:rPr>
            </w:pPr>
            <w:r>
              <w:rPr>
                <w:rFonts w:ascii="Arial" w:cs="Arial" w:eastAsia="Arial" w:hAnsi="Arial"/>
                <w:sz w:val="20"/>
                <w:szCs w:val="20"/>
                <w:b w:val="1"/>
                <w:bCs w:val="1"/>
                <w:color w:val="000005"/>
                <w:w w:val="92"/>
              </w:rPr>
              <w:t xml:space="preserve">Non-GAAP Total R&amp;D </w:t>
            </w:r>
            <w:r>
              <w:rPr>
                <w:rFonts w:ascii="Arial" w:cs="Arial" w:eastAsia="Arial" w:hAnsi="Arial"/>
                <w:sz w:val="20"/>
                <w:szCs w:val="20"/>
                <w:color w:val="000005"/>
                <w:w w:val="92"/>
              </w:rPr>
              <w:t>. . . . . . . . . . . . . . . .</w:t>
            </w:r>
          </w:p>
        </w:tc>
        <w:tc>
          <w:tcPr>
            <w:tcW w:w="660" w:type="dxa"/>
            <w:vAlign w:val="bottom"/>
          </w:tcPr>
          <w:p>
            <w:pPr>
              <w:spacing w:after="0"/>
              <w:rPr>
                <w:sz w:val="20"/>
                <w:szCs w:val="20"/>
                <w:color w:val="auto"/>
              </w:rPr>
            </w:pPr>
            <w:r>
              <w:rPr>
                <w:rFonts w:ascii="Arial" w:cs="Arial" w:eastAsia="Arial" w:hAnsi="Arial"/>
                <w:sz w:val="20"/>
                <w:szCs w:val="20"/>
                <w:color w:val="000005"/>
                <w:w w:val="92"/>
              </w:rPr>
              <w:t>10-15%</w:t>
            </w:r>
          </w:p>
        </w:tc>
      </w:tr>
      <w:tr>
        <w:trPr>
          <w:trHeight w:val="350"/>
        </w:trPr>
        <w:tc>
          <w:tcPr>
            <w:tcW w:w="3560" w:type="dxa"/>
            <w:vAlign w:val="bottom"/>
          </w:tcPr>
          <w:p>
            <w:pPr>
              <w:spacing w:after="0"/>
              <w:rPr>
                <w:sz w:val="20"/>
                <w:szCs w:val="20"/>
                <w:color w:val="auto"/>
              </w:rPr>
            </w:pPr>
            <w:r>
              <w:rPr>
                <w:rFonts w:ascii="Arial" w:cs="Arial" w:eastAsia="Arial" w:hAnsi="Arial"/>
                <w:sz w:val="20"/>
                <w:szCs w:val="20"/>
                <w:b w:val="1"/>
                <w:bCs w:val="1"/>
                <w:color w:val="000005"/>
                <w:w w:val="95"/>
              </w:rPr>
              <w:t xml:space="preserve">Non-GAAP Sales &amp; Marketing </w:t>
            </w:r>
            <w:r>
              <w:rPr>
                <w:rFonts w:ascii="Arial" w:cs="Arial" w:eastAsia="Arial" w:hAnsi="Arial"/>
                <w:sz w:val="20"/>
                <w:szCs w:val="20"/>
                <w:color w:val="000005"/>
                <w:w w:val="95"/>
              </w:rPr>
              <w:t>. . . . . . . .</w:t>
            </w:r>
          </w:p>
        </w:tc>
        <w:tc>
          <w:tcPr>
            <w:tcW w:w="660" w:type="dxa"/>
            <w:vAlign w:val="bottom"/>
          </w:tcPr>
          <w:p>
            <w:pPr>
              <w:spacing w:after="0"/>
              <w:rPr>
                <w:sz w:val="20"/>
                <w:szCs w:val="20"/>
                <w:color w:val="auto"/>
              </w:rPr>
            </w:pPr>
            <w:r>
              <w:rPr>
                <w:rFonts w:ascii="Arial" w:cs="Arial" w:eastAsia="Arial" w:hAnsi="Arial"/>
                <w:sz w:val="20"/>
                <w:szCs w:val="20"/>
                <w:color w:val="000005"/>
                <w:w w:val="92"/>
              </w:rPr>
              <w:t>20-25%</w:t>
            </w:r>
          </w:p>
        </w:tc>
      </w:tr>
      <w:tr>
        <w:trPr>
          <w:trHeight w:val="350"/>
        </w:trPr>
        <w:tc>
          <w:tcPr>
            <w:tcW w:w="3560" w:type="dxa"/>
            <w:vAlign w:val="bottom"/>
          </w:tcPr>
          <w:p>
            <w:pPr>
              <w:spacing w:after="0"/>
              <w:rPr>
                <w:sz w:val="20"/>
                <w:szCs w:val="20"/>
                <w:color w:val="auto"/>
              </w:rPr>
            </w:pPr>
            <w:r>
              <w:rPr>
                <w:rFonts w:ascii="Arial" w:cs="Arial" w:eastAsia="Arial" w:hAnsi="Arial"/>
                <w:sz w:val="20"/>
                <w:szCs w:val="20"/>
                <w:b w:val="1"/>
                <w:bCs w:val="1"/>
                <w:color w:val="000005"/>
                <w:w w:val="97"/>
              </w:rPr>
              <w:t>Non-GAAP General &amp; Administrative</w:t>
            </w:r>
            <w:r>
              <w:rPr>
                <w:rFonts w:ascii="Arial" w:cs="Arial" w:eastAsia="Arial" w:hAnsi="Arial"/>
                <w:sz w:val="20"/>
                <w:szCs w:val="20"/>
                <w:color w:val="000005"/>
                <w:w w:val="97"/>
              </w:rPr>
              <w:t>. .</w:t>
            </w:r>
          </w:p>
        </w:tc>
        <w:tc>
          <w:tcPr>
            <w:tcW w:w="660" w:type="dxa"/>
            <w:vAlign w:val="bottom"/>
          </w:tcPr>
          <w:p>
            <w:pPr>
              <w:spacing w:after="0"/>
              <w:rPr>
                <w:sz w:val="20"/>
                <w:szCs w:val="20"/>
                <w:color w:val="auto"/>
              </w:rPr>
            </w:pPr>
            <w:r>
              <w:rPr>
                <w:rFonts w:ascii="Arial" w:cs="Arial" w:eastAsia="Arial" w:hAnsi="Arial"/>
                <w:sz w:val="20"/>
                <w:szCs w:val="20"/>
                <w:color w:val="000005"/>
              </w:rPr>
              <w:t>5-10%</w:t>
            </w:r>
          </w:p>
        </w:tc>
      </w:tr>
      <w:tr>
        <w:trPr>
          <w:trHeight w:val="350"/>
        </w:trPr>
        <w:tc>
          <w:tcPr>
            <w:tcW w:w="3560" w:type="dxa"/>
            <w:vAlign w:val="bottom"/>
          </w:tcPr>
          <w:p>
            <w:pPr>
              <w:spacing w:after="0"/>
              <w:rPr>
                <w:sz w:val="20"/>
                <w:szCs w:val="20"/>
                <w:color w:val="auto"/>
              </w:rPr>
            </w:pPr>
            <w:r>
              <w:rPr>
                <w:rFonts w:ascii="Arial" w:cs="Arial" w:eastAsia="Arial" w:hAnsi="Arial"/>
                <w:sz w:val="20"/>
                <w:szCs w:val="20"/>
                <w:b w:val="1"/>
                <w:bCs w:val="1"/>
                <w:color w:val="000005"/>
                <w:w w:val="91"/>
              </w:rPr>
              <w:t xml:space="preserve">Adjusted EBITDA </w:t>
            </w:r>
            <w:r>
              <w:rPr>
                <w:rFonts w:ascii="Arial" w:cs="Arial" w:eastAsia="Arial" w:hAnsi="Arial"/>
                <w:sz w:val="20"/>
                <w:szCs w:val="20"/>
                <w:color w:val="000005"/>
                <w:w w:val="91"/>
              </w:rPr>
              <w:t>. . . . . . . . . . . . . . . . . . . .</w:t>
            </w:r>
          </w:p>
        </w:tc>
        <w:tc>
          <w:tcPr>
            <w:tcW w:w="660" w:type="dxa"/>
            <w:vAlign w:val="bottom"/>
          </w:tcPr>
          <w:p>
            <w:pPr>
              <w:spacing w:after="0"/>
              <w:rPr>
                <w:sz w:val="20"/>
                <w:szCs w:val="20"/>
                <w:color w:val="auto"/>
              </w:rPr>
            </w:pPr>
            <w:r>
              <w:rPr>
                <w:rFonts w:ascii="Arial" w:cs="Arial" w:eastAsia="Arial" w:hAnsi="Arial"/>
                <w:sz w:val="20"/>
                <w:szCs w:val="20"/>
                <w:color w:val="000005"/>
                <w:w w:val="92"/>
              </w:rPr>
              <w:t>35-40%</w:t>
            </w:r>
          </w:p>
        </w:tc>
      </w:tr>
      <w:tr>
        <w:trPr>
          <w:trHeight w:val="350"/>
        </w:trPr>
        <w:tc>
          <w:tcPr>
            <w:tcW w:w="3560" w:type="dxa"/>
            <w:vAlign w:val="bottom"/>
          </w:tcPr>
          <w:p>
            <w:pPr>
              <w:spacing w:after="0"/>
              <w:rPr>
                <w:sz w:val="20"/>
                <w:szCs w:val="20"/>
                <w:color w:val="auto"/>
              </w:rPr>
            </w:pPr>
            <w:r>
              <w:rPr>
                <w:rFonts w:ascii="Arial" w:cs="Arial" w:eastAsia="Arial" w:hAnsi="Arial"/>
                <w:sz w:val="20"/>
                <w:szCs w:val="20"/>
                <w:b w:val="1"/>
                <w:bCs w:val="1"/>
                <w:color w:val="000005"/>
                <w:w w:val="90"/>
              </w:rPr>
              <w:t xml:space="preserve">Free Cash Flow </w:t>
            </w:r>
            <w:r>
              <w:rPr>
                <w:rFonts w:ascii="Arial" w:cs="Arial" w:eastAsia="Arial" w:hAnsi="Arial"/>
                <w:sz w:val="20"/>
                <w:szCs w:val="20"/>
                <w:color w:val="000005"/>
                <w:w w:val="90"/>
              </w:rPr>
              <w:t>. . . . . . . . . . . . . . . . . . . . . .</w:t>
            </w:r>
          </w:p>
        </w:tc>
        <w:tc>
          <w:tcPr>
            <w:tcW w:w="660" w:type="dxa"/>
            <w:vAlign w:val="bottom"/>
          </w:tcPr>
          <w:p>
            <w:pPr>
              <w:spacing w:after="0"/>
              <w:rPr>
                <w:sz w:val="20"/>
                <w:szCs w:val="20"/>
                <w:color w:val="auto"/>
              </w:rPr>
            </w:pPr>
            <w:r>
              <w:rPr>
                <w:rFonts w:ascii="Arial" w:cs="Arial" w:eastAsia="Arial" w:hAnsi="Arial"/>
                <w:sz w:val="20"/>
                <w:szCs w:val="20"/>
                <w:color w:val="000005"/>
                <w:w w:val="92"/>
              </w:rPr>
              <w:t>20-25%</w:t>
            </w:r>
          </w:p>
        </w:tc>
      </w:tr>
      <w:tr>
        <w:trPr>
          <w:trHeight w:val="350"/>
        </w:trPr>
        <w:tc>
          <w:tcPr>
            <w:tcW w:w="3560" w:type="dxa"/>
            <w:vAlign w:val="bottom"/>
          </w:tcPr>
          <w:p>
            <w:pPr>
              <w:spacing w:after="0"/>
              <w:rPr>
                <w:sz w:val="20"/>
                <w:szCs w:val="20"/>
                <w:color w:val="auto"/>
              </w:rPr>
            </w:pPr>
            <w:r>
              <w:rPr>
                <w:rFonts w:ascii="Arial" w:cs="Arial" w:eastAsia="Arial" w:hAnsi="Arial"/>
                <w:sz w:val="20"/>
                <w:szCs w:val="20"/>
                <w:b w:val="1"/>
                <w:bCs w:val="1"/>
                <w:color w:val="000005"/>
                <w:w w:val="93"/>
              </w:rPr>
              <w:t xml:space="preserve">Stock-Based Compensation </w:t>
            </w:r>
            <w:r>
              <w:rPr>
                <w:rFonts w:ascii="Arial" w:cs="Arial" w:eastAsia="Arial" w:hAnsi="Arial"/>
                <w:sz w:val="20"/>
                <w:szCs w:val="20"/>
                <w:color w:val="000005"/>
                <w:w w:val="93"/>
              </w:rPr>
              <w:t>. . . . . . . . . .</w:t>
            </w:r>
          </w:p>
        </w:tc>
        <w:tc>
          <w:tcPr>
            <w:tcW w:w="660" w:type="dxa"/>
            <w:vAlign w:val="bottom"/>
          </w:tcPr>
          <w:p>
            <w:pPr>
              <w:spacing w:after="0"/>
              <w:rPr>
                <w:sz w:val="20"/>
                <w:szCs w:val="20"/>
                <w:color w:val="auto"/>
              </w:rPr>
            </w:pPr>
            <w:r>
              <w:rPr>
                <w:rFonts w:ascii="Arial" w:cs="Arial" w:eastAsia="Arial" w:hAnsi="Arial"/>
                <w:sz w:val="20"/>
                <w:szCs w:val="20"/>
                <w:color w:val="000005"/>
              </w:rPr>
              <w:t>&lt;10%</w:t>
            </w:r>
          </w:p>
        </w:tc>
      </w:tr>
    </w:tbl>
    <w:p>
      <w:pPr>
        <w:spacing w:after="0" w:line="263" w:lineRule="exact"/>
        <w:rPr>
          <w:sz w:val="20"/>
          <w:szCs w:val="20"/>
          <w:color w:val="auto"/>
        </w:rPr>
      </w:pPr>
    </w:p>
    <w:p>
      <w:pPr>
        <w:jc w:val="both"/>
        <w:ind w:left="60" w:right="740"/>
        <w:spacing w:after="0" w:line="300" w:lineRule="auto"/>
        <w:rPr>
          <w:sz w:val="20"/>
          <w:szCs w:val="20"/>
          <w:color w:val="auto"/>
        </w:rPr>
      </w:pPr>
      <w:r>
        <w:rPr>
          <w:rFonts w:ascii="Arial" w:cs="Arial" w:eastAsia="Arial" w:hAnsi="Arial"/>
          <w:sz w:val="20"/>
          <w:szCs w:val="20"/>
          <w:color w:val="000005"/>
        </w:rPr>
        <w:t>Note: Financial targets based on percentage of total revenue.</w:t>
      </w:r>
    </w:p>
    <w:p>
      <w:pPr>
        <w:spacing w:after="0"/>
        <w:rPr>
          <w:sz w:val="20"/>
          <w:szCs w:val="20"/>
          <w:color w:val="auto"/>
        </w:rPr>
      </w:pPr>
      <w:r>
        <w:rPr>
          <w:sz w:val="1"/>
          <w:szCs w:val="1"/>
          <w:color w:val="auto"/>
        </w:rPr>
        <w:drawing>
          <wp:inline distT="0" distB="0" distL="0" distR="0">
            <wp:extent cx="229235" cy="200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9235" cy="200025"/>
                    </a:xfrm>
                    <a:prstGeom prst="rect">
                      <a:avLst/>
                    </a:prstGeom>
                    <a:noFill/>
                    <a:ln>
                      <a:noFill/>
                    </a:ln>
                  </pic:spPr>
                </pic:pic>
              </a:graphicData>
            </a:graphic>
          </wp:inline>
        </w:drawing>
      </w:r>
      <w:r>
        <w:rPr>
          <w:rFonts w:ascii="Arial" w:cs="Arial" w:eastAsia="Arial" w:hAnsi="Arial"/>
          <w:sz w:val="20"/>
          <w:szCs w:val="20"/>
          <w:color w:val="000005"/>
        </w:rPr>
        <w:t>Progress against financial target</w:t>
      </w:r>
    </w:p>
    <w:p>
      <w:pPr>
        <w:spacing w:after="0" w:line="340" w:lineRule="exact"/>
        <w:rPr>
          <w:sz w:val="20"/>
          <w:szCs w:val="20"/>
          <w:color w:val="auto"/>
        </w:rPr>
      </w:pPr>
    </w:p>
    <w:p>
      <w:pPr>
        <w:ind w:left="260"/>
        <w:spacing w:after="0"/>
        <w:rPr>
          <w:sz w:val="20"/>
          <w:szCs w:val="20"/>
          <w:color w:val="auto"/>
        </w:rPr>
      </w:pPr>
      <w:r>
        <w:rPr>
          <w:rFonts w:ascii="Arial" w:cs="Arial" w:eastAsia="Arial" w:hAnsi="Arial"/>
          <w:sz w:val="24"/>
          <w:szCs w:val="24"/>
          <w:b w:val="1"/>
          <w:bCs w:val="1"/>
          <w:color w:val="FFFFFF"/>
        </w:rPr>
        <w:t xml:space="preserve">Free Cash Flow </w:t>
      </w:r>
      <w:r>
        <w:rPr>
          <w:rFonts w:ascii="Arial" w:cs="Arial" w:eastAsia="Arial" w:hAnsi="Arial"/>
          <w:sz w:val="16"/>
          <w:szCs w:val="16"/>
          <w:color w:val="FFFFFF"/>
        </w:rPr>
        <w:t>$ Millions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excluding interest income on funds held for clients*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40"/>
        <w:spacing w:after="0"/>
        <w:rPr>
          <w:sz w:val="20"/>
          <w:szCs w:val="20"/>
          <w:color w:val="auto"/>
        </w:rPr>
      </w:pPr>
      <w:r>
        <w:rPr>
          <w:rFonts w:ascii="Arial" w:cs="Arial" w:eastAsia="Arial" w:hAnsi="Arial"/>
          <w:sz w:val="24"/>
          <w:szCs w:val="24"/>
          <w:b w:val="1"/>
          <w:bCs w:val="1"/>
          <w:color w:val="FFFFFF"/>
        </w:rPr>
        <w:t xml:space="preserve">Revenue </w:t>
      </w:r>
      <w:r>
        <w:rPr>
          <w:rFonts w:ascii="Arial" w:cs="Arial" w:eastAsia="Arial" w:hAnsi="Arial"/>
          <w:sz w:val="16"/>
          <w:szCs w:val="16"/>
          <w:color w:val="FFFFFF"/>
        </w:rPr>
        <w:t>$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-1310640</wp:posOffset>
            </wp:positionV>
            <wp:extent cx="7544435" cy="9830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60"/>
        <w:spacing w:after="0"/>
        <w:rPr>
          <w:sz w:val="20"/>
          <w:szCs w:val="20"/>
          <w:color w:val="auto"/>
        </w:rPr>
      </w:pPr>
      <w:r>
        <w:rPr>
          <w:rFonts w:ascii="Arial" w:cs="Arial" w:eastAsia="Arial" w:hAnsi="Arial"/>
          <w:sz w:val="20"/>
          <w:szCs w:val="20"/>
          <w:color w:val="000005"/>
        </w:rPr>
        <w:t>23%CAGR</w:t>
      </w:r>
    </w:p>
    <w:p>
      <w:pPr>
        <w:spacing w:after="0" w:line="112" w:lineRule="exact"/>
        <w:rPr>
          <w:sz w:val="20"/>
          <w:szCs w:val="20"/>
          <w:color w:val="auto"/>
        </w:rPr>
      </w:pPr>
    </w:p>
    <w:p>
      <w:pPr>
        <w:ind w:left="2820"/>
        <w:spacing w:after="0"/>
        <w:rPr>
          <w:sz w:val="20"/>
          <w:szCs w:val="20"/>
          <w:color w:val="auto"/>
        </w:rPr>
      </w:pPr>
      <w:r>
        <w:rPr>
          <w:sz w:val="1"/>
          <w:szCs w:val="1"/>
          <w:color w:val="auto"/>
        </w:rPr>
        <w:drawing>
          <wp:inline distT="0" distB="0" distL="0" distR="0">
            <wp:extent cx="154940" cy="1479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940" cy="147955"/>
                    </a:xfrm>
                    <a:prstGeom prst="rect">
                      <a:avLst/>
                    </a:prstGeom>
                    <a:noFill/>
                    <a:ln>
                      <a:noFill/>
                    </a:ln>
                  </pic:spPr>
                </pic:pic>
              </a:graphicData>
            </a:graphic>
          </wp:inline>
        </w:drawing>
      </w:r>
      <w:r>
        <w:rPr>
          <w:rFonts w:ascii="Arial" w:cs="Arial" w:eastAsia="Arial" w:hAnsi="Arial"/>
          <w:sz w:val="16"/>
          <w:szCs w:val="16"/>
          <w:color w:val="756F73"/>
        </w:rPr>
        <w:t>14%</w:t>
      </w:r>
    </w:p>
    <w:p>
      <w:pPr>
        <w:ind w:left="1760"/>
        <w:spacing w:after="0"/>
        <w:tabs>
          <w:tab w:leader="none" w:pos="2460" w:val="left"/>
        </w:tabs>
        <w:rPr>
          <w:sz w:val="20"/>
          <w:szCs w:val="20"/>
          <w:color w:val="auto"/>
        </w:rPr>
      </w:pPr>
      <w:r>
        <w:rPr>
          <w:sz w:val="1"/>
          <w:szCs w:val="1"/>
          <w:color w:val="auto"/>
        </w:rPr>
        <w:drawing>
          <wp:inline distT="0" distB="0" distL="0" distR="0">
            <wp:extent cx="154940" cy="1479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940" cy="147955"/>
                    </a:xfrm>
                    <a:prstGeom prst="rect">
                      <a:avLst/>
                    </a:prstGeom>
                    <a:noFill/>
                    <a:ln>
                      <a:noFill/>
                    </a:ln>
                  </pic:spPr>
                </pic:pic>
              </a:graphicData>
            </a:graphic>
          </wp:inline>
        </w:drawing>
      </w:r>
      <w:r>
        <w:rPr>
          <w:rFonts w:ascii="Arial" w:cs="Arial" w:eastAsia="Arial" w:hAnsi="Arial"/>
          <w:sz w:val="33"/>
          <w:szCs w:val="33"/>
          <w:color w:val="756F73"/>
          <w:vertAlign w:val="subscript"/>
        </w:rPr>
        <w:t>19%</w:t>
      </w:r>
      <w:r>
        <w:rPr>
          <w:sz w:val="20"/>
          <w:szCs w:val="20"/>
          <w:color w:val="auto"/>
        </w:rPr>
        <w:tab/>
      </w:r>
      <w:r>
        <w:rPr>
          <w:rFonts w:ascii="Arial" w:cs="Arial" w:eastAsia="Arial" w:hAnsi="Arial"/>
          <w:sz w:val="16"/>
          <w:szCs w:val="16"/>
          <w:color w:val="756F73"/>
        </w:rPr>
        <w:t>YoY growth</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6"/>
          <w:szCs w:val="16"/>
          <w:color w:val="756F73"/>
        </w:rPr>
        <w:t>YoY growth</w:t>
      </w:r>
    </w:p>
    <w:p>
      <w:pPr>
        <w:ind w:left="620"/>
        <w:spacing w:after="0"/>
        <w:rPr>
          <w:sz w:val="20"/>
          <w:szCs w:val="20"/>
          <w:color w:val="auto"/>
        </w:rPr>
      </w:pPr>
      <w:r>
        <w:rPr>
          <w:sz w:val="1"/>
          <w:szCs w:val="1"/>
          <w:color w:val="auto"/>
        </w:rPr>
        <w:drawing>
          <wp:inline distT="0" distB="0" distL="0" distR="0">
            <wp:extent cx="154940" cy="133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940" cy="133350"/>
                    </a:xfrm>
                    <a:prstGeom prst="rect">
                      <a:avLst/>
                    </a:prstGeom>
                    <a:noFill/>
                    <a:ln>
                      <a:noFill/>
                    </a:ln>
                  </pic:spPr>
                </pic:pic>
              </a:graphicData>
            </a:graphic>
          </wp:inline>
        </w:drawing>
      </w:r>
      <w:r>
        <w:rPr>
          <w:rFonts w:ascii="Arial" w:cs="Arial" w:eastAsia="Arial" w:hAnsi="Arial"/>
          <w:sz w:val="16"/>
          <w:szCs w:val="16"/>
          <w:color w:val="756F73"/>
        </w:rPr>
        <w:t>38%</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6"/>
          <w:szCs w:val="16"/>
          <w:color w:val="756F73"/>
        </w:rPr>
        <w:t>YoY growth</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635"/>
        </w:trPr>
        <w:tc>
          <w:tcPr>
            <w:tcW w:w="500" w:type="dxa"/>
            <w:vAlign w:val="bottom"/>
            <w:textDirection w:val="btLr"/>
          </w:tcPr>
          <w:p>
            <w:pPr>
              <w:spacing w:after="0"/>
              <w:rPr>
                <w:sz w:val="20"/>
                <w:szCs w:val="20"/>
                <w:color w:val="auto"/>
              </w:rPr>
            </w:pPr>
            <w:r>
              <w:rPr>
                <w:rFonts w:ascii="Arial" w:cs="Arial" w:eastAsia="Arial" w:hAnsi="Arial"/>
                <w:sz w:val="20"/>
                <w:szCs w:val="20"/>
                <w:b w:val="1"/>
                <w:bCs w:val="1"/>
                <w:color w:val="FFFFFF"/>
              </w:rPr>
              <w:t>$848</w:t>
            </w:r>
          </w:p>
        </w:tc>
        <w:tc>
          <w:tcPr>
            <w:tcW w:w="540" w:type="dxa"/>
            <w:vAlign w:val="bottom"/>
            <w:textDirection w:val="btLr"/>
          </w:tcPr>
          <w:p>
            <w:pPr>
              <w:ind w:right="62"/>
              <w:spacing w:after="0"/>
              <w:rPr>
                <w:sz w:val="20"/>
                <w:szCs w:val="20"/>
                <w:color w:val="auto"/>
              </w:rPr>
            </w:pPr>
            <w:r>
              <w:rPr>
                <w:rFonts w:ascii="Arial" w:cs="Arial" w:eastAsia="Arial" w:hAnsi="Arial"/>
                <w:sz w:val="20"/>
                <w:szCs w:val="20"/>
                <w:b w:val="1"/>
                <w:bCs w:val="1"/>
                <w:color w:val="FFFFFF"/>
              </w:rPr>
              <w:t>$853</w:t>
            </w:r>
          </w:p>
        </w:tc>
        <w:tc>
          <w:tcPr>
            <w:tcW w:w="540" w:type="dxa"/>
            <w:vAlign w:val="bottom"/>
            <w:textDirection w:val="btLr"/>
          </w:tcPr>
          <w:p>
            <w:pPr>
              <w:spacing w:after="0"/>
              <w:rPr>
                <w:sz w:val="20"/>
                <w:szCs w:val="20"/>
                <w:color w:val="auto"/>
              </w:rPr>
            </w:pPr>
            <w:r>
              <w:rPr>
                <w:rFonts w:ascii="Arial" w:cs="Arial" w:eastAsia="Arial" w:hAnsi="Arial"/>
                <w:sz w:val="20"/>
                <w:szCs w:val="20"/>
                <w:b w:val="1"/>
                <w:bCs w:val="1"/>
                <w:color w:val="FFFFFF"/>
              </w:rPr>
              <w:t>$1,098</w:t>
            </w:r>
          </w:p>
        </w:tc>
        <w:tc>
          <w:tcPr>
            <w:tcW w:w="540" w:type="dxa"/>
            <w:vAlign w:val="bottom"/>
            <w:textDirection w:val="btLr"/>
          </w:tcPr>
          <w:p>
            <w:pPr>
              <w:ind w:right="56"/>
              <w:spacing w:after="0"/>
              <w:rPr>
                <w:sz w:val="20"/>
                <w:szCs w:val="20"/>
                <w:color w:val="auto"/>
              </w:rPr>
            </w:pPr>
            <w:r>
              <w:rPr>
                <w:rFonts w:ascii="Arial" w:cs="Arial" w:eastAsia="Arial" w:hAnsi="Arial"/>
                <w:sz w:val="20"/>
                <w:szCs w:val="20"/>
                <w:b w:val="1"/>
                <w:bCs w:val="1"/>
                <w:color w:val="FFFFFF"/>
                <w:w w:val="91"/>
              </w:rPr>
              <w:t>$1,175</w:t>
            </w:r>
          </w:p>
        </w:tc>
        <w:tc>
          <w:tcPr>
            <w:tcW w:w="540" w:type="dxa"/>
            <w:vAlign w:val="bottom"/>
            <w:textDirection w:val="btLr"/>
          </w:tcPr>
          <w:p>
            <w:pPr>
              <w:spacing w:after="0"/>
              <w:rPr>
                <w:sz w:val="20"/>
                <w:szCs w:val="20"/>
                <w:color w:val="auto"/>
              </w:rPr>
            </w:pPr>
            <w:r>
              <w:rPr>
                <w:rFonts w:ascii="Arial" w:cs="Arial" w:eastAsia="Arial" w:hAnsi="Arial"/>
                <w:sz w:val="20"/>
                <w:szCs w:val="20"/>
                <w:b w:val="1"/>
                <w:bCs w:val="1"/>
                <w:color w:val="FFFFFF"/>
                <w:w w:val="98"/>
              </w:rPr>
              <w:t>$1,282</w:t>
            </w:r>
          </w:p>
        </w:tc>
        <w:tc>
          <w:tcPr>
            <w:tcW w:w="540" w:type="dxa"/>
            <w:vAlign w:val="bottom"/>
            <w:textDirection w:val="btLr"/>
          </w:tcPr>
          <w:p>
            <w:pPr>
              <w:ind w:right="56"/>
              <w:spacing w:after="0"/>
              <w:rPr>
                <w:sz w:val="20"/>
                <w:szCs w:val="20"/>
                <w:color w:val="auto"/>
              </w:rPr>
            </w:pPr>
            <w:r>
              <w:rPr>
                <w:rFonts w:ascii="Arial" w:cs="Arial" w:eastAsia="Arial" w:hAnsi="Arial"/>
                <w:sz w:val="20"/>
                <w:szCs w:val="20"/>
                <w:b w:val="1"/>
                <w:bCs w:val="1"/>
                <w:color w:val="FFFFFF"/>
                <w:w w:val="98"/>
              </w:rPr>
              <w:t>$1,403</w:t>
            </w:r>
          </w:p>
        </w:tc>
        <w:tc>
          <w:tcPr>
            <w:tcW w:w="540" w:type="dxa"/>
            <w:vAlign w:val="bottom"/>
            <w:textDirection w:val="btLr"/>
          </w:tcPr>
          <w:p>
            <w:pPr>
              <w:spacing w:after="0"/>
              <w:rPr>
                <w:sz w:val="20"/>
                <w:szCs w:val="20"/>
                <w:color w:val="auto"/>
              </w:rPr>
            </w:pPr>
            <w:r>
              <w:rPr>
                <w:rFonts w:ascii="Arial" w:cs="Arial" w:eastAsia="Arial" w:hAnsi="Arial"/>
                <w:sz w:val="20"/>
                <w:szCs w:val="20"/>
                <w:b w:val="1"/>
                <w:bCs w:val="1"/>
                <w:color w:val="FFFFFF"/>
                <w:w w:val="95"/>
              </w:rPr>
              <w:t>$ 1,472</w:t>
            </w:r>
          </w:p>
        </w:tc>
        <w:tc>
          <w:tcPr>
            <w:tcW w:w="580" w:type="dxa"/>
            <w:vAlign w:val="bottom"/>
            <w:textDirection w:val="btLr"/>
          </w:tcPr>
          <w:p>
            <w:pPr>
              <w:ind w:right="97"/>
              <w:spacing w:after="0"/>
              <w:rPr>
                <w:sz w:val="20"/>
                <w:szCs w:val="20"/>
                <w:color w:val="auto"/>
              </w:rPr>
            </w:pPr>
            <w:r>
              <w:rPr>
                <w:rFonts w:ascii="Arial" w:cs="Arial" w:eastAsia="Arial" w:hAnsi="Arial"/>
                <w:sz w:val="20"/>
                <w:szCs w:val="20"/>
                <w:b w:val="1"/>
                <w:bCs w:val="1"/>
                <w:color w:val="FFFFFF"/>
                <w:w w:val="98"/>
              </w:rPr>
              <w:t>$1,595</w:t>
            </w:r>
          </w:p>
        </w:tc>
      </w:tr>
      <w:tr>
        <w:trPr>
          <w:trHeight w:val="261"/>
        </w:trPr>
        <w:tc>
          <w:tcPr>
            <w:tcW w:w="1040" w:type="dxa"/>
            <w:vAlign w:val="bottom"/>
            <w:tcBorders>
              <w:bottom w:val="single" w:sz="8" w:color="000005"/>
            </w:tcBorders>
            <w:gridSpan w:val="2"/>
          </w:tcPr>
          <w:p>
            <w:pPr>
              <w:spacing w:after="0"/>
              <w:rPr>
                <w:sz w:val="22"/>
                <w:szCs w:val="22"/>
                <w:color w:val="auto"/>
              </w:rPr>
            </w:pPr>
          </w:p>
        </w:tc>
        <w:tc>
          <w:tcPr>
            <w:tcW w:w="1080" w:type="dxa"/>
            <w:vAlign w:val="bottom"/>
            <w:tcBorders>
              <w:bottom w:val="single" w:sz="8" w:color="000005"/>
            </w:tcBorders>
            <w:gridSpan w:val="2"/>
          </w:tcPr>
          <w:p>
            <w:pPr>
              <w:spacing w:after="0"/>
              <w:rPr>
                <w:sz w:val="22"/>
                <w:szCs w:val="22"/>
                <w:color w:val="auto"/>
              </w:rPr>
            </w:pPr>
          </w:p>
        </w:tc>
        <w:tc>
          <w:tcPr>
            <w:tcW w:w="1080" w:type="dxa"/>
            <w:vAlign w:val="bottom"/>
            <w:tcBorders>
              <w:bottom w:val="single" w:sz="8" w:color="000005"/>
            </w:tcBorders>
            <w:gridSpan w:val="2"/>
          </w:tcPr>
          <w:p>
            <w:pPr>
              <w:spacing w:after="0"/>
              <w:rPr>
                <w:sz w:val="22"/>
                <w:szCs w:val="22"/>
                <w:color w:val="auto"/>
              </w:rPr>
            </w:pPr>
          </w:p>
        </w:tc>
        <w:tc>
          <w:tcPr>
            <w:tcW w:w="1120" w:type="dxa"/>
            <w:vAlign w:val="bottom"/>
            <w:tcBorders>
              <w:bottom w:val="single" w:sz="8" w:color="000005"/>
            </w:tcBorders>
            <w:gridSpan w:val="2"/>
          </w:tcPr>
          <w:p>
            <w:pPr>
              <w:spacing w:after="0"/>
              <w:rPr>
                <w:sz w:val="22"/>
                <w:szCs w:val="22"/>
                <w:color w:val="auto"/>
              </w:rPr>
            </w:pPr>
          </w:p>
        </w:tc>
      </w:tr>
      <w:tr>
        <w:trPr>
          <w:trHeight w:val="279"/>
        </w:trPr>
        <w:tc>
          <w:tcPr>
            <w:tcW w:w="1040" w:type="dxa"/>
            <w:vAlign w:val="bottom"/>
            <w:gridSpan w:val="2"/>
          </w:tcPr>
          <w:p>
            <w:pPr>
              <w:jc w:val="right"/>
              <w:ind w:right="158"/>
              <w:spacing w:after="0"/>
              <w:rPr>
                <w:sz w:val="20"/>
                <w:szCs w:val="20"/>
                <w:color w:val="auto"/>
              </w:rPr>
            </w:pPr>
            <w:r>
              <w:rPr>
                <w:rFonts w:ascii="Arial" w:cs="Arial" w:eastAsia="Arial" w:hAnsi="Arial"/>
                <w:sz w:val="20"/>
                <w:szCs w:val="20"/>
                <w:b w:val="1"/>
                <w:bCs w:val="1"/>
                <w:color w:val="756F73"/>
              </w:rPr>
              <w:t>FY22</w:t>
            </w:r>
          </w:p>
        </w:tc>
        <w:tc>
          <w:tcPr>
            <w:tcW w:w="1080" w:type="dxa"/>
            <w:vAlign w:val="bottom"/>
            <w:gridSpan w:val="2"/>
          </w:tcPr>
          <w:p>
            <w:pPr>
              <w:jc w:val="right"/>
              <w:ind w:right="178"/>
              <w:spacing w:after="0"/>
              <w:rPr>
                <w:sz w:val="20"/>
                <w:szCs w:val="20"/>
                <w:color w:val="auto"/>
              </w:rPr>
            </w:pPr>
            <w:r>
              <w:rPr>
                <w:rFonts w:ascii="Arial" w:cs="Arial" w:eastAsia="Arial" w:hAnsi="Arial"/>
                <w:sz w:val="20"/>
                <w:szCs w:val="20"/>
                <w:b w:val="1"/>
                <w:bCs w:val="1"/>
                <w:color w:val="756F73"/>
              </w:rPr>
              <w:t>FY23</w:t>
            </w:r>
          </w:p>
        </w:tc>
        <w:tc>
          <w:tcPr>
            <w:tcW w:w="1080" w:type="dxa"/>
            <w:vAlign w:val="bottom"/>
            <w:gridSpan w:val="2"/>
          </w:tcPr>
          <w:p>
            <w:pPr>
              <w:jc w:val="right"/>
              <w:ind w:right="158"/>
              <w:spacing w:after="0"/>
              <w:rPr>
                <w:sz w:val="20"/>
                <w:szCs w:val="20"/>
                <w:color w:val="auto"/>
              </w:rPr>
            </w:pPr>
            <w:r>
              <w:rPr>
                <w:rFonts w:ascii="Arial" w:cs="Arial" w:eastAsia="Arial" w:hAnsi="Arial"/>
                <w:sz w:val="20"/>
                <w:szCs w:val="20"/>
                <w:b w:val="1"/>
                <w:bCs w:val="1"/>
                <w:color w:val="756F73"/>
              </w:rPr>
              <w:t>FY24</w:t>
            </w:r>
          </w:p>
        </w:tc>
        <w:tc>
          <w:tcPr>
            <w:tcW w:w="1120" w:type="dxa"/>
            <w:vAlign w:val="bottom"/>
            <w:gridSpan w:val="2"/>
          </w:tcPr>
          <w:p>
            <w:pPr>
              <w:jc w:val="right"/>
              <w:ind w:right="198"/>
              <w:spacing w:after="0"/>
              <w:rPr>
                <w:sz w:val="20"/>
                <w:szCs w:val="20"/>
                <w:color w:val="auto"/>
              </w:rPr>
            </w:pPr>
            <w:r>
              <w:rPr>
                <w:rFonts w:ascii="Arial" w:cs="Arial" w:eastAsia="Arial" w:hAnsi="Arial"/>
                <w:sz w:val="20"/>
                <w:szCs w:val="20"/>
                <w:b w:val="1"/>
                <w:bCs w:val="1"/>
                <w:color w:val="756F73"/>
              </w:rPr>
              <w:t>FY25</w:t>
            </w:r>
          </w:p>
        </w:tc>
      </w:tr>
    </w:tbl>
    <w:p>
      <w:pPr>
        <w:spacing w:after="0" w:line="211" w:lineRule="exact"/>
        <w:rPr>
          <w:sz w:val="20"/>
          <w:szCs w:val="20"/>
          <w:color w:val="auto"/>
        </w:rPr>
      </w:pPr>
    </w:p>
    <w:tbl>
      <w:tblPr>
        <w:tblLayout w:type="fixed"/>
        <w:tblInd w:w="840" w:type="dxa"/>
        <w:tblCellMar>
          <w:top w:w="0" w:type="dxa"/>
          <w:left w:w="0" w:type="dxa"/>
          <w:bottom w:w="0" w:type="dxa"/>
          <w:right w:w="0" w:type="dxa"/>
        </w:tblCellMar>
      </w:tblPr>
      <w:tr>
        <w:trPr>
          <w:trHeight w:val="214"/>
        </w:trPr>
        <w:tc>
          <w:tcPr>
            <w:tcW w:w="1500" w:type="dxa"/>
            <w:vAlign w:val="bottom"/>
          </w:tcPr>
          <w:p>
            <w:pPr>
              <w:spacing w:after="0"/>
              <w:rPr>
                <w:sz w:val="20"/>
                <w:szCs w:val="20"/>
                <w:color w:val="auto"/>
              </w:rPr>
            </w:pPr>
            <w:r>
              <w:rPr>
                <w:rFonts w:ascii="Arial" w:cs="Arial" w:eastAsia="Arial" w:hAnsi="Arial"/>
                <w:sz w:val="16"/>
                <w:szCs w:val="16"/>
                <w:color w:val="756F73"/>
              </w:rPr>
              <w:t>Recurring and</w:t>
            </w:r>
          </w:p>
        </w:tc>
        <w:tc>
          <w:tcPr>
            <w:tcW w:w="1440" w:type="dxa"/>
            <w:vAlign w:val="bottom"/>
            <w:vMerge w:val="restart"/>
          </w:tcPr>
          <w:p>
            <w:pPr>
              <w:ind w:left="400"/>
              <w:spacing w:after="0"/>
              <w:rPr>
                <w:sz w:val="20"/>
                <w:szCs w:val="20"/>
                <w:color w:val="auto"/>
              </w:rPr>
            </w:pPr>
            <w:r>
              <w:rPr>
                <w:rFonts w:ascii="Arial" w:cs="Arial" w:eastAsia="Arial" w:hAnsi="Arial"/>
                <w:sz w:val="16"/>
                <w:szCs w:val="16"/>
                <w:color w:val="756F73"/>
                <w:w w:val="97"/>
              </w:rPr>
              <w:t>Total Revenue</w:t>
            </w:r>
          </w:p>
        </w:tc>
        <w:tc>
          <w:tcPr>
            <w:tcW w:w="0" w:type="dxa"/>
            <w:vAlign w:val="bottom"/>
          </w:tcPr>
          <w:p>
            <w:pPr>
              <w:spacing w:after="0"/>
              <w:rPr>
                <w:sz w:val="1"/>
                <w:szCs w:val="1"/>
                <w:color w:val="auto"/>
              </w:rPr>
            </w:pPr>
          </w:p>
        </w:tc>
      </w:tr>
      <w:tr>
        <w:trPr>
          <w:trHeight w:val="112"/>
        </w:trPr>
        <w:tc>
          <w:tcPr>
            <w:tcW w:w="1500" w:type="dxa"/>
            <w:vAlign w:val="bottom"/>
            <w:vMerge w:val="restart"/>
          </w:tcPr>
          <w:p>
            <w:pPr>
              <w:spacing w:after="0"/>
              <w:rPr>
                <w:sz w:val="20"/>
                <w:szCs w:val="20"/>
                <w:color w:val="auto"/>
              </w:rPr>
            </w:pPr>
            <w:r>
              <w:rPr>
                <w:rFonts w:ascii="Arial" w:cs="Arial" w:eastAsia="Arial" w:hAnsi="Arial"/>
                <w:sz w:val="16"/>
                <w:szCs w:val="16"/>
                <w:color w:val="756F73"/>
              </w:rPr>
              <w:t>Other Revenue</w:t>
            </w: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FFFFFF"/>
        </w:rPr>
        <w:t xml:space="preserve">Adjusted EBITDA </w:t>
      </w:r>
      <w:r>
        <w:rPr>
          <w:rFonts w:ascii="Arial" w:cs="Arial" w:eastAsia="Arial" w:hAnsi="Arial"/>
          <w:sz w:val="16"/>
          <w:szCs w:val="16"/>
          <w:color w:val="FFFFFF"/>
        </w:rPr>
        <w:t>$ Millions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excluding interest income on funds held for clients*</w:t>
      </w:r>
    </w:p>
    <w:p>
      <w:pPr>
        <w:spacing w:after="0" w:line="200" w:lineRule="exact"/>
        <w:rPr>
          <w:sz w:val="20"/>
          <w:szCs w:val="20"/>
          <w:color w:val="auto"/>
        </w:rPr>
      </w:pPr>
    </w:p>
    <w:p>
      <w:pPr>
        <w:sectPr>
          <w:pgSz w:w="11880" w:h="15481" w:orient="portrait"/>
          <w:cols w:equalWidth="0" w:num="2">
            <w:col w:w="5040" w:space="720"/>
            <w:col w:w="4400"/>
          </w:cols>
          <w:pgMar w:left="660" w:top="704" w:right="1061" w:bottom="3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740"/>
        <w:spacing w:after="0"/>
        <w:rPr>
          <w:sz w:val="20"/>
          <w:szCs w:val="20"/>
          <w:color w:val="auto"/>
        </w:rPr>
      </w:pPr>
      <w:r>
        <w:rPr>
          <w:rFonts w:ascii="Arial" w:cs="Arial" w:eastAsia="Arial" w:hAnsi="Arial"/>
          <w:sz w:val="18"/>
          <w:szCs w:val="18"/>
          <w:color w:val="000005"/>
        </w:rPr>
        <w:t>CAGR</w:t>
      </w: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6"/>
          <w:szCs w:val="16"/>
          <w:color w:val="000005"/>
        </w:rPr>
        <w:t>31%</w:t>
      </w:r>
    </w:p>
    <w:p>
      <w:pPr>
        <w:spacing w:after="0" w:line="277" w:lineRule="exact"/>
        <w:rPr>
          <w:sz w:val="20"/>
          <w:szCs w:val="20"/>
          <w:color w:val="auto"/>
        </w:rPr>
      </w:pPr>
    </w:p>
    <w:p>
      <w:pPr>
        <w:jc w:val="center"/>
        <w:ind w:left="1540"/>
        <w:spacing w:after="0"/>
        <w:rPr>
          <w:sz w:val="20"/>
          <w:szCs w:val="20"/>
          <w:color w:val="auto"/>
        </w:rPr>
      </w:pPr>
      <w:r>
        <w:rPr>
          <w:rFonts w:ascii="Arial" w:cs="Arial" w:eastAsia="Arial" w:hAnsi="Arial"/>
          <w:sz w:val="16"/>
          <w:szCs w:val="16"/>
          <w:color w:val="756F73"/>
        </w:rPr>
        <w:t>12.7%</w:t>
      </w:r>
    </w:p>
    <w:p>
      <w:pPr>
        <w:spacing w:after="0" w:line="30" w:lineRule="exact"/>
        <w:rPr>
          <w:sz w:val="20"/>
          <w:szCs w:val="20"/>
          <w:color w:val="auto"/>
        </w:rPr>
      </w:pPr>
    </w:p>
    <w:p>
      <w:pPr>
        <w:jc w:val="center"/>
        <w:ind w:left="1540"/>
        <w:spacing w:after="0"/>
        <w:rPr>
          <w:sz w:val="20"/>
          <w:szCs w:val="20"/>
          <w:color w:val="auto"/>
        </w:rPr>
      </w:pPr>
      <w:r>
        <w:rPr>
          <w:rFonts w:ascii="Arial" w:cs="Arial" w:eastAsia="Arial" w:hAnsi="Arial"/>
          <w:sz w:val="16"/>
          <w:szCs w:val="16"/>
          <w:color w:val="756F73"/>
        </w:rPr>
        <w:t>Margin</w:t>
      </w:r>
    </w:p>
    <w:p>
      <w:pPr>
        <w:spacing w:after="0" w:line="3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756F73"/>
        </w:rPr>
        <w:t>11.5%</w:t>
      </w:r>
    </w:p>
    <w:p>
      <w:pPr>
        <w:spacing w:after="0" w:line="3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756F73"/>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756F73"/>
        </w:rPr>
        <w:t>14.4%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756F73"/>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756F73"/>
        </w:rPr>
        <w:t>14.9%</w:t>
      </w:r>
    </w:p>
    <w:p>
      <w:pPr>
        <w:spacing w:after="0" w:line="30"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756F73"/>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756F73"/>
        </w:rPr>
        <w:t>27.5%</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756F73"/>
        </w:rPr>
        <w:t>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spacing w:after="0"/>
              <w:rPr>
                <w:sz w:val="20"/>
                <w:szCs w:val="20"/>
                <w:color w:val="auto"/>
              </w:rPr>
            </w:pPr>
            <w:r>
              <w:rPr>
                <w:rFonts w:ascii="Arial" w:cs="Arial" w:eastAsia="Arial" w:hAnsi="Arial"/>
                <w:sz w:val="20"/>
                <w:szCs w:val="20"/>
                <w:color w:val="000005"/>
              </w:rPr>
              <w:t>CAGR</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756F73"/>
              </w:rPr>
              <w:t>31.2%</w:t>
            </w:r>
          </w:p>
        </w:tc>
        <w:tc>
          <w:tcPr>
            <w:tcW w:w="0" w:type="dxa"/>
            <w:vAlign w:val="bottom"/>
          </w:tcPr>
          <w:p>
            <w:pPr>
              <w:spacing w:after="0"/>
              <w:rPr>
                <w:sz w:val="1"/>
                <w:szCs w:val="1"/>
                <w:color w:val="auto"/>
              </w:rPr>
            </w:pPr>
          </w:p>
        </w:tc>
      </w:tr>
      <w:tr>
        <w:trPr>
          <w:trHeight w:val="37"/>
        </w:trPr>
        <w:tc>
          <w:tcPr>
            <w:tcW w:w="980" w:type="dxa"/>
            <w:vAlign w:val="bottom"/>
            <w:vMerge w:val="restart"/>
          </w:tcPr>
          <w:p>
            <w:pPr>
              <w:jc w:val="right"/>
              <w:ind w:right="469"/>
              <w:spacing w:after="0"/>
              <w:rPr>
                <w:sz w:val="20"/>
                <w:szCs w:val="20"/>
                <w:color w:val="auto"/>
              </w:rPr>
            </w:pPr>
            <w:r>
              <w:rPr>
                <w:rFonts w:ascii="Arial" w:cs="Arial" w:eastAsia="Arial" w:hAnsi="Arial"/>
                <w:sz w:val="20"/>
                <w:szCs w:val="20"/>
                <w:color w:val="000005"/>
              </w:rPr>
              <w:t>25%</w:t>
            </w: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vMerge w:val="continue"/>
          </w:tcPr>
          <w:p>
            <w:pPr>
              <w:spacing w:after="0"/>
              <w:rPr>
                <w:sz w:val="19"/>
                <w:szCs w:val="19"/>
                <w:color w:val="auto"/>
              </w:rPr>
            </w:pPr>
          </w:p>
        </w:tc>
        <w:tc>
          <w:tcPr>
            <w:tcW w:w="1460" w:type="dxa"/>
            <w:vAlign w:val="bottom"/>
          </w:tcPr>
          <w:p>
            <w:pPr>
              <w:jc w:val="center"/>
              <w:ind w:left="838"/>
              <w:spacing w:after="0"/>
              <w:rPr>
                <w:sz w:val="20"/>
                <w:szCs w:val="20"/>
                <w:color w:val="auto"/>
              </w:rPr>
            </w:pPr>
            <w:r>
              <w:rPr>
                <w:rFonts w:ascii="Arial" w:cs="Arial" w:eastAsia="Arial" w:hAnsi="Arial"/>
                <w:sz w:val="16"/>
                <w:szCs w:val="16"/>
                <w:color w:val="756F73"/>
              </w:rPr>
              <w:t>Margin</w:t>
            </w: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1460" w:type="dxa"/>
            <w:vAlign w:val="bottom"/>
          </w:tcPr>
          <w:p>
            <w:pPr>
              <w:jc w:val="right"/>
              <w:ind w:right="898"/>
              <w:spacing w:after="0"/>
              <w:rPr>
                <w:sz w:val="20"/>
                <w:szCs w:val="20"/>
                <w:color w:val="auto"/>
              </w:rPr>
            </w:pPr>
            <w:r>
              <w:rPr>
                <w:rFonts w:ascii="Arial" w:cs="Arial" w:eastAsia="Arial" w:hAnsi="Arial"/>
                <w:sz w:val="16"/>
                <w:szCs w:val="16"/>
                <w:color w:val="756F73"/>
              </w:rPr>
              <w:t>30.0%</w:t>
            </w:r>
          </w:p>
        </w:tc>
        <w:tc>
          <w:tcPr>
            <w:tcW w:w="0" w:type="dxa"/>
            <w:vAlign w:val="bottom"/>
          </w:tcPr>
          <w:p>
            <w:pPr>
              <w:spacing w:after="0"/>
              <w:rPr>
                <w:sz w:val="1"/>
                <w:szCs w:val="1"/>
                <w:color w:val="auto"/>
              </w:rPr>
            </w:pPr>
          </w:p>
        </w:tc>
      </w:tr>
      <w:tr>
        <w:trPr>
          <w:trHeight w:val="219"/>
        </w:trPr>
        <w:tc>
          <w:tcPr>
            <w:tcW w:w="980" w:type="dxa"/>
            <w:vAlign w:val="bottom"/>
          </w:tcPr>
          <w:p>
            <w:pPr>
              <w:spacing w:after="0"/>
              <w:rPr>
                <w:sz w:val="19"/>
                <w:szCs w:val="19"/>
                <w:color w:val="auto"/>
              </w:rPr>
            </w:pPr>
          </w:p>
        </w:tc>
        <w:tc>
          <w:tcPr>
            <w:tcW w:w="1460" w:type="dxa"/>
            <w:vAlign w:val="bottom"/>
          </w:tcPr>
          <w:p>
            <w:pPr>
              <w:jc w:val="center"/>
              <w:ind w:right="838"/>
              <w:spacing w:after="0"/>
              <w:rPr>
                <w:sz w:val="20"/>
                <w:szCs w:val="20"/>
                <w:color w:val="auto"/>
              </w:rPr>
            </w:pPr>
            <w:r>
              <w:rPr>
                <w:rFonts w:ascii="Arial" w:cs="Arial" w:eastAsia="Arial" w:hAnsi="Arial"/>
                <w:sz w:val="16"/>
                <w:szCs w:val="16"/>
                <w:color w:val="756F73"/>
              </w:rPr>
              <w:t>Margin</w:t>
            </w:r>
          </w:p>
        </w:tc>
        <w:tc>
          <w:tcPr>
            <w:tcW w:w="0" w:type="dxa"/>
            <w:vAlign w:val="bottom"/>
          </w:tcPr>
          <w:p>
            <w:pPr>
              <w:spacing w:after="0"/>
              <w:rPr>
                <w:sz w:val="1"/>
                <w:szCs w:val="1"/>
                <w:color w:val="auto"/>
              </w:rPr>
            </w:pPr>
          </w:p>
        </w:tc>
      </w:tr>
      <w:tr>
        <w:trPr>
          <w:trHeight w:val="244"/>
        </w:trPr>
        <w:tc>
          <w:tcPr>
            <w:tcW w:w="980" w:type="dxa"/>
            <w:vAlign w:val="bottom"/>
          </w:tcPr>
          <w:p>
            <w:pPr>
              <w:jc w:val="right"/>
              <w:ind w:right="369"/>
              <w:spacing w:after="0"/>
              <w:rPr>
                <w:sz w:val="20"/>
                <w:szCs w:val="20"/>
                <w:color w:val="auto"/>
              </w:rPr>
            </w:pPr>
            <w:r>
              <w:rPr>
                <w:rFonts w:ascii="Arial" w:cs="Arial" w:eastAsia="Arial" w:hAnsi="Arial"/>
                <w:sz w:val="16"/>
                <w:szCs w:val="16"/>
                <w:color w:val="756F73"/>
              </w:rPr>
              <w:t>27.2%</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980" w:type="dxa"/>
            <w:vAlign w:val="bottom"/>
          </w:tcPr>
          <w:p>
            <w:pPr>
              <w:jc w:val="center"/>
              <w:ind w:right="209"/>
              <w:spacing w:after="0"/>
              <w:rPr>
                <w:sz w:val="20"/>
                <w:szCs w:val="20"/>
                <w:color w:val="auto"/>
              </w:rPr>
            </w:pPr>
            <w:r>
              <w:rPr>
                <w:rFonts w:ascii="Arial" w:cs="Arial" w:eastAsia="Arial" w:hAnsi="Arial"/>
                <w:sz w:val="16"/>
                <w:szCs w:val="16"/>
                <w:color w:val="756F73"/>
              </w:rPr>
              <w:t>Margin</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61" w:lineRule="exact"/>
        <w:rPr>
          <w:sz w:val="20"/>
          <w:szCs w:val="20"/>
          <w:color w:val="auto"/>
        </w:rPr>
      </w:pPr>
    </w:p>
    <w:p>
      <w:pPr>
        <w:sectPr>
          <w:pgSz w:w="11880" w:h="15481" w:orient="portrait"/>
          <w:cols w:equalWidth="0" w:num="5">
            <w:col w:w="2280" w:space="280"/>
            <w:col w:w="540" w:space="360"/>
            <w:col w:w="2160" w:space="720"/>
            <w:col w:w="560" w:space="300"/>
            <w:col w:w="2960"/>
          </w:cols>
          <w:pgMar w:left="660" w:top="704" w:right="1061" w:bottom="3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440"/>
        </w:trPr>
        <w:tc>
          <w:tcPr>
            <w:tcW w:w="1260" w:type="dxa"/>
            <w:vAlign w:val="bottom"/>
            <w:textDirection w:val="btLr"/>
          </w:tcPr>
          <w:p>
            <w:pPr>
              <w:ind w:right="244"/>
              <w:spacing w:after="0"/>
              <w:rPr>
                <w:sz w:val="20"/>
                <w:szCs w:val="20"/>
                <w:color w:val="auto"/>
              </w:rPr>
            </w:pPr>
            <w:r>
              <w:rPr>
                <w:rFonts w:ascii="Arial" w:cs="Arial" w:eastAsia="Arial" w:hAnsi="Arial"/>
                <w:sz w:val="20"/>
                <w:szCs w:val="20"/>
                <w:b w:val="1"/>
                <w:bCs w:val="1"/>
                <w:color w:val="FFFFFF"/>
              </w:rPr>
              <w:t>$98</w:t>
            </w:r>
          </w:p>
        </w:tc>
        <w:tc>
          <w:tcPr>
            <w:tcW w:w="900" w:type="dxa"/>
            <w:vAlign w:val="bottom"/>
            <w:textDirection w:val="btLr"/>
          </w:tcPr>
          <w:p>
            <w:pPr>
              <w:ind w:right="228"/>
              <w:spacing w:after="0"/>
              <w:rPr>
                <w:sz w:val="20"/>
                <w:szCs w:val="20"/>
                <w:color w:val="auto"/>
              </w:rPr>
            </w:pPr>
            <w:r>
              <w:rPr>
                <w:rFonts w:ascii="Arial" w:cs="Arial" w:eastAsia="Arial" w:hAnsi="Arial"/>
                <w:sz w:val="20"/>
                <w:szCs w:val="20"/>
                <w:b w:val="1"/>
                <w:bCs w:val="1"/>
                <w:color w:val="FFFFFF"/>
                <w:w w:val="94"/>
              </w:rPr>
              <w:t>$139</w:t>
            </w:r>
          </w:p>
        </w:tc>
        <w:tc>
          <w:tcPr>
            <w:tcW w:w="920" w:type="dxa"/>
            <w:vAlign w:val="bottom"/>
            <w:textDirection w:val="btLr"/>
          </w:tcPr>
          <w:p>
            <w:pPr>
              <w:ind w:right="231"/>
              <w:spacing w:after="0"/>
              <w:rPr>
                <w:sz w:val="20"/>
                <w:szCs w:val="20"/>
                <w:color w:val="auto"/>
              </w:rPr>
            </w:pPr>
            <w:r>
              <w:rPr>
                <w:rFonts w:ascii="Arial" w:cs="Arial" w:eastAsia="Arial" w:hAnsi="Arial"/>
                <w:sz w:val="20"/>
                <w:szCs w:val="20"/>
                <w:b w:val="1"/>
                <w:bCs w:val="1"/>
                <w:color w:val="FFFFFF"/>
                <w:w w:val="98"/>
              </w:rPr>
              <w:t>$185</w:t>
            </w:r>
          </w:p>
        </w:tc>
        <w:tc>
          <w:tcPr>
            <w:tcW w:w="1240" w:type="dxa"/>
            <w:vAlign w:val="bottom"/>
            <w:textDirection w:val="btLr"/>
          </w:tcPr>
          <w:p>
            <w:pPr>
              <w:ind w:right="555"/>
              <w:spacing w:after="0"/>
              <w:rPr>
                <w:sz w:val="20"/>
                <w:szCs w:val="20"/>
                <w:color w:val="auto"/>
              </w:rPr>
            </w:pPr>
            <w:r>
              <w:rPr>
                <w:rFonts w:ascii="Arial" w:cs="Arial" w:eastAsia="Arial" w:hAnsi="Arial"/>
                <w:sz w:val="20"/>
                <w:szCs w:val="20"/>
                <w:b w:val="1"/>
                <w:bCs w:val="1"/>
                <w:color w:val="FFFFFF"/>
                <w:w w:val="94"/>
              </w:rPr>
              <w:t>$219</w:t>
            </w:r>
          </w:p>
        </w:tc>
      </w:tr>
      <w:tr>
        <w:trPr>
          <w:trHeight w:val="200"/>
        </w:trPr>
        <w:tc>
          <w:tcPr>
            <w:tcW w:w="1260" w:type="dxa"/>
            <w:vAlign w:val="bottom"/>
            <w:tcBorders>
              <w:bottom w:val="single" w:sz="8" w:color="000005"/>
            </w:tcBorders>
          </w:tcPr>
          <w:p>
            <w:pPr>
              <w:spacing w:after="0"/>
              <w:rPr>
                <w:sz w:val="17"/>
                <w:szCs w:val="17"/>
                <w:color w:val="auto"/>
              </w:rPr>
            </w:pPr>
          </w:p>
        </w:tc>
        <w:tc>
          <w:tcPr>
            <w:tcW w:w="900" w:type="dxa"/>
            <w:vAlign w:val="bottom"/>
            <w:tcBorders>
              <w:bottom w:val="single" w:sz="8" w:color="000005"/>
            </w:tcBorders>
          </w:tcPr>
          <w:p>
            <w:pPr>
              <w:spacing w:after="0"/>
              <w:rPr>
                <w:sz w:val="17"/>
                <w:szCs w:val="17"/>
                <w:color w:val="auto"/>
              </w:rPr>
            </w:pPr>
          </w:p>
        </w:tc>
        <w:tc>
          <w:tcPr>
            <w:tcW w:w="920" w:type="dxa"/>
            <w:vAlign w:val="bottom"/>
            <w:tcBorders>
              <w:bottom w:val="single" w:sz="8" w:color="000005"/>
            </w:tcBorders>
          </w:tcPr>
          <w:p>
            <w:pPr>
              <w:spacing w:after="0"/>
              <w:rPr>
                <w:sz w:val="17"/>
                <w:szCs w:val="17"/>
                <w:color w:val="auto"/>
              </w:rPr>
            </w:pPr>
          </w:p>
        </w:tc>
        <w:tc>
          <w:tcPr>
            <w:tcW w:w="1240" w:type="dxa"/>
            <w:vAlign w:val="bottom"/>
            <w:tcBorders>
              <w:bottom w:val="single" w:sz="8" w:color="000005"/>
            </w:tcBorders>
          </w:tcPr>
          <w:p>
            <w:pPr>
              <w:spacing w:after="0"/>
              <w:rPr>
                <w:sz w:val="17"/>
                <w:szCs w:val="17"/>
                <w:color w:val="auto"/>
              </w:rPr>
            </w:pPr>
          </w:p>
        </w:tc>
      </w:tr>
      <w:tr>
        <w:trPr>
          <w:trHeight w:val="285"/>
        </w:trPr>
        <w:tc>
          <w:tcPr>
            <w:tcW w:w="1260" w:type="dxa"/>
            <w:vAlign w:val="bottom"/>
          </w:tcPr>
          <w:p>
            <w:pPr>
              <w:jc w:val="center"/>
              <w:ind w:left="219"/>
              <w:spacing w:after="0"/>
              <w:rPr>
                <w:sz w:val="20"/>
                <w:szCs w:val="20"/>
                <w:color w:val="auto"/>
              </w:rPr>
            </w:pPr>
            <w:r>
              <w:rPr>
                <w:rFonts w:ascii="Arial" w:cs="Arial" w:eastAsia="Arial" w:hAnsi="Arial"/>
                <w:sz w:val="20"/>
                <w:szCs w:val="20"/>
                <w:b w:val="1"/>
                <w:bCs w:val="1"/>
                <w:color w:val="756F73"/>
                <w:w w:val="96"/>
              </w:rPr>
              <w:t>FY22</w:t>
            </w:r>
          </w:p>
        </w:tc>
        <w:tc>
          <w:tcPr>
            <w:tcW w:w="900" w:type="dxa"/>
            <w:vAlign w:val="bottom"/>
          </w:tcPr>
          <w:p>
            <w:pPr>
              <w:jc w:val="center"/>
              <w:spacing w:after="0"/>
              <w:rPr>
                <w:sz w:val="20"/>
                <w:szCs w:val="20"/>
                <w:color w:val="auto"/>
              </w:rPr>
            </w:pPr>
            <w:r>
              <w:rPr>
                <w:rFonts w:ascii="Arial" w:cs="Arial" w:eastAsia="Arial" w:hAnsi="Arial"/>
                <w:sz w:val="20"/>
                <w:szCs w:val="20"/>
                <w:b w:val="1"/>
                <w:bCs w:val="1"/>
                <w:color w:val="756F73"/>
                <w:w w:val="96"/>
              </w:rPr>
              <w:t>FY23</w:t>
            </w:r>
          </w:p>
        </w:tc>
        <w:tc>
          <w:tcPr>
            <w:tcW w:w="920" w:type="dxa"/>
            <w:vAlign w:val="bottom"/>
          </w:tcPr>
          <w:p>
            <w:pPr>
              <w:jc w:val="center"/>
              <w:spacing w:after="0"/>
              <w:rPr>
                <w:sz w:val="20"/>
                <w:szCs w:val="20"/>
                <w:color w:val="auto"/>
              </w:rPr>
            </w:pPr>
            <w:r>
              <w:rPr>
                <w:rFonts w:ascii="Arial" w:cs="Arial" w:eastAsia="Arial" w:hAnsi="Arial"/>
                <w:sz w:val="20"/>
                <w:szCs w:val="20"/>
                <w:b w:val="1"/>
                <w:bCs w:val="1"/>
                <w:color w:val="756F73"/>
              </w:rPr>
              <w:t>FY24</w:t>
            </w:r>
          </w:p>
        </w:tc>
        <w:tc>
          <w:tcPr>
            <w:tcW w:w="1240" w:type="dxa"/>
            <w:vAlign w:val="bottom"/>
          </w:tcPr>
          <w:p>
            <w:pPr>
              <w:jc w:val="center"/>
              <w:ind w:right="219"/>
              <w:spacing w:after="0"/>
              <w:rPr>
                <w:sz w:val="20"/>
                <w:szCs w:val="20"/>
                <w:color w:val="auto"/>
              </w:rPr>
            </w:pPr>
            <w:r>
              <w:rPr>
                <w:rFonts w:ascii="Arial" w:cs="Arial" w:eastAsia="Arial" w:hAnsi="Arial"/>
                <w:sz w:val="20"/>
                <w:szCs w:val="20"/>
                <w:b w:val="1"/>
                <w:bCs w:val="1"/>
                <w:color w:val="756F73"/>
              </w:rPr>
              <w:t>FY25</w:t>
            </w:r>
          </w:p>
        </w:tc>
      </w:tr>
    </w:tbl>
    <w:p>
      <w:pPr>
        <w:spacing w:after="0" w:line="168" w:lineRule="exact"/>
        <w:rPr>
          <w:sz w:val="20"/>
          <w:szCs w:val="20"/>
          <w:color w:val="auto"/>
        </w:rPr>
      </w:pPr>
    </w:p>
    <w:p>
      <w:pPr>
        <w:ind w:left="80" w:right="1880"/>
        <w:spacing w:after="0" w:line="297" w:lineRule="auto"/>
        <w:rPr>
          <w:sz w:val="20"/>
          <w:szCs w:val="20"/>
          <w:color w:val="auto"/>
        </w:rPr>
      </w:pPr>
      <w:r>
        <w:rPr>
          <w:rFonts w:ascii="Arial" w:cs="Arial" w:eastAsia="Arial" w:hAnsi="Arial"/>
          <w:sz w:val="16"/>
          <w:szCs w:val="16"/>
          <w:color w:val="000005"/>
        </w:rPr>
        <w:t>Strong Balance Sheet - $398M Cash &amp; Cash Equivalents as of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80"/>
        </w:trPr>
        <w:tc>
          <w:tcPr>
            <w:tcW w:w="1240" w:type="dxa"/>
            <w:vAlign w:val="bottom"/>
            <w:textDirection w:val="btLr"/>
          </w:tcPr>
          <w:p>
            <w:pPr>
              <w:ind w:right="235"/>
              <w:spacing w:after="0"/>
              <w:rPr>
                <w:sz w:val="20"/>
                <w:szCs w:val="20"/>
                <w:color w:val="auto"/>
              </w:rPr>
            </w:pPr>
            <w:r>
              <w:rPr>
                <w:rFonts w:ascii="Arial" w:cs="Arial" w:eastAsia="Arial" w:hAnsi="Arial"/>
                <w:sz w:val="20"/>
                <w:szCs w:val="20"/>
                <w:b w:val="1"/>
                <w:bCs w:val="1"/>
                <w:color w:val="FFFFFF"/>
                <w:w w:val="98"/>
              </w:rPr>
              <w:t>$233</w:t>
            </w:r>
          </w:p>
        </w:tc>
        <w:tc>
          <w:tcPr>
            <w:tcW w:w="920" w:type="dxa"/>
            <w:vAlign w:val="bottom"/>
            <w:textDirection w:val="btLr"/>
          </w:tcPr>
          <w:p>
            <w:pPr>
              <w:ind w:right="239"/>
              <w:spacing w:after="0"/>
              <w:rPr>
                <w:sz w:val="20"/>
                <w:szCs w:val="20"/>
                <w:color w:val="auto"/>
              </w:rPr>
            </w:pPr>
            <w:r>
              <w:rPr>
                <w:rFonts w:ascii="Arial" w:cs="Arial" w:eastAsia="Arial" w:hAnsi="Arial"/>
                <w:sz w:val="20"/>
                <w:szCs w:val="20"/>
                <w:b w:val="1"/>
                <w:bCs w:val="1"/>
                <w:color w:val="FFFFFF"/>
              </w:rPr>
              <w:t>$299</w:t>
            </w:r>
          </w:p>
        </w:tc>
        <w:tc>
          <w:tcPr>
            <w:tcW w:w="920" w:type="dxa"/>
            <w:vAlign w:val="bottom"/>
            <w:textDirection w:val="btLr"/>
          </w:tcPr>
          <w:p>
            <w:pPr>
              <w:ind w:right="243"/>
              <w:spacing w:after="0"/>
              <w:rPr>
                <w:sz w:val="20"/>
                <w:szCs w:val="20"/>
                <w:color w:val="auto"/>
              </w:rPr>
            </w:pPr>
            <w:r>
              <w:rPr>
                <w:rFonts w:ascii="Arial" w:cs="Arial" w:eastAsia="Arial" w:hAnsi="Arial"/>
                <w:sz w:val="20"/>
                <w:szCs w:val="20"/>
                <w:b w:val="1"/>
                <w:bCs w:val="1"/>
                <w:color w:val="FFFFFF"/>
              </w:rPr>
              <w:t>$385</w:t>
            </w:r>
          </w:p>
        </w:tc>
        <w:tc>
          <w:tcPr>
            <w:tcW w:w="1240" w:type="dxa"/>
            <w:vAlign w:val="bottom"/>
            <w:textDirection w:val="btLr"/>
          </w:tcPr>
          <w:p>
            <w:pPr>
              <w:ind w:right="567"/>
              <w:spacing w:after="0"/>
              <w:rPr>
                <w:sz w:val="20"/>
                <w:szCs w:val="20"/>
                <w:color w:val="auto"/>
              </w:rPr>
            </w:pPr>
            <w:r>
              <w:rPr>
                <w:rFonts w:ascii="Arial" w:cs="Arial" w:eastAsia="Arial" w:hAnsi="Arial"/>
                <w:sz w:val="20"/>
                <w:szCs w:val="20"/>
                <w:b w:val="1"/>
                <w:bCs w:val="1"/>
                <w:color w:val="FFFFFF"/>
              </w:rPr>
              <w:t>$460</w:t>
            </w:r>
          </w:p>
        </w:tc>
      </w:tr>
      <w:tr>
        <w:trPr>
          <w:trHeight w:val="158"/>
        </w:trPr>
        <w:tc>
          <w:tcPr>
            <w:tcW w:w="1240" w:type="dxa"/>
            <w:vAlign w:val="bottom"/>
            <w:tcBorders>
              <w:bottom w:val="single" w:sz="8" w:color="000005"/>
            </w:tcBorders>
          </w:tcPr>
          <w:p>
            <w:pPr>
              <w:spacing w:after="0"/>
              <w:rPr>
                <w:sz w:val="13"/>
                <w:szCs w:val="13"/>
                <w:color w:val="auto"/>
              </w:rPr>
            </w:pPr>
          </w:p>
        </w:tc>
        <w:tc>
          <w:tcPr>
            <w:tcW w:w="920" w:type="dxa"/>
            <w:vAlign w:val="bottom"/>
            <w:tcBorders>
              <w:bottom w:val="single" w:sz="8" w:color="000005"/>
            </w:tcBorders>
          </w:tcPr>
          <w:p>
            <w:pPr>
              <w:spacing w:after="0"/>
              <w:rPr>
                <w:sz w:val="13"/>
                <w:szCs w:val="13"/>
                <w:color w:val="auto"/>
              </w:rPr>
            </w:pPr>
          </w:p>
        </w:tc>
        <w:tc>
          <w:tcPr>
            <w:tcW w:w="920" w:type="dxa"/>
            <w:vAlign w:val="bottom"/>
            <w:tcBorders>
              <w:bottom w:val="single" w:sz="8" w:color="000005"/>
            </w:tcBorders>
          </w:tcPr>
          <w:p>
            <w:pPr>
              <w:spacing w:after="0"/>
              <w:rPr>
                <w:sz w:val="13"/>
                <w:szCs w:val="13"/>
                <w:color w:val="auto"/>
              </w:rPr>
            </w:pPr>
          </w:p>
        </w:tc>
        <w:tc>
          <w:tcPr>
            <w:tcW w:w="1240" w:type="dxa"/>
            <w:vAlign w:val="bottom"/>
            <w:tcBorders>
              <w:bottom w:val="single" w:sz="8" w:color="000005"/>
            </w:tcBorders>
          </w:tcPr>
          <w:p>
            <w:pPr>
              <w:spacing w:after="0"/>
              <w:rPr>
                <w:sz w:val="13"/>
                <w:szCs w:val="13"/>
                <w:color w:val="auto"/>
              </w:rPr>
            </w:pPr>
          </w:p>
        </w:tc>
      </w:tr>
      <w:tr>
        <w:trPr>
          <w:trHeight w:val="327"/>
        </w:trPr>
        <w:tc>
          <w:tcPr>
            <w:tcW w:w="1240" w:type="dxa"/>
            <w:vAlign w:val="bottom"/>
          </w:tcPr>
          <w:p>
            <w:pPr>
              <w:jc w:val="center"/>
              <w:ind w:left="239"/>
              <w:spacing w:after="0"/>
              <w:rPr>
                <w:sz w:val="20"/>
                <w:szCs w:val="20"/>
                <w:color w:val="auto"/>
              </w:rPr>
            </w:pPr>
            <w:r>
              <w:rPr>
                <w:rFonts w:ascii="Arial" w:cs="Arial" w:eastAsia="Arial" w:hAnsi="Arial"/>
                <w:sz w:val="20"/>
                <w:szCs w:val="20"/>
                <w:b w:val="1"/>
                <w:bCs w:val="1"/>
                <w:color w:val="756F73"/>
                <w:w w:val="96"/>
              </w:rPr>
              <w:t>FY22</w:t>
            </w:r>
          </w:p>
        </w:tc>
        <w:tc>
          <w:tcPr>
            <w:tcW w:w="920" w:type="dxa"/>
            <w:vAlign w:val="bottom"/>
          </w:tcPr>
          <w:p>
            <w:pPr>
              <w:jc w:val="center"/>
              <w:spacing w:after="0"/>
              <w:rPr>
                <w:sz w:val="20"/>
                <w:szCs w:val="20"/>
                <w:color w:val="auto"/>
              </w:rPr>
            </w:pPr>
            <w:r>
              <w:rPr>
                <w:rFonts w:ascii="Arial" w:cs="Arial" w:eastAsia="Arial" w:hAnsi="Arial"/>
                <w:sz w:val="20"/>
                <w:szCs w:val="20"/>
                <w:b w:val="1"/>
                <w:bCs w:val="1"/>
                <w:color w:val="756F73"/>
                <w:w w:val="96"/>
              </w:rPr>
              <w:t>FY23</w:t>
            </w:r>
          </w:p>
        </w:tc>
        <w:tc>
          <w:tcPr>
            <w:tcW w:w="920" w:type="dxa"/>
            <w:vAlign w:val="bottom"/>
          </w:tcPr>
          <w:p>
            <w:pPr>
              <w:jc w:val="center"/>
              <w:spacing w:after="0"/>
              <w:rPr>
                <w:sz w:val="20"/>
                <w:szCs w:val="20"/>
                <w:color w:val="auto"/>
              </w:rPr>
            </w:pPr>
            <w:r>
              <w:rPr>
                <w:rFonts w:ascii="Arial" w:cs="Arial" w:eastAsia="Arial" w:hAnsi="Arial"/>
                <w:sz w:val="20"/>
                <w:szCs w:val="20"/>
                <w:b w:val="1"/>
                <w:bCs w:val="1"/>
                <w:color w:val="756F73"/>
              </w:rPr>
              <w:t>FY24</w:t>
            </w:r>
          </w:p>
        </w:tc>
        <w:tc>
          <w:tcPr>
            <w:tcW w:w="1240" w:type="dxa"/>
            <w:vAlign w:val="bottom"/>
          </w:tcPr>
          <w:p>
            <w:pPr>
              <w:jc w:val="center"/>
              <w:ind w:right="239"/>
              <w:spacing w:after="0"/>
              <w:rPr>
                <w:sz w:val="20"/>
                <w:szCs w:val="20"/>
                <w:color w:val="auto"/>
              </w:rPr>
            </w:pPr>
            <w:r>
              <w:rPr>
                <w:rFonts w:ascii="Arial" w:cs="Arial" w:eastAsia="Arial" w:hAnsi="Arial"/>
                <w:sz w:val="20"/>
                <w:szCs w:val="20"/>
                <w:b w:val="1"/>
                <w:bCs w:val="1"/>
                <w:color w:val="756F73"/>
                <w:w w:val="96"/>
              </w:rPr>
              <w:t>FY25</w:t>
            </w:r>
          </w:p>
        </w:tc>
      </w:tr>
    </w:tbl>
    <w:p>
      <w:pPr>
        <w:spacing w:after="0" w:line="823" w:lineRule="exact"/>
        <w:rPr>
          <w:sz w:val="20"/>
          <w:szCs w:val="20"/>
          <w:color w:val="auto"/>
        </w:rPr>
      </w:pPr>
    </w:p>
    <w:p>
      <w:pPr>
        <w:sectPr>
          <w:pgSz w:w="11880" w:h="15481" w:orient="portrait"/>
          <w:cols w:equalWidth="0" w:num="2">
            <w:col w:w="5120" w:space="720"/>
            <w:col w:w="4320"/>
          </w:cols>
          <w:pgMar w:left="660" w:top="704" w:right="1061" w:bottom="3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6"/>
          <w:szCs w:val="16"/>
          <w:color w:val="000005"/>
        </w:rPr>
        <w:t>* Refer to Appendix A for a reconciliation of GAAP to non-GAAP financial measures.</w:t>
      </w:r>
    </w:p>
    <w:p>
      <w:pPr>
        <w:sectPr>
          <w:pgSz w:w="11880" w:h="15481" w:orient="portrait"/>
          <w:cols w:equalWidth="0" w:num="1">
            <w:col w:w="10160"/>
          </w:cols>
          <w:pgMar w:left="660" w:top="704" w:right="1061" w:bottom="324"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786130</wp:posOffset>
            </wp:positionH>
            <wp:positionV relativeFrom="page">
              <wp:posOffset>275590</wp:posOffset>
            </wp:positionV>
            <wp:extent cx="5972175"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2175" cy="12065"/>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299720</wp:posOffset>
            </wp:positionV>
            <wp:extent cx="5972175"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72175" cy="1206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t>UNITED STATES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5"/>
          <w:szCs w:val="15"/>
          <w:color w:val="auto"/>
        </w:rPr>
        <w:t>__________________________________________________</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5"/>
          <w:szCs w:val="15"/>
          <w:color w:val="auto"/>
        </w:rPr>
        <w:t>__________________________________________________</w:t>
      </w:r>
    </w:p>
    <w:p>
      <w:pPr>
        <w:spacing w:after="0" w:line="133" w:lineRule="exact"/>
        <w:rPr>
          <w:sz w:val="20"/>
          <w:szCs w:val="20"/>
          <w:color w:val="auto"/>
        </w:rPr>
      </w:pPr>
    </w:p>
    <w:p>
      <w:pPr>
        <w:ind w:left="3780" w:right="2080" w:hanging="3440"/>
        <w:spacing w:after="0" w:line="402" w:lineRule="auto"/>
        <w:rPr>
          <w:sz w:val="20"/>
          <w:szCs w:val="20"/>
          <w:color w:val="auto"/>
        </w:rPr>
      </w:pP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b w:val="1"/>
          <w:bCs w:val="1"/>
          <w:color w:val="auto"/>
        </w:rPr>
        <w:t>ANNUAL REPORT PURSUANT TO SECTION 13 OR 15(d) OF THE SECURITIES EXCHANGE ACT OF 1934</w:t>
      </w:r>
      <w:r>
        <w:rPr>
          <w:rFonts w:ascii="Wingdings" w:cs="Wingdings" w:eastAsia="Wingdings" w:hAnsi="Wingdings"/>
          <w:sz w:val="15"/>
          <w:szCs w:val="15"/>
          <w:b w:val="1"/>
          <w:bCs w:val="1"/>
          <w:color w:val="auto"/>
        </w:rPr>
        <w:t xml:space="preserve"> </w:t>
      </w:r>
      <w:r>
        <w:rPr>
          <w:rFonts w:ascii="Times New Roman" w:cs="Times New Roman" w:eastAsia="Times New Roman" w:hAnsi="Times New Roman"/>
          <w:sz w:val="15"/>
          <w:szCs w:val="15"/>
          <w:b w:val="1"/>
          <w:bCs w:val="1"/>
          <w:color w:val="auto"/>
        </w:rPr>
        <w:t>For the fiscal year ended June 30, 2025</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8" w:lineRule="exact"/>
        <w:rPr>
          <w:sz w:val="20"/>
          <w:szCs w:val="20"/>
          <w:color w:val="auto"/>
        </w:rPr>
      </w:pPr>
    </w:p>
    <w:p>
      <w:pPr>
        <w:ind w:left="340"/>
        <w:spacing w:after="0"/>
        <w:rPr>
          <w:sz w:val="20"/>
          <w:szCs w:val="20"/>
          <w:color w:val="auto"/>
        </w:rPr>
      </w:pP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10" w:lineRule="exact"/>
        <w:rPr>
          <w:sz w:val="20"/>
          <w:szCs w:val="20"/>
          <w:color w:val="auto"/>
        </w:rPr>
      </w:pPr>
    </w:p>
    <w:tbl>
      <w:tblPr>
        <w:tblLayout w:type="fixed"/>
        <w:tblInd w:w="480" w:type="dxa"/>
        <w:tblCellMar>
          <w:top w:w="0" w:type="dxa"/>
          <w:left w:w="0" w:type="dxa"/>
          <w:bottom w:w="0" w:type="dxa"/>
          <w:right w:w="0" w:type="dxa"/>
        </w:tblCellMar>
      </w:tblPr>
      <w:tr>
        <w:trPr>
          <w:trHeight w:val="202"/>
        </w:trPr>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00" w:type="dxa"/>
            <w:vAlign w:val="bottom"/>
            <w:gridSpan w:val="3"/>
          </w:tcPr>
          <w:p>
            <w:pPr>
              <w:ind w:left="56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29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282"/>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20" w:type="dxa"/>
            <w:vAlign w:val="bottom"/>
            <w:gridSpan w:val="6"/>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Commission File Number 001-36348</w:t>
            </w:r>
          </w:p>
        </w:tc>
      </w:tr>
      <w:tr>
        <w:trPr>
          <w:trHeight w:val="199"/>
        </w:trPr>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0" w:type="dxa"/>
            <w:vAlign w:val="bottom"/>
            <w:gridSpan w:val="5"/>
          </w:tcPr>
          <w:p>
            <w:pPr>
              <w:jc w:val="center"/>
              <w:ind w:right="1771"/>
              <w:spacing w:after="0"/>
              <w:rPr>
                <w:sz w:val="20"/>
                <w:szCs w:val="20"/>
                <w:color w:val="auto"/>
              </w:rPr>
            </w:pPr>
            <w:r>
              <w:rPr>
                <w:rFonts w:ascii="Times New Roman" w:cs="Times New Roman" w:eastAsia="Times New Roman" w:hAnsi="Times New Roman"/>
                <w:sz w:val="15"/>
                <w:szCs w:val="15"/>
                <w:color w:val="auto"/>
              </w:rPr>
              <w:t>__________________________________________________</w:t>
            </w:r>
          </w:p>
        </w:tc>
        <w:tc>
          <w:tcPr>
            <w:tcW w:w="20" w:type="dxa"/>
            <w:vAlign w:val="bottom"/>
          </w:tcPr>
          <w:p>
            <w:pPr>
              <w:spacing w:after="0"/>
              <w:rPr>
                <w:sz w:val="17"/>
                <w:szCs w:val="17"/>
                <w:color w:val="auto"/>
              </w:rPr>
            </w:pPr>
          </w:p>
        </w:tc>
      </w:tr>
      <w:tr>
        <w:trPr>
          <w:trHeight w:val="443"/>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80" w:type="dxa"/>
            <w:vAlign w:val="bottom"/>
            <w:gridSpan w:val="7"/>
          </w:tcPr>
          <w:p>
            <w:pPr>
              <w:jc w:val="center"/>
              <w:ind w:right="800"/>
              <w:spacing w:after="0"/>
              <w:rPr>
                <w:sz w:val="20"/>
                <w:szCs w:val="20"/>
                <w:color w:val="auto"/>
              </w:rPr>
            </w:pPr>
            <w:r>
              <w:rPr>
                <w:rFonts w:ascii="Times New Roman" w:cs="Times New Roman" w:eastAsia="Times New Roman" w:hAnsi="Times New Roman"/>
                <w:sz w:val="30"/>
                <w:szCs w:val="30"/>
                <w:b w:val="1"/>
                <w:bCs w:val="1"/>
                <w:color w:val="auto"/>
              </w:rPr>
              <w:t>PAYLOCITY HOLDING CORPORATION</w:t>
            </w:r>
          </w:p>
        </w:tc>
      </w:tr>
      <w:tr>
        <w:trPr>
          <w:trHeight w:val="202"/>
        </w:trPr>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20" w:type="dxa"/>
            <w:vAlign w:val="bottom"/>
            <w:gridSpan w:val="6"/>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199"/>
        </w:trPr>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0" w:type="dxa"/>
            <w:vAlign w:val="bottom"/>
            <w:gridSpan w:val="5"/>
          </w:tcPr>
          <w:p>
            <w:pPr>
              <w:jc w:val="center"/>
              <w:ind w:right="1771"/>
              <w:spacing w:after="0"/>
              <w:rPr>
                <w:sz w:val="20"/>
                <w:szCs w:val="20"/>
                <w:color w:val="auto"/>
              </w:rPr>
            </w:pPr>
            <w:r>
              <w:rPr>
                <w:rFonts w:ascii="Times New Roman" w:cs="Times New Roman" w:eastAsia="Times New Roman" w:hAnsi="Times New Roman"/>
                <w:sz w:val="15"/>
                <w:szCs w:val="15"/>
                <w:color w:val="auto"/>
              </w:rPr>
              <w:t>__________________________________________________</w:t>
            </w:r>
          </w:p>
        </w:tc>
        <w:tc>
          <w:tcPr>
            <w:tcW w:w="20" w:type="dxa"/>
            <w:vAlign w:val="bottom"/>
          </w:tcPr>
          <w:p>
            <w:pPr>
              <w:spacing w:after="0"/>
              <w:rPr>
                <w:sz w:val="17"/>
                <w:szCs w:val="17"/>
                <w:color w:val="auto"/>
              </w:rPr>
            </w:pPr>
          </w:p>
        </w:tc>
      </w:tr>
      <w:tr>
        <w:trPr>
          <w:trHeight w:val="368"/>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center"/>
              <w:ind w:left="16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46-4066644</w:t>
            </w:r>
          </w:p>
        </w:tc>
        <w:tc>
          <w:tcPr>
            <w:tcW w:w="20" w:type="dxa"/>
            <w:vAlign w:val="bottom"/>
          </w:tcPr>
          <w:p>
            <w:pPr>
              <w:spacing w:after="0"/>
              <w:rPr>
                <w:sz w:val="24"/>
                <w:szCs w:val="24"/>
                <w:color w:val="auto"/>
              </w:rPr>
            </w:pPr>
          </w:p>
        </w:tc>
      </w:tr>
      <w:tr>
        <w:trPr>
          <w:trHeight w:val="226"/>
        </w:trPr>
        <w:tc>
          <w:tcPr>
            <w:tcW w:w="600" w:type="dxa"/>
            <w:vAlign w:val="bottom"/>
          </w:tcPr>
          <w:p>
            <w:pPr>
              <w:spacing w:after="0"/>
              <w:rPr>
                <w:sz w:val="19"/>
                <w:szCs w:val="19"/>
                <w:color w:val="auto"/>
              </w:rPr>
            </w:pPr>
          </w:p>
        </w:tc>
        <w:tc>
          <w:tcPr>
            <w:tcW w:w="4880" w:type="dxa"/>
            <w:vAlign w:val="bottom"/>
            <w:gridSpan w:val="5"/>
          </w:tcPr>
          <w:p>
            <w:pPr>
              <w:jc w:val="center"/>
              <w:ind w:right="1680"/>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860" w:type="dxa"/>
            <w:vAlign w:val="bottom"/>
          </w:tcPr>
          <w:p>
            <w:pPr>
              <w:spacing w:after="0"/>
              <w:rPr>
                <w:sz w:val="19"/>
                <w:szCs w:val="19"/>
                <w:color w:val="auto"/>
              </w:rPr>
            </w:pPr>
          </w:p>
        </w:tc>
        <w:tc>
          <w:tcPr>
            <w:tcW w:w="2060" w:type="dxa"/>
            <w:vAlign w:val="bottom"/>
            <w:gridSpan w:val="2"/>
          </w:tcPr>
          <w:p>
            <w:pPr>
              <w:jc w:val="center"/>
              <w:ind w:right="900"/>
              <w:spacing w:after="0"/>
              <w:rPr>
                <w:sz w:val="20"/>
                <w:szCs w:val="20"/>
                <w:color w:val="auto"/>
              </w:rPr>
            </w:pPr>
            <w:r>
              <w:rPr>
                <w:rFonts w:ascii="Times New Roman" w:cs="Times New Roman" w:eastAsia="Times New Roman" w:hAnsi="Times New Roman"/>
                <w:sz w:val="15"/>
                <w:szCs w:val="15"/>
                <w:color w:val="auto"/>
              </w:rPr>
              <w:t>(I.R.S. Employer</w:t>
            </w:r>
          </w:p>
        </w:tc>
      </w:tr>
      <w:tr>
        <w:trPr>
          <w:trHeight w:val="199"/>
        </w:trPr>
        <w:tc>
          <w:tcPr>
            <w:tcW w:w="600" w:type="dxa"/>
            <w:vAlign w:val="bottom"/>
          </w:tcPr>
          <w:p>
            <w:pPr>
              <w:spacing w:after="0"/>
              <w:rPr>
                <w:sz w:val="17"/>
                <w:szCs w:val="17"/>
                <w:color w:val="auto"/>
              </w:rPr>
            </w:pPr>
          </w:p>
        </w:tc>
        <w:tc>
          <w:tcPr>
            <w:tcW w:w="4880" w:type="dxa"/>
            <w:vAlign w:val="bottom"/>
            <w:gridSpan w:val="5"/>
          </w:tcPr>
          <w:p>
            <w:pPr>
              <w:jc w:val="center"/>
              <w:ind w:right="1680"/>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292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color w:val="auto"/>
              </w:rPr>
              <w:t>Identification Number)</w:t>
            </w:r>
          </w:p>
        </w:tc>
      </w:tr>
      <w:tr>
        <w:trPr>
          <w:trHeight w:val="375"/>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1400 American Lane</w:t>
            </w: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00" w:type="dxa"/>
            <w:vAlign w:val="bottom"/>
            <w:gridSpan w:val="3"/>
          </w:tcPr>
          <w:p>
            <w:pPr>
              <w:jc w:val="center"/>
              <w:ind w:left="982"/>
              <w:spacing w:after="0"/>
              <w:rPr>
                <w:sz w:val="20"/>
                <w:szCs w:val="20"/>
                <w:color w:val="auto"/>
              </w:rPr>
            </w:pPr>
            <w:r>
              <w:rPr>
                <w:rFonts w:ascii="Times New Roman" w:cs="Times New Roman" w:eastAsia="Times New Roman" w:hAnsi="Times New Roman"/>
                <w:sz w:val="15"/>
                <w:szCs w:val="15"/>
                <w:b w:val="1"/>
                <w:bCs w:val="1"/>
                <w:color w:val="auto"/>
              </w:rPr>
              <w:t>Schaumburg, Illinois 60173</w:t>
            </w:r>
          </w:p>
        </w:tc>
        <w:tc>
          <w:tcPr>
            <w:tcW w:w="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20" w:type="dxa"/>
            <w:vAlign w:val="bottom"/>
            <w:gridSpan w:val="6"/>
          </w:tcPr>
          <w:p>
            <w:pPr>
              <w:jc w:val="center"/>
              <w:ind w:right="1840"/>
              <w:spacing w:after="0"/>
              <w:rPr>
                <w:sz w:val="20"/>
                <w:szCs w:val="20"/>
                <w:color w:val="auto"/>
              </w:rPr>
            </w:pPr>
            <w:r>
              <w:rPr>
                <w:rFonts w:ascii="Times New Roman" w:cs="Times New Roman" w:eastAsia="Times New Roman" w:hAnsi="Times New Roman"/>
                <w:sz w:val="15"/>
                <w:szCs w:val="15"/>
                <w:color w:val="auto"/>
              </w:rPr>
              <w:t>(Address of principal executive offices and zip code)</w:t>
            </w:r>
          </w:p>
        </w:tc>
      </w:tr>
      <w:tr>
        <w:trPr>
          <w:trHeight w:val="297"/>
        </w:trPr>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gridSpan w:val="3"/>
          </w:tcPr>
          <w:p>
            <w:pPr>
              <w:jc w:val="center"/>
              <w:ind w:left="982"/>
              <w:spacing w:after="0"/>
              <w:rPr>
                <w:sz w:val="20"/>
                <w:szCs w:val="20"/>
                <w:color w:val="auto"/>
              </w:rPr>
            </w:pPr>
            <w:r>
              <w:rPr>
                <w:rFonts w:ascii="Times New Roman" w:cs="Times New Roman" w:eastAsia="Times New Roman" w:hAnsi="Times New Roman"/>
                <w:sz w:val="17"/>
                <w:szCs w:val="17"/>
                <w:b w:val="1"/>
                <w:bCs w:val="1"/>
                <w:color w:val="auto"/>
              </w:rPr>
              <w:t>(847) 463-3200</w:t>
            </w: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20" w:type="dxa"/>
            <w:vAlign w:val="bottom"/>
            <w:gridSpan w:val="6"/>
          </w:tcPr>
          <w:p>
            <w:pPr>
              <w:jc w:val="center"/>
              <w:ind w:right="1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r>
      <w:tr>
        <w:trPr>
          <w:trHeight w:val="202"/>
        </w:trPr>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20" w:type="dxa"/>
            <w:vAlign w:val="bottom"/>
            <w:gridSpan w:val="6"/>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313"/>
        </w:trPr>
        <w:tc>
          <w:tcPr>
            <w:tcW w:w="600" w:type="dxa"/>
            <w:vAlign w:val="bottom"/>
          </w:tcPr>
          <w:p>
            <w:pPr>
              <w:spacing w:after="0"/>
              <w:rPr>
                <w:sz w:val="24"/>
                <w:szCs w:val="24"/>
                <w:color w:val="auto"/>
              </w:rPr>
            </w:pPr>
          </w:p>
        </w:tc>
        <w:tc>
          <w:tcPr>
            <w:tcW w:w="1980" w:type="dxa"/>
            <w:vAlign w:val="bottom"/>
            <w:gridSpan w:val="2"/>
          </w:tcPr>
          <w:p>
            <w:pPr>
              <w:jc w:val="center"/>
              <w:ind w:right="946"/>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140" w:type="dxa"/>
            <w:vAlign w:val="bottom"/>
          </w:tcPr>
          <w:p>
            <w:pPr>
              <w:spacing w:after="0"/>
              <w:rPr>
                <w:sz w:val="24"/>
                <w:szCs w:val="24"/>
                <w:color w:val="auto"/>
              </w:rPr>
            </w:pPr>
          </w:p>
        </w:tc>
        <w:tc>
          <w:tcPr>
            <w:tcW w:w="176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860" w:type="dxa"/>
            <w:vAlign w:val="bottom"/>
          </w:tcPr>
          <w:p>
            <w:pPr>
              <w:spacing w:after="0"/>
              <w:rPr>
                <w:sz w:val="24"/>
                <w:szCs w:val="24"/>
                <w:color w:val="auto"/>
              </w:rPr>
            </w:pPr>
          </w:p>
        </w:tc>
        <w:tc>
          <w:tcPr>
            <w:tcW w:w="20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Name of Exchange on which registered</w:t>
            </w:r>
          </w:p>
        </w:tc>
      </w:tr>
      <w:tr>
        <w:trPr>
          <w:trHeight w:val="20"/>
        </w:trPr>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1"/>
        </w:trPr>
        <w:tc>
          <w:tcPr>
            <w:tcW w:w="2580" w:type="dxa"/>
            <w:vAlign w:val="bottom"/>
            <w:gridSpan w:val="3"/>
          </w:tcPr>
          <w:p>
            <w:pPr>
              <w:jc w:val="center"/>
              <w:ind w:right="326"/>
              <w:spacing w:after="0"/>
              <w:rPr>
                <w:sz w:val="20"/>
                <w:szCs w:val="20"/>
                <w:color w:val="auto"/>
              </w:rPr>
            </w:pPr>
            <w:r>
              <w:rPr>
                <w:rFonts w:ascii="Times New Roman" w:cs="Times New Roman" w:eastAsia="Times New Roman" w:hAnsi="Times New Roman"/>
                <w:sz w:val="12"/>
                <w:szCs w:val="12"/>
                <w:color w:val="auto"/>
              </w:rPr>
              <w:t>Common Stock, par value $0.001 per share</w:t>
            </w:r>
          </w:p>
        </w:tc>
        <w:tc>
          <w:tcPr>
            <w:tcW w:w="1140" w:type="dxa"/>
            <w:vAlign w:val="bottom"/>
          </w:tcPr>
          <w:p>
            <w:pPr>
              <w:spacing w:after="0"/>
              <w:rPr>
                <w:sz w:val="19"/>
                <w:szCs w:val="19"/>
                <w:color w:val="auto"/>
              </w:rPr>
            </w:pPr>
          </w:p>
        </w:tc>
        <w:tc>
          <w:tcPr>
            <w:tcW w:w="176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color w:val="auto"/>
                <w:w w:val="97"/>
              </w:rPr>
              <w:t>PCTY</w:t>
            </w:r>
          </w:p>
        </w:tc>
        <w:tc>
          <w:tcPr>
            <w:tcW w:w="2920" w:type="dxa"/>
            <w:vAlign w:val="bottom"/>
            <w:gridSpan w:val="3"/>
          </w:tcPr>
          <w:p>
            <w:pPr>
              <w:jc w:val="center"/>
              <w:ind w:left="768"/>
              <w:spacing w:after="0"/>
              <w:rPr>
                <w:sz w:val="20"/>
                <w:szCs w:val="20"/>
                <w:color w:val="auto"/>
              </w:rPr>
            </w:pPr>
            <w:r>
              <w:rPr>
                <w:rFonts w:ascii="Times New Roman" w:cs="Times New Roman" w:eastAsia="Times New Roman" w:hAnsi="Times New Roman"/>
                <w:sz w:val="12"/>
                <w:szCs w:val="12"/>
                <w:color w:val="auto"/>
              </w:rPr>
              <w:t>The NASDAQ Global Select Market LLC</w:t>
            </w:r>
          </w:p>
        </w:tc>
      </w:tr>
    </w:tbl>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1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5"/>
          <w:szCs w:val="15"/>
          <w:color w:val="auto"/>
        </w:rPr>
        <w:t>__________________________________________________</w:t>
      </w:r>
    </w:p>
    <w:p>
      <w:pPr>
        <w:spacing w:after="0" w:line="62" w:lineRule="exact"/>
        <w:rPr>
          <w:sz w:val="20"/>
          <w:szCs w:val="20"/>
          <w:color w:val="auto"/>
        </w:rPr>
      </w:pPr>
    </w:p>
    <w:p>
      <w:pPr>
        <w:ind w:right="2420"/>
        <w:spacing w:after="0" w:line="303"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8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9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40" w:type="dxa"/>
            <w:vAlign w:val="bottom"/>
          </w:tcPr>
          <w:p>
            <w:pPr>
              <w:ind w:left="180"/>
              <w:spacing w:after="0"/>
              <w:rPr>
                <w:sz w:val="20"/>
                <w:szCs w:val="20"/>
                <w:color w:val="auto"/>
              </w:rPr>
            </w:pPr>
            <w:r>
              <w:rPr>
                <w:rFonts w:ascii="Wingdings" w:cs="Wingdings" w:eastAsia="Wingdings" w:hAnsi="Wingdings"/>
                <w:sz w:val="14"/>
                <w:szCs w:val="14"/>
                <w:b w:val="1"/>
                <w:bCs w:val="1"/>
                <w:color w:val="auto"/>
              </w:rPr>
              <w:t>x</w:t>
            </w:r>
          </w:p>
        </w:tc>
        <w:tc>
          <w:tcPr>
            <w:tcW w:w="44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00"/>
              <w:spacing w:after="0"/>
              <w:rPr>
                <w:sz w:val="20"/>
                <w:szCs w:val="20"/>
                <w:color w:val="auto"/>
              </w:rPr>
            </w:pPr>
            <w:r>
              <w:rPr>
                <w:rFonts w:ascii="Wingdings" w:cs="Wingdings" w:eastAsia="Wingdings" w:hAnsi="Wingdings"/>
                <w:sz w:val="14"/>
                <w:szCs w:val="14"/>
                <w:b w:val="1"/>
                <w:bCs w:val="1"/>
                <w:color w:val="auto"/>
                <w:w w:val="95"/>
              </w:rPr>
              <w:t>o</w:t>
            </w:r>
          </w:p>
        </w:tc>
      </w:tr>
      <w:tr>
        <w:trPr>
          <w:trHeight w:val="29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40" w:type="dxa"/>
            <w:vAlign w:val="bottom"/>
          </w:tcPr>
          <w:p>
            <w:pPr>
              <w:ind w:left="180"/>
              <w:spacing w:after="0"/>
              <w:rPr>
                <w:sz w:val="20"/>
                <w:szCs w:val="20"/>
                <w:color w:val="auto"/>
              </w:rPr>
            </w:pPr>
            <w:r>
              <w:rPr>
                <w:rFonts w:ascii="Wingdings" w:cs="Wingdings" w:eastAsia="Wingdings" w:hAnsi="Wingdings"/>
                <w:sz w:val="14"/>
                <w:szCs w:val="14"/>
                <w:b w:val="1"/>
                <w:bCs w:val="1"/>
                <w:color w:val="auto"/>
              </w:rPr>
              <w:t>o</w:t>
            </w:r>
          </w:p>
        </w:tc>
        <w:tc>
          <w:tcPr>
            <w:tcW w:w="44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rPr>
                <w:sz w:val="20"/>
                <w:szCs w:val="20"/>
                <w:color w:val="auto"/>
              </w:rPr>
            </w:pPr>
            <w:r>
              <w:rPr>
                <w:rFonts w:ascii="Wingdings" w:cs="Wingdings" w:eastAsia="Wingdings" w:hAnsi="Wingdings"/>
                <w:sz w:val="14"/>
                <w:szCs w:val="14"/>
                <w:b w:val="1"/>
                <w:bCs w:val="1"/>
                <w:color w:val="auto"/>
                <w:w w:val="95"/>
              </w:rPr>
              <w:t>o</w:t>
            </w:r>
          </w:p>
        </w:tc>
      </w:tr>
      <w:tr>
        <w:trPr>
          <w:trHeight w:val="299"/>
        </w:trPr>
        <w:tc>
          <w:tcPr>
            <w:tcW w:w="1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8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940" w:type="dxa"/>
            <w:vAlign w:val="bottom"/>
          </w:tcPr>
          <w:p>
            <w:pPr>
              <w:ind w:left="80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87"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360"/>
        <w:spacing w:after="0" w:line="28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ind w:right="440"/>
        <w:spacing w:after="0" w:line="28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ind w:right="460"/>
        <w:spacing w:after="0" w:line="291"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4"/>
          <w:szCs w:val="14"/>
          <w:b w:val="1"/>
          <w:bCs w:val="1"/>
          <w:color w:val="auto"/>
        </w:rPr>
        <w: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37"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registrant as of December 31, 2024, the last day of registrant’s most recently completed second fiscal quarter, was $9.0 billion (based on the closing price for shares of the registrant’s common stock as reported by the NASDAQ Global Select Market on that date).</w:t>
      </w:r>
    </w:p>
    <w:p>
      <w:pPr>
        <w:spacing w:after="0"/>
        <w:rPr>
          <w:sz w:val="20"/>
          <w:szCs w:val="20"/>
          <w:color w:val="auto"/>
        </w:rPr>
      </w:pPr>
      <w:r>
        <w:rPr>
          <w:rFonts w:ascii="Times New Roman" w:cs="Times New Roman" w:eastAsia="Times New Roman" w:hAnsi="Times New Roman"/>
          <w:sz w:val="14"/>
          <w:szCs w:val="14"/>
          <w:color w:val="auto"/>
        </w:rPr>
        <w:t>As of July 30, 2025, there were 55,161,627 shares of the registrant’s common stock issued and outstanding.</w:t>
      </w:r>
    </w:p>
    <w:p>
      <w:pPr>
        <w:spacing w:after="0" w:line="1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5"/>
          <w:szCs w:val="15"/>
          <w:color w:val="auto"/>
        </w:rPr>
        <w:t>__________________________________________________</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9"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4"/>
          <w:szCs w:val="14"/>
          <w:color w:val="auto"/>
        </w:rPr>
        <w:t>The information required by Part III of this Report, to the extent not set forth herein, is incorporated herein by reference from the Proxy Statement relating to the registrant’s 2026 annual meeting of stockholders, which shall be filed with the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95885</wp:posOffset>
            </wp:positionV>
            <wp:extent cx="597217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72175" cy="12065"/>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120015</wp:posOffset>
            </wp:positionV>
            <wp:extent cx="597217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72175" cy="1206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393700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393700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040"/>
          </w:cols>
          <w:pgMar w:left="900" w:top="572" w:right="941" w:bottom="68" w:gutter="0" w:footer="0" w:header="0"/>
        </w:sectPr>
      </w:pPr>
    </w:p>
    <w:bookmarkStart w:id="11" w:name="page12"/>
    <w:bookmarkEnd w:id="11"/>
    <w:p>
      <w:pPr>
        <w:ind w:left="30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t>PAYLOCITY HOLDING CORPORATION</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For the Year Ended June 30, 2025</w:t>
      </w:r>
    </w:p>
    <w:p>
      <w:pPr>
        <w:spacing w:after="0" w:line="1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4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22225</wp:posOffset>
            </wp:positionV>
            <wp:extent cx="44767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7675" cy="1270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62" w:lineRule="exact"/>
        <w:rPr>
          <w:sz w:val="20"/>
          <w:szCs w:val="20"/>
          <w:color w:val="auto"/>
        </w:rPr>
      </w:pPr>
    </w:p>
    <w:p>
      <w:pPr>
        <w:spacing w:after="0"/>
        <w:tabs>
          <w:tab w:leader="none" w:pos="980" w:val="left"/>
          <w:tab w:leader="dot" w:pos="96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1</w:t>
      </w:r>
    </w:p>
    <w:p>
      <w:pPr>
        <w:spacing w:after="0" w:line="70" w:lineRule="exact"/>
        <w:rPr>
          <w:sz w:val="20"/>
          <w:szCs w:val="20"/>
          <w:color w:val="auto"/>
        </w:rPr>
      </w:pPr>
    </w:p>
    <w:p>
      <w:pPr>
        <w:spacing w:after="0"/>
        <w:tabs>
          <w:tab w:leader="none" w:pos="980" w:val="left"/>
          <w:tab w:leader="dot" w:pos="958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13</w:t>
      </w:r>
    </w:p>
    <w:p>
      <w:pPr>
        <w:spacing w:after="0" w:line="70" w:lineRule="exact"/>
        <w:rPr>
          <w:sz w:val="20"/>
          <w:szCs w:val="20"/>
          <w:color w:val="auto"/>
        </w:rPr>
      </w:pPr>
    </w:p>
    <w:p>
      <w:pPr>
        <w:spacing w:after="0"/>
        <w:tabs>
          <w:tab w:leader="none" w:pos="980" w:val="left"/>
          <w:tab w:leader="dot" w:pos="958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26</w:t>
      </w:r>
    </w:p>
    <w:p>
      <w:pPr>
        <w:spacing w:after="0" w:line="70" w:lineRule="exact"/>
        <w:rPr>
          <w:sz w:val="20"/>
          <w:szCs w:val="20"/>
          <w:color w:val="auto"/>
        </w:rPr>
      </w:pPr>
    </w:p>
    <w:p>
      <w:pPr>
        <w:spacing w:after="0"/>
        <w:tabs>
          <w:tab w:leader="none" w:pos="980" w:val="left"/>
          <w:tab w:leader="dot" w:pos="958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26</w:t>
      </w:r>
    </w:p>
    <w:p>
      <w:pPr>
        <w:spacing w:after="0" w:line="70" w:lineRule="exact"/>
        <w:rPr>
          <w:sz w:val="20"/>
          <w:szCs w:val="20"/>
          <w:color w:val="auto"/>
        </w:rPr>
      </w:pPr>
    </w:p>
    <w:p>
      <w:pPr>
        <w:spacing w:after="0"/>
        <w:tabs>
          <w:tab w:leader="none" w:pos="980" w:val="left"/>
          <w:tab w:leader="dot" w:pos="95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28</w:t>
      </w:r>
    </w:p>
    <w:p>
      <w:pPr>
        <w:spacing w:after="0" w:line="70" w:lineRule="exact"/>
        <w:rPr>
          <w:sz w:val="20"/>
          <w:szCs w:val="20"/>
          <w:color w:val="auto"/>
        </w:rPr>
      </w:pPr>
    </w:p>
    <w:p>
      <w:pPr>
        <w:spacing w:after="0"/>
        <w:tabs>
          <w:tab w:leader="none" w:pos="980" w:val="left"/>
          <w:tab w:leader="dot" w:pos="95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28</w:t>
      </w:r>
    </w:p>
    <w:p>
      <w:pPr>
        <w:spacing w:after="0" w:line="70" w:lineRule="exact"/>
        <w:rPr>
          <w:sz w:val="20"/>
          <w:szCs w:val="20"/>
          <w:color w:val="auto"/>
        </w:rPr>
      </w:pPr>
    </w:p>
    <w:p>
      <w:pPr>
        <w:spacing w:after="0"/>
        <w:tabs>
          <w:tab w:leader="none" w:pos="980" w:val="left"/>
          <w:tab w:leader="dot" w:pos="95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28</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ectPr>
          <w:pgSz w:w="11880" w:h="15481" w:orient="portrait"/>
          <w:cols w:equalWidth="0" w:num="1">
            <w:col w:w="9800"/>
          </w:cols>
          <w:pgMar w:left="1040" w:top="391" w:right="1041" w:bottom="1440" w:gutter="0" w:footer="0" w:header="0"/>
        </w:sectPr>
      </w:pPr>
    </w:p>
    <w:p>
      <w:pPr>
        <w:spacing w:after="0" w:line="37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w:t>
      </w:r>
    </w:p>
    <w:p>
      <w:pPr>
        <w:spacing w:after="0" w:line="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Equity Securities</w:t>
      </w:r>
      <w:r>
        <w:rPr>
          <w:rFonts w:ascii="Times New Roman" w:cs="Times New Roman" w:eastAsia="Times New Roman" w:hAnsi="Times New Roman"/>
          <w:sz w:val="20"/>
          <w:szCs w:val="20"/>
          <w:color w:val="AAA6A1"/>
        </w:rPr>
        <w:t>......................................................................................................................................</w:t>
      </w:r>
    </w:p>
    <w:p>
      <w:pPr>
        <w:spacing w:after="0" w:line="8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rFonts w:ascii="Times New Roman" w:cs="Times New Roman" w:eastAsia="Times New Roman" w:hAnsi="Times New Roman"/>
          <w:sz w:val="20"/>
          <w:szCs w:val="20"/>
          <w:color w:val="AAA6A1"/>
        </w:rPr>
        <w:t>................................................................................................................................................</w:t>
      </w:r>
    </w:p>
    <w:p>
      <w:pPr>
        <w:spacing w:after="0" w:line="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rFonts w:ascii="Times New Roman" w:cs="Times New Roman" w:eastAsia="Times New Roman" w:hAnsi="Times New Roman"/>
          <w:sz w:val="20"/>
          <w:szCs w:val="20"/>
          <w:color w:val="AAA6A1"/>
        </w:rPr>
        <w:t>..................</w:t>
      </w:r>
    </w:p>
    <w:p>
      <w:pPr>
        <w:spacing w:after="0" w:line="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19"/>
          <w:szCs w:val="19"/>
          <w:color w:val="auto"/>
        </w:rPr>
        <w:t xml:space="preserve">Quantitative and Qualitative Disclosures about Market Risk </w:t>
      </w:r>
      <w:r>
        <w:rPr>
          <w:rFonts w:ascii="Times New Roman" w:cs="Times New Roman" w:eastAsia="Times New Roman" w:hAnsi="Times New Roman"/>
          <w:sz w:val="19"/>
          <w:szCs w:val="19"/>
          <w:color w:val="AAA6A1"/>
        </w:rPr>
        <w:t>.................................................................</w:t>
      </w:r>
    </w:p>
    <w:p>
      <w:pPr>
        <w:spacing w:after="0" w:line="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 xml:space="preserve">Financial Statements and Supplementary Data </w:t>
      </w:r>
      <w:r>
        <w:rPr>
          <w:rFonts w:ascii="Times New Roman" w:cs="Times New Roman" w:eastAsia="Times New Roman" w:hAnsi="Times New Roman"/>
          <w:sz w:val="19"/>
          <w:szCs w:val="19"/>
          <w:color w:val="AAA6A1"/>
        </w:rPr>
        <w:t>.......................................................................................</w:t>
      </w:r>
    </w:p>
    <w:p>
      <w:pPr>
        <w:spacing w:after="0" w:line="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 xml:space="preserve">Changes in and Disagreements With Accountants on Accounting and Financial Disclosure </w:t>
      </w:r>
      <w:r>
        <w:rPr>
          <w:rFonts w:ascii="Times New Roman" w:cs="Times New Roman" w:eastAsia="Times New Roman" w:hAnsi="Times New Roman"/>
          <w:sz w:val="19"/>
          <w:szCs w:val="19"/>
          <w:color w:val="AAA6A1"/>
        </w:rPr>
        <w:t>................</w:t>
      </w:r>
    </w:p>
    <w:p>
      <w:pPr>
        <w:spacing w:after="0" w:line="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9A.</w:t>
        <w:tab/>
        <w:t>Controls and Procedures</w:t>
      </w:r>
      <w:r>
        <w:rPr>
          <w:rFonts w:ascii="Times New Roman" w:cs="Times New Roman" w:eastAsia="Times New Roman" w:hAnsi="Times New Roman"/>
          <w:sz w:val="20"/>
          <w:szCs w:val="20"/>
          <w:color w:val="AAA6A1"/>
        </w:rPr>
        <w:t>..........................................................................................................................</w:t>
      </w:r>
    </w:p>
    <w:p>
      <w:pPr>
        <w:spacing w:after="0" w:line="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19"/>
          <w:szCs w:val="19"/>
          <w:color w:val="auto"/>
        </w:rPr>
        <w:t xml:space="preserve">Other Information </w:t>
      </w:r>
      <w:r>
        <w:rPr>
          <w:rFonts w:ascii="Times New Roman" w:cs="Times New Roman" w:eastAsia="Times New Roman" w:hAnsi="Times New Roman"/>
          <w:sz w:val="19"/>
          <w:szCs w:val="19"/>
          <w:color w:val="AAA6A1"/>
        </w:rPr>
        <w:t>....................................................................................................................................</w:t>
      </w:r>
    </w:p>
    <w:p>
      <w:pPr>
        <w:spacing w:after="0" w:line="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19"/>
          <w:szCs w:val="19"/>
          <w:color w:val="auto"/>
        </w:rPr>
        <w:t xml:space="preserve">Disclosure Regarding Foreign Jurisdictions that Prevent Inspections </w:t>
      </w:r>
      <w:r>
        <w:rPr>
          <w:rFonts w:ascii="Times New Roman" w:cs="Times New Roman" w:eastAsia="Times New Roman" w:hAnsi="Times New Roman"/>
          <w:sz w:val="19"/>
          <w:szCs w:val="19"/>
          <w:color w:val="AAA6A1"/>
        </w:rPr>
        <w: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794" w:lineRule="exact"/>
        <w:rPr>
          <w:sz w:val="20"/>
          <w:szCs w:val="20"/>
          <w:color w:val="auto"/>
        </w:rPr>
      </w:pPr>
    </w:p>
    <w:p>
      <w:pPr>
        <w:sectPr>
          <w:pgSz w:w="11880" w:h="15481" w:orient="portrait"/>
          <w:cols w:equalWidth="0" w:num="2">
            <w:col w:w="9100" w:space="500"/>
            <w:col w:w="200"/>
          </w:cols>
          <w:pgMar w:left="1040" w:top="391" w:right="1041"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xml:space="preserve">Directors, Executive Officers and Corporate Governance </w:t>
            </w:r>
            <w:r>
              <w:rPr>
                <w:rFonts w:ascii="Times New Roman" w:cs="Times New Roman" w:eastAsia="Times New Roman" w:hAnsi="Times New Roman"/>
                <w:sz w:val="20"/>
                <w:szCs w:val="20"/>
                <w:color w:val="AAA6A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8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xml:space="preserve">Executive Compensation </w:t>
            </w:r>
            <w:r>
              <w:rPr>
                <w:rFonts w:ascii="Times New Roman" w:cs="Times New Roman" w:eastAsia="Times New Roman" w:hAnsi="Times New Roman"/>
                <w:sz w:val="20"/>
                <w:szCs w:val="20"/>
                <w:color w:val="AAA6A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74"/>
        </w:trPr>
        <w:tc>
          <w:tcPr>
            <w:tcW w:w="860" w:type="dxa"/>
            <w:vAlign w:val="bottom"/>
          </w:tcPr>
          <w:p>
            <w:pPr>
              <w:spacing w:after="0"/>
              <w:rPr>
                <w:sz w:val="23"/>
                <w:szCs w:val="23"/>
                <w:color w:val="auto"/>
              </w:rPr>
            </w:pP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xml:space="preserve">Matters </w:t>
            </w:r>
            <w:r>
              <w:rPr>
                <w:rFonts w:ascii="Times New Roman" w:cs="Times New Roman" w:eastAsia="Times New Roman" w:hAnsi="Times New Roman"/>
                <w:sz w:val="20"/>
                <w:szCs w:val="20"/>
                <w:color w:val="AAA6A1"/>
              </w:rPr>
              <w:t>.....................................................................................................................................................</w:t>
            </w:r>
          </w:p>
        </w:tc>
        <w:tc>
          <w:tcPr>
            <w:tcW w:w="460" w:type="dxa"/>
            <w:vAlign w:val="bottom"/>
          </w:tcPr>
          <w:p>
            <w:pPr>
              <w:spacing w:after="0"/>
              <w:rPr>
                <w:sz w:val="23"/>
                <w:szCs w:val="23"/>
                <w:color w:val="auto"/>
              </w:rPr>
            </w:pP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xml:space="preserve">Certain Relationships and Related Transactions, and Director Independence </w:t>
            </w:r>
            <w:r>
              <w:rPr>
                <w:rFonts w:ascii="Times New Roman" w:cs="Times New Roman" w:eastAsia="Times New Roman" w:hAnsi="Times New Roman"/>
                <w:sz w:val="20"/>
                <w:szCs w:val="20"/>
                <w:color w:val="AAA6A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xml:space="preserve">Principal Accounting Fees and Services </w:t>
            </w:r>
            <w:r>
              <w:rPr>
                <w:rFonts w:ascii="Times New Roman" w:cs="Times New Roman" w:eastAsia="Times New Roman" w:hAnsi="Times New Roman"/>
                <w:sz w:val="20"/>
                <w:szCs w:val="20"/>
                <w:color w:val="AAA6A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598"/>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1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xml:space="preserve">Exhibits and Financial Statement Schedules </w:t>
            </w:r>
            <w:r>
              <w:rPr>
                <w:rFonts w:ascii="Times New Roman" w:cs="Times New Roman" w:eastAsia="Times New Roman" w:hAnsi="Times New Roman"/>
                <w:sz w:val="20"/>
                <w:szCs w:val="20"/>
                <w:color w:val="AAA6A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10-K Summary</w:t>
            </w:r>
            <w:r>
              <w:rPr>
                <w:rFonts w:ascii="Times New Roman" w:cs="Times New Roman" w:eastAsia="Times New Roman" w:hAnsi="Times New Roman"/>
                <w:sz w:val="20"/>
                <w:szCs w:val="20"/>
                <w:color w:val="AAA6A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8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w w:val="99"/>
              </w:rPr>
              <w:t>Signatures</w:t>
            </w:r>
          </w:p>
        </w:tc>
        <w:tc>
          <w:tcPr>
            <w:tcW w:w="8480" w:type="dxa"/>
            <w:vAlign w:val="bottom"/>
          </w:tcPr>
          <w:p>
            <w:pPr>
              <w:ind w:left="20"/>
              <w:spacing w:after="0"/>
              <w:rPr>
                <w:sz w:val="20"/>
                <w:szCs w:val="20"/>
                <w:color w:val="auto"/>
              </w:rPr>
            </w:pPr>
            <w:r>
              <w:rPr>
                <w:rFonts w:ascii="Times New Roman" w:cs="Times New Roman" w:eastAsia="Times New Roman" w:hAnsi="Times New Roman"/>
                <w:sz w:val="20"/>
                <w:szCs w:val="20"/>
                <w:color w:val="AAA6A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bl>
    <w:p>
      <w:pPr>
        <w:spacing w:after="0" w:line="18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1311275</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1311275</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00"/>
          </w:cols>
          <w:pgMar w:left="1040" w:top="391" w:right="1041"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5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205" w:lineRule="exact"/>
        <w:rPr>
          <w:sz w:val="20"/>
          <w:szCs w:val="20"/>
          <w:color w:val="auto"/>
        </w:rPr>
      </w:pPr>
    </w:p>
    <w:p>
      <w:pPr>
        <w:ind w:right="20" w:firstLine="72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 “Risk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96" w:lineRule="exact"/>
        <w:rPr>
          <w:sz w:val="20"/>
          <w:szCs w:val="20"/>
          <w:color w:val="auto"/>
        </w:rPr>
      </w:pPr>
    </w:p>
    <w:p>
      <w:pPr>
        <w:jc w:val="both"/>
        <w:ind w:right="140" w:firstLine="7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1" w:lineRule="exact"/>
        <w:rPr>
          <w:sz w:val="20"/>
          <w:szCs w:val="20"/>
          <w:color w:val="auto"/>
        </w:rPr>
      </w:pPr>
    </w:p>
    <w:p>
      <w:pPr>
        <w:ind w:right="80" w:firstLine="720"/>
        <w:spacing w:after="0" w:line="257" w:lineRule="auto"/>
        <w:rPr>
          <w:sz w:val="20"/>
          <w:szCs w:val="20"/>
          <w:color w:val="auto"/>
        </w:rPr>
      </w:pPr>
      <w:r>
        <w:rPr>
          <w:rFonts w:ascii="Times New Roman" w:cs="Times New Roman" w:eastAsia="Times New Roman" w:hAnsi="Times New Roman"/>
          <w:sz w:val="20"/>
          <w:szCs w:val="20"/>
          <w:color w:val="auto"/>
        </w:rPr>
        <w:t>We are a leading cloud-based provider of human capital management, or HCM, payroll and spend management software solutions that deliver a comprehensive platform for the modern workforce. Our platform offers an intuitive, easy-to-use product suite that helps businesses streamline and automate HR, payroll and spend management processes, attract and retain talent, and build culture and connection with their employees. Excluding clients acquired through acquisitions, as of June 30, 2025, we provided our software-as-a-service, or SaaS, solutions to approximately 41,650 clients across the U.S., which on average had over 150 employees.</w:t>
      </w:r>
    </w:p>
    <w:p>
      <w:pPr>
        <w:spacing w:after="0" w:line="202"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Effective management of human capital and business-related spend is a core function in all organizations and requires a significant commitment of resources. Organizations are faced with an ever-changing employment landscape, the complexity of increasingly geographically dispersed employees, and managing hybrid workplaces. At the same time, employees’ expectations are rising, and organizations need to prioritize communication, connection, and collaboration among their employees to differentiate how they attract and retain talent and build a culture of loyalty. Many companies also are operating without the infrastructure, expertise or personnel to implement or support large and complex systems in today’s dynamic environment. Existing solutions offered by third-party service providers can have limited capabilities and configurability while other enterprise-focused software vendors can be prohibitively expensive and time-consuming to implement and manage. We believe that modern organizations are better served by SaaS solutions designed to meet their unique needs, delivering fast time to value, and providing their employees with the most engaging experience available.</w:t>
      </w:r>
    </w:p>
    <w:p>
      <w:pPr>
        <w:sectPr>
          <w:pgSz w:w="11880" w:h="15481" w:orient="portrait"/>
          <w:cols w:equalWidth="0" w:num="1">
            <w:col w:w="9880"/>
          </w:cols>
          <w:pgMar w:left="1000" w:top="391"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p>
    <w:p>
      <w:pPr>
        <w:sectPr>
          <w:pgSz w:w="11880" w:h="15481" w:orient="portrait"/>
          <w:cols w:equalWidth="0" w:num="1">
            <w:col w:w="9880"/>
          </w:cols>
          <w:pgMar w:left="1000" w:top="391" w:right="1001" w:bottom="0" w:gutter="0" w:footer="0" w:header="0"/>
          <w:type w:val="continuous"/>
        </w:sectPr>
      </w:pPr>
    </w:p>
    <w:bookmarkStart w:id="13" w:name="page14"/>
    <w:bookmarkEnd w:id="13"/>
    <w:p>
      <w:pPr>
        <w:ind w:left="720"/>
        <w:spacing w:after="0"/>
        <w:rPr>
          <w:sz w:val="20"/>
          <w:szCs w:val="20"/>
          <w:color w:val="auto"/>
        </w:rPr>
      </w:pPr>
      <w:r>
        <w:rPr>
          <w:rFonts w:ascii="Times New Roman" w:cs="Times New Roman" w:eastAsia="Times New Roman" w:hAnsi="Times New Roman"/>
          <w:sz w:val="20"/>
          <w:szCs w:val="20"/>
          <w:color w:val="auto"/>
        </w:rPr>
        <w:t>Our software solutions provide the following key benefits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221615</wp:posOffset>
            </wp:positionV>
            <wp:extent cx="5118735" cy="3474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18735" cy="347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720" w:right="80" w:hanging="370"/>
        <w:spacing w:after="0" w:line="26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Single Platform with Flexible Data </w:t>
      </w:r>
      <w:r>
        <w:rPr>
          <w:rFonts w:ascii="Times New Roman" w:cs="Times New Roman" w:eastAsia="Times New Roman" w:hAnsi="Times New Roman"/>
          <w:sz w:val="20"/>
          <w:szCs w:val="20"/>
          <w:color w:val="auto"/>
        </w:rPr>
        <w:t>– The foundation of our platform is a single employee system of record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end-to-end capabilities to support the employee lifecycle, ensuring efficiency and compliance from recruitment to retirement.</w:t>
      </w:r>
    </w:p>
    <w:p>
      <w:pPr>
        <w:spacing w:after="0" w:line="189" w:lineRule="exact"/>
        <w:rPr>
          <w:rFonts w:ascii="Times New Roman" w:cs="Times New Roman" w:eastAsia="Times New Roman" w:hAnsi="Times New Roman"/>
          <w:sz w:val="20"/>
          <w:szCs w:val="20"/>
          <w:color w:val="auto"/>
        </w:rPr>
      </w:pPr>
    </w:p>
    <w:p>
      <w:pPr>
        <w:ind w:left="720" w:right="180" w:hanging="370"/>
        <w:spacing w:after="0" w:line="259"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Experience </w:t>
      </w:r>
      <w:r>
        <w:rPr>
          <w:rFonts w:ascii="Times New Roman" w:cs="Times New Roman" w:eastAsia="Times New Roman" w:hAnsi="Times New Roman"/>
          <w:sz w:val="20"/>
          <w:szCs w:val="20"/>
          <w:color w:val="auto"/>
        </w:rPr>
        <w:t>– We embed employee-focused features like native video, collaboration, recognition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rewards, chat, automated surveys and more throughout the platform that enable employers to engage with and retain top talent. Our platform provides tools to communicate, connect to organizations and peers, and focus on career development and growth, which drives engagement, fosters connection across the organization and prioritizes flexibility and well-being for the employees.</w:t>
      </w:r>
    </w:p>
    <w:p>
      <w:pPr>
        <w:spacing w:after="0" w:line="199" w:lineRule="exact"/>
        <w:rPr>
          <w:rFonts w:ascii="Times New Roman" w:cs="Times New Roman" w:eastAsia="Times New Roman" w:hAnsi="Times New Roman"/>
          <w:sz w:val="20"/>
          <w:szCs w:val="20"/>
          <w:color w:val="auto"/>
        </w:rPr>
      </w:pPr>
    </w:p>
    <w:p>
      <w:pPr>
        <w:ind w:left="720" w:hanging="370"/>
        <w:spacing w:after="0" w:line="262"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Insights, Recommendations &amp; AI </w:t>
      </w:r>
      <w:r>
        <w:rPr>
          <w:rFonts w:ascii="Times New Roman" w:cs="Times New Roman" w:eastAsia="Times New Roman" w:hAnsi="Times New Roman"/>
          <w:sz w:val="20"/>
          <w:szCs w:val="20"/>
          <w:color w:val="auto"/>
        </w:rPr>
        <w:t>– Our clients have access to their data for reporting and compliance needs, but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also provide actionable insights powered by artificial intelligence (“AI”) based on best practices across our client base. AI is woven intentionally throughout the platform to deliver value with intelligent automation, tailored insights, and embedded experiences that provide real-time guidance to administrators and employees.</w:t>
      </w:r>
    </w:p>
    <w:p>
      <w:pPr>
        <w:spacing w:after="0" w:line="195" w:lineRule="exact"/>
        <w:rPr>
          <w:rFonts w:ascii="Times New Roman" w:cs="Times New Roman" w:eastAsia="Times New Roman" w:hAnsi="Times New Roman"/>
          <w:sz w:val="20"/>
          <w:szCs w:val="20"/>
          <w:color w:val="auto"/>
        </w:rPr>
      </w:pPr>
    </w:p>
    <w:p>
      <w:pPr>
        <w:ind w:left="720" w:right="420" w:hanging="370"/>
        <w:spacing w:after="0" w:line="268"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Leading Customer Service </w:t>
      </w:r>
      <w:r>
        <w:rPr>
          <w:rFonts w:ascii="Times New Roman" w:cs="Times New Roman" w:eastAsia="Times New Roman" w:hAnsi="Times New Roman"/>
          <w:sz w:val="20"/>
          <w:szCs w:val="20"/>
          <w:color w:val="auto"/>
        </w:rPr>
        <w:t>– We supplement our comprehensive software solutions with an integrated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implementation and client service organization, all of which are designed to meet the needs of our clients and prospects.</w:t>
      </w:r>
    </w:p>
    <w:p>
      <w:pPr>
        <w:spacing w:after="0" w:line="189" w:lineRule="exact"/>
        <w:rPr>
          <w:rFonts w:ascii="Times New Roman" w:cs="Times New Roman" w:eastAsia="Times New Roman" w:hAnsi="Times New Roman"/>
          <w:sz w:val="20"/>
          <w:szCs w:val="20"/>
          <w:color w:val="auto"/>
        </w:rPr>
      </w:pPr>
    </w:p>
    <w:p>
      <w:pPr>
        <w:ind w:left="720" w:right="40" w:hanging="370"/>
        <w:spacing w:after="0" w:line="257"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Seamless Integration with Extensive Ecosystem of Partners </w:t>
      </w:r>
      <w:r>
        <w:rPr>
          <w:rFonts w:ascii="Times New Roman" w:cs="Times New Roman" w:eastAsia="Times New Roman" w:hAnsi="Times New Roman"/>
          <w:sz w:val="20"/>
          <w:szCs w:val="20"/>
          <w:color w:val="auto"/>
        </w:rPr>
        <w:t>– Our software solutions offer our clients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automated data integration with hundreds of third-party partner systems in our Integration Marketplace,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w:t>
      </w:r>
    </w:p>
    <w:p>
      <w:pPr>
        <w:spacing w:after="0" w:line="206" w:lineRule="exact"/>
        <w:rPr>
          <w:sz w:val="20"/>
          <w:szCs w:val="20"/>
          <w:color w:val="auto"/>
        </w:rPr>
      </w:pPr>
    </w:p>
    <w:p>
      <w:pPr>
        <w:ind w:right="20" w:firstLine="720"/>
        <w:spacing w:after="0" w:line="239" w:lineRule="auto"/>
        <w:rPr>
          <w:sz w:val="20"/>
          <w:szCs w:val="20"/>
          <w:color w:val="auto"/>
        </w:rPr>
      </w:pPr>
      <w:r>
        <w:rPr>
          <w:rFonts w:ascii="Times New Roman" w:cs="Times New Roman" w:eastAsia="Times New Roman" w:hAnsi="Times New Roman"/>
          <w:sz w:val="20"/>
          <w:szCs w:val="20"/>
          <w:color w:val="auto"/>
        </w:rPr>
        <w:t>We market and sell our products through our direct sales force. We generate sales leads through a variety of focused marketing initiatives and from our extensive referral network of 401(k) advisors, benefits administrators, insurance brokers, third-party administrators, HR consultants and accountants.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2023, 2024 and 2025. Our total revenues increased from $1,174.6 million in fiscal 2023 to $1,402.5 million in fiscal 2024, representing a 19% year-over-year increase, and to $1,595.2 million in fiscal 2025, representing a 14% year-over-year</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20"/>
          <w:szCs w:val="20"/>
          <w:color w:val="auto"/>
        </w:rPr>
        <w:t>increase. We believe our recurring revenue model and high annual revenue retention rates provide significant visibility into our future operating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57" w:lineRule="exact"/>
        <w:rPr>
          <w:sz w:val="20"/>
          <w:szCs w:val="20"/>
          <w:color w:val="auto"/>
        </w:rPr>
      </w:pPr>
    </w:p>
    <w:p>
      <w:pPr>
        <w:ind w:right="340" w:firstLine="720"/>
        <w:spacing w:after="0" w:line="283" w:lineRule="auto"/>
        <w:rPr>
          <w:sz w:val="20"/>
          <w:szCs w:val="20"/>
          <w:color w:val="auto"/>
        </w:rPr>
      </w:pPr>
      <w:r>
        <w:rPr>
          <w:rFonts w:ascii="Times New Roman" w:cs="Times New Roman" w:eastAsia="Times New Roman" w:hAnsi="Times New Roman"/>
          <w:sz w:val="20"/>
          <w:szCs w:val="20"/>
          <w:color w:val="auto"/>
        </w:rPr>
        <w:t>We intend to strengthen and extend our position as a leading provider of cloud-based HCM, payroll and spend management software solutions. Key elements of our strategy include the following:</w:t>
      </w:r>
    </w:p>
    <w:p>
      <w:pPr>
        <w:spacing w:after="0" w:line="175" w:lineRule="exact"/>
        <w:rPr>
          <w:sz w:val="20"/>
          <w:szCs w:val="20"/>
          <w:color w:val="auto"/>
        </w:rPr>
      </w:pPr>
    </w:p>
    <w:p>
      <w:pPr>
        <w:ind w:left="720" w:right="60" w:hanging="370"/>
        <w:spacing w:after="0" w:line="257"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Extend Technological Leadership</w:t>
      </w:r>
      <w:r>
        <w:rPr>
          <w:rFonts w:ascii="Times New Roman" w:cs="Times New Roman" w:eastAsia="Times New Roman" w:hAnsi="Times New Roman"/>
          <w:sz w:val="20"/>
          <w:szCs w:val="20"/>
          <w:color w:val="auto"/>
        </w:rPr>
        <w:t>. We believe that our cloud-based software solutions, combined with our unified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database architecture, enhance the experience and usability of our products, providing what we believe to be a competitive advantage over alternative solutions. Our modern, intuitive user interface utilizes features found in many popular consumer application experiences, enabling users to use our solutions with limited training. We plan to continue our technology innovation, as we have done with our mobile applications, social features and analytics capabilities.</w:t>
      </w:r>
    </w:p>
    <w:p>
      <w:pPr>
        <w:spacing w:after="0" w:line="202" w:lineRule="exact"/>
        <w:rPr>
          <w:rFonts w:ascii="Times New Roman" w:cs="Times New Roman" w:eastAsia="Times New Roman" w:hAnsi="Times New Roman"/>
          <w:sz w:val="20"/>
          <w:szCs w:val="20"/>
          <w:color w:val="auto"/>
        </w:rPr>
      </w:pPr>
    </w:p>
    <w:p>
      <w:pPr>
        <w:ind w:left="720" w:hanging="370"/>
        <w:spacing w:after="0" w:line="269" w:lineRule="auto"/>
        <w:tabs>
          <w:tab w:leader="none" w:pos="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Grow Our Client Base</w:t>
      </w:r>
      <w:r>
        <w:rPr>
          <w:rFonts w:ascii="Times New Roman" w:cs="Times New Roman" w:eastAsia="Times New Roman" w:hAnsi="Times New Roman"/>
          <w:sz w:val="19"/>
          <w:szCs w:val="19"/>
          <w:color w:val="auto"/>
        </w:rPr>
        <w:t>. We believe that our current client base represents only a small portion of the organizations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could benefit from our solutions. Our clients typically have between 10 to 5,000 employees. While we provide our software solutions to approximately 41,650 clients across the U.S. (excluding clients acquired through acquisitions) as of June 30, 2025, there are approximately 1.3 million businesses with 10 to 5,000 employees in the U.S., employing approximately 73 million people, according to the U.S. Census Bureau in 2022. We believe our realized target addressable market is approximately $22.0 billion as clients, on average, purchase 50% or more of our suite of solutions. As we continue to expand our product offerings, we believe that we have an opportunity to increase the amounts clients spend on our solutions per employee and to expand our addressable market. As we expand our client base and number of client employees, we will also grow our sales organization.</w:t>
      </w:r>
    </w:p>
    <w:p>
      <w:pPr>
        <w:spacing w:after="0" w:line="196" w:lineRule="exact"/>
        <w:rPr>
          <w:rFonts w:ascii="Times New Roman" w:cs="Times New Roman" w:eastAsia="Times New Roman" w:hAnsi="Times New Roman"/>
          <w:sz w:val="19"/>
          <w:szCs w:val="19"/>
          <w:color w:val="auto"/>
        </w:rPr>
      </w:pPr>
    </w:p>
    <w:p>
      <w:pPr>
        <w:ind w:left="720" w:right="120" w:hanging="370"/>
        <w:spacing w:after="0" w:line="268" w:lineRule="auto"/>
        <w:tabs>
          <w:tab w:leader="none" w:pos="72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Expand Our Product Offerings</w:t>
      </w:r>
      <w:r>
        <w:rPr>
          <w:rFonts w:ascii="Times New Roman" w:cs="Times New Roman" w:eastAsia="Times New Roman" w:hAnsi="Times New Roman"/>
          <w:sz w:val="20"/>
          <w:szCs w:val="20"/>
          <w:color w:val="auto"/>
        </w:rPr>
        <w:t>. We believe a significant part of our leadership position is the result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 and innovation in our product offerings. We plan to continue to invest in product development efforts that will allow us to offer a broader selection of products to new and existing clients.</w:t>
      </w:r>
    </w:p>
    <w:p>
      <w:pPr>
        <w:spacing w:after="0" w:line="189" w:lineRule="exact"/>
        <w:rPr>
          <w:rFonts w:ascii="Times New Roman" w:cs="Times New Roman" w:eastAsia="Times New Roman" w:hAnsi="Times New Roman"/>
          <w:sz w:val="20"/>
          <w:szCs w:val="20"/>
          <w:b w:val="1"/>
          <w:bCs w:val="1"/>
          <w:i w:val="1"/>
          <w:iCs w:val="1"/>
          <w:color w:val="auto"/>
        </w:rPr>
      </w:pPr>
    </w:p>
    <w:p>
      <w:pPr>
        <w:ind w:left="720" w:right="100" w:hanging="370"/>
        <w:spacing w:after="0" w:line="25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Further Develop Our Referral Network</w:t>
      </w:r>
      <w:r>
        <w:rPr>
          <w:rFonts w:ascii="Times New Roman" w:cs="Times New Roman" w:eastAsia="Times New Roman" w:hAnsi="Times New Roman"/>
          <w:sz w:val="20"/>
          <w:szCs w:val="20"/>
          <w:color w:val="auto"/>
        </w:rPr>
        <w:t>. We have developed a strong network of referral participants, such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401(k) advisors, benefits administrators, insurance brokers, third-party administrators, HR consultants and accountants that recommend our solutions and provide referrals. We believe that our platform’s automated data integration with hundreds of related third-party partner systems is valuable to our referral participants, as they are able to access payroll, HR and finance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257"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Our HCM, payroll and spend management software solutions deliver a unified platform for the modern workplace. Our platform offers an intuitive, easy-to-use product suite that helps businesses streamline and automate HR, payroll and spend management processes, attract and retain talent, and build culture and connection with their employees. Our product suite includes the following categories: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Payroll</w:t>
      </w:r>
    </w:p>
    <w:p>
      <w:pPr>
        <w:spacing w:after="0" w:line="253" w:lineRule="exact"/>
        <w:rPr>
          <w:sz w:val="20"/>
          <w:szCs w:val="20"/>
          <w:color w:val="auto"/>
        </w:rPr>
      </w:pPr>
    </w:p>
    <w:p>
      <w:pPr>
        <w:ind w:left="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Payroll and Tax Services </w:t>
      </w:r>
      <w:r>
        <w:rPr>
          <w:rFonts w:ascii="Times New Roman" w:cs="Times New Roman" w:eastAsia="Times New Roman" w:hAnsi="Times New Roman"/>
          <w:sz w:val="20"/>
          <w:szCs w:val="20"/>
          <w:color w:val="auto"/>
        </w:rPr>
        <w:t>– Our Payroll and Tax Services solution is designed to simplify payroll, automate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processes and manage complex compliance requirements within one system. Our payroll solution leverages data from our Time &amp; Labor and Human Resource solutions to accurately calculate wages, deductions and withholdings, without the need for manual reentry. Clients work with our experts to configure general ledger integrations, accruals and complex reports to enable data-driven decision making. Our integration capabilities also automatically transfer 401(k) information, retirement plans and benefit files to third-party providers. Through our Tax Services solutions, we accurately prepare and file the necessary tax withholdings and filing documents for local, state and federal jurisdictions.</w:t>
      </w:r>
    </w:p>
    <w:p>
      <w:pPr>
        <w:spacing w:after="0" w:line="207" w:lineRule="exact"/>
        <w:rPr>
          <w:sz w:val="20"/>
          <w:szCs w:val="20"/>
          <w:color w:val="auto"/>
        </w:rPr>
      </w:pPr>
    </w:p>
    <w:p>
      <w:pPr>
        <w:ind w:left="720" w:right="2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Global Payroll – </w:t>
      </w:r>
      <w:r>
        <w:rPr>
          <w:rFonts w:ascii="Times New Roman" w:cs="Times New Roman" w:eastAsia="Times New Roman" w:hAnsi="Times New Roman"/>
          <w:sz w:val="20"/>
          <w:szCs w:val="20"/>
          <w:color w:val="auto"/>
        </w:rPr>
        <w:t>Our cloud-based global payroll solution enables U.S.-based companies to manage payroll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employees outside the U.S. in line with complex local and country-specific requirements across over 100 countries. It also provides consolidated reporting capabilities to efficiently manage a global employee base with real-time access to payroll data.</w:t>
      </w:r>
    </w:p>
    <w:p>
      <w:pPr>
        <w:spacing w:after="0" w:line="196" w:lineRule="exact"/>
        <w:rPr>
          <w:sz w:val="20"/>
          <w:szCs w:val="20"/>
          <w:color w:val="auto"/>
        </w:rPr>
      </w:pPr>
    </w:p>
    <w:p>
      <w:pPr>
        <w:ind w:left="720" w:right="1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On Demand Payment </w:t>
      </w:r>
      <w:r>
        <w:rPr>
          <w:rFonts w:ascii="Times New Roman" w:cs="Times New Roman" w:eastAsia="Times New Roman" w:hAnsi="Times New Roman"/>
          <w:sz w:val="20"/>
          <w:szCs w:val="20"/>
          <w:color w:val="auto"/>
        </w:rPr>
        <w:t>– On Demand Payment provides employees with visibility into their earned wages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between pay cycles based on their hours worked and offers financial flexibility to employees through access to a portion of their earned wages before their scheduled payday without impacting the client’s standard payroll process.</w:t>
      </w:r>
    </w:p>
    <w:p>
      <w:pPr>
        <w:spacing w:after="0" w:line="196" w:lineRule="exact"/>
        <w:rPr>
          <w:sz w:val="20"/>
          <w:szCs w:val="20"/>
          <w:color w:val="auto"/>
        </w:rPr>
      </w:pPr>
    </w:p>
    <w:p>
      <w:pPr>
        <w:ind w:left="720" w:right="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Garnishments </w:t>
      </w:r>
      <w:r>
        <w:rPr>
          <w:rFonts w:ascii="Times New Roman" w:cs="Times New Roman" w:eastAsia="Times New Roman" w:hAnsi="Times New Roman"/>
          <w:sz w:val="20"/>
          <w:szCs w:val="20"/>
          <w:color w:val="auto"/>
        </w:rPr>
        <w:t>– Our Garnishments solution provides the calculation, setup and maintenance of historical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deduction records and performs calculation validation against state and federal legislation to mitigate compliance risk and prevent costly penalties and errors.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Human Resources</w:t>
      </w:r>
    </w:p>
    <w:p>
      <w:pPr>
        <w:spacing w:after="0" w:line="255" w:lineRule="exact"/>
        <w:rPr>
          <w:sz w:val="20"/>
          <w:szCs w:val="20"/>
          <w:color w:val="auto"/>
        </w:rPr>
      </w:pPr>
    </w:p>
    <w:p>
      <w:pPr>
        <w:ind w:left="720" w:right="2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Human Resources </w:t>
      </w:r>
      <w:r>
        <w:rPr>
          <w:rFonts w:ascii="Times New Roman" w:cs="Times New Roman" w:eastAsia="Times New Roman" w:hAnsi="Times New Roman"/>
          <w:sz w:val="20"/>
          <w:szCs w:val="20"/>
          <w:color w:val="auto"/>
        </w:rPr>
        <w:t>– Our Human Resources solutions streamline processes using modern, mobile-enabled tools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help save time by automating administrative tasks and providing data-driven reporting. Clients can track headcount and status for positions, manage position and manager changes, manage compliance tracking and reporting and employee data and documents in one central location.</w:t>
      </w:r>
    </w:p>
    <w:p>
      <w:pPr>
        <w:spacing w:after="0" w:line="196" w:lineRule="exact"/>
        <w:rPr>
          <w:sz w:val="20"/>
          <w:szCs w:val="20"/>
          <w:color w:val="auto"/>
        </w:rPr>
      </w:pPr>
    </w:p>
    <w:p>
      <w:pPr>
        <w:ind w:left="720"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Employee Self-Service </w:t>
      </w:r>
      <w:r>
        <w:rPr>
          <w:rFonts w:ascii="Times New Roman" w:cs="Times New Roman" w:eastAsia="Times New Roman" w:hAnsi="Times New Roman"/>
          <w:sz w:val="20"/>
          <w:szCs w:val="20"/>
          <w:color w:val="auto"/>
        </w:rPr>
        <w:t>– Our Employee Self-Service module provides employees with access to their information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24/7, which allows them to view checks, request time off, clock in and out, update personal data and collaborate with teammates. Employees can also enroll in benefits, view coverage, access training or view course completion status on-the-go via our mobile app. An AI Assistant answers Paylocity-centric questions, as well as client-specific ones based on information in their employee handbooks.</w:t>
      </w:r>
    </w:p>
    <w:p>
      <w:pPr>
        <w:spacing w:after="0" w:line="199" w:lineRule="exact"/>
        <w:rPr>
          <w:sz w:val="20"/>
          <w:szCs w:val="20"/>
          <w:color w:val="auto"/>
        </w:rPr>
      </w:pPr>
    </w:p>
    <w:p>
      <w:pPr>
        <w:ind w:left="720" w:right="6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Workflows &amp; Documents </w:t>
      </w:r>
      <w:r>
        <w:rPr>
          <w:rFonts w:ascii="Times New Roman" w:cs="Times New Roman" w:eastAsia="Times New Roman" w:hAnsi="Times New Roman"/>
          <w:sz w:val="19"/>
          <w:szCs w:val="19"/>
          <w:color w:val="auto"/>
        </w:rPr>
        <w:t>– Workflows, the process automation engine embedded throughout the Paylocity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platform, uses triggers and if/then logic to allow clients to automate manual processes, improving efficiency and data accuracy. Paylocity offers both out-of-the-box workflow templates and allows clients to create their own based on business needs. Documents serves as a central location to securely store personal employee files such as offer letters and performance reviews to help clients stay compliant and organized by replacing manual processes</w:t>
      </w:r>
    </w:p>
    <w:p>
      <w:pPr>
        <w:sectPr>
          <w:pgSz w:w="11880" w:h="15481" w:orient="portrait"/>
          <w:cols w:equalWidth="0" w:num="1">
            <w:col w:w="9840"/>
          </w:cols>
          <w:pgMar w:left="1000" w:top="391" w:right="10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p>
    <w:p>
      <w:pPr>
        <w:sectPr>
          <w:pgSz w:w="11880" w:h="15481" w:orient="portrait"/>
          <w:cols w:equalWidth="0" w:num="1">
            <w:col w:w="9840"/>
          </w:cols>
          <w:pgMar w:left="1000" w:top="391" w:right="1041" w:bottom="0" w:gutter="0" w:footer="0" w:header="0"/>
          <w:type w:val="continuous"/>
        </w:sectPr>
      </w:pPr>
    </w:p>
    <w:bookmarkStart w:id="16" w:name="page17"/>
    <w:bookmarkEnd w:id="16"/>
    <w:p>
      <w:pPr>
        <w:ind w:left="280" w:right="760"/>
        <w:spacing w:after="0" w:line="283" w:lineRule="auto"/>
        <w:rPr>
          <w:sz w:val="20"/>
          <w:szCs w:val="20"/>
          <w:color w:val="auto"/>
        </w:rPr>
      </w:pPr>
      <w:r>
        <w:rPr>
          <w:rFonts w:ascii="Times New Roman" w:cs="Times New Roman" w:eastAsia="Times New Roman" w:hAnsi="Times New Roman"/>
          <w:sz w:val="20"/>
          <w:szCs w:val="20"/>
          <w:color w:val="auto"/>
        </w:rPr>
        <w:t>and paper files. HR professionals can search electronic documents and easily upload, store and download documents while managing access with our role-based permission settings.</w:t>
      </w:r>
    </w:p>
    <w:p>
      <w:pPr>
        <w:spacing w:after="0" w:line="175" w:lineRule="exact"/>
        <w:rPr>
          <w:sz w:val="20"/>
          <w:szCs w:val="20"/>
          <w:color w:val="auto"/>
        </w:rPr>
      </w:pPr>
    </w:p>
    <w:p>
      <w:pPr>
        <w:ind w:left="280" w:right="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HR Compliance Dashboard </w:t>
      </w:r>
      <w:r>
        <w:rPr>
          <w:rFonts w:ascii="Times New Roman" w:cs="Times New Roman" w:eastAsia="Times New Roman" w:hAnsi="Times New Roman"/>
          <w:sz w:val="20"/>
          <w:szCs w:val="20"/>
          <w:color w:val="auto"/>
        </w:rPr>
        <w:t>– With our HR Compliance Dashboard, clients save time and money by staying up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date with new laws and regulations related to topics such as employment verification, Equal Employment Opportunity and compensation.</w:t>
      </w:r>
    </w:p>
    <w:p>
      <w:pPr>
        <w:spacing w:after="0" w:line="190" w:lineRule="exact"/>
        <w:rPr>
          <w:sz w:val="20"/>
          <w:szCs w:val="20"/>
          <w:color w:val="auto"/>
        </w:rPr>
      </w:pPr>
    </w:p>
    <w:p>
      <w:pPr>
        <w:jc w:val="both"/>
        <w:ind w:left="280" w:right="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HR Edge </w:t>
      </w:r>
      <w:r>
        <w:rPr>
          <w:rFonts w:ascii="Times New Roman" w:cs="Times New Roman" w:eastAsia="Times New Roman" w:hAnsi="Times New Roman"/>
          <w:sz w:val="20"/>
          <w:szCs w:val="20"/>
          <w:color w:val="auto"/>
        </w:rPr>
        <w:t>– HR Edge supports human resource leaders’ navigation through complex compliance requirements,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social issues and HR policies. Clients can also access a comprehensive library of detailed articles, guides and other resources to make informed decisions on compliance topics such as healthcare reform, wages and hours regulations, employee leave, state laws, discrimination and more.</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Time &amp; Labor</w:t>
      </w:r>
    </w:p>
    <w:p>
      <w:pPr>
        <w:spacing w:after="0" w:line="255" w:lineRule="exact"/>
        <w:rPr>
          <w:sz w:val="20"/>
          <w:szCs w:val="20"/>
          <w:color w:val="auto"/>
        </w:rPr>
      </w:pPr>
    </w:p>
    <w:p>
      <w:pPr>
        <w:ind w:left="280" w:right="60"/>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 xml:space="preserve">Time and Attendance </w:t>
      </w:r>
      <w:r>
        <w:rPr>
          <w:rFonts w:ascii="Times New Roman" w:cs="Times New Roman" w:eastAsia="Times New Roman" w:hAnsi="Times New Roman"/>
          <w:sz w:val="19"/>
          <w:szCs w:val="19"/>
          <w:color w:val="auto"/>
        </w:rPr>
        <w:t>– Our Time and Attendance solution accurately tracks time and attendance data, eliminating</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need for manual tracking of accruals and reducing administrative tasks. Employees and supervisors can request and manage time off, edit timecards and manage schedule changes. A customizable supervisor dashboard provides at-a-glance visibility to missed punches, pending time off requests, attendance exceptions and more.</w:t>
      </w:r>
    </w:p>
    <w:p>
      <w:pPr>
        <w:spacing w:after="0" w:line="216" w:lineRule="exact"/>
        <w:rPr>
          <w:sz w:val="20"/>
          <w:szCs w:val="20"/>
          <w:color w:val="auto"/>
        </w:rPr>
      </w:pPr>
    </w:p>
    <w:p>
      <w:pPr>
        <w:ind w:left="280" w:right="1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Scheduling </w:t>
      </w:r>
      <w:r>
        <w:rPr>
          <w:rFonts w:ascii="Times New Roman" w:cs="Times New Roman" w:eastAsia="Times New Roman" w:hAnsi="Times New Roman"/>
          <w:sz w:val="20"/>
          <w:szCs w:val="20"/>
          <w:color w:val="auto"/>
        </w:rPr>
        <w:t>– Clients can simplify scheduling by leveraging AI-driven shift recommendations and budgeting/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scheduling advice, leveraging templates, and building policies based on duration; time between shifts; and skills/ certifications. Shift swapping and open shift claiming offer flexibility to employees, ensuring optimal coverage and controlled labor costs. Managers and employees can easily manage their schedules from our mobile app to ensure the appropriate shift coverage.</w:t>
      </w:r>
    </w:p>
    <w:p>
      <w:pPr>
        <w:spacing w:after="0" w:line="197" w:lineRule="exact"/>
        <w:rPr>
          <w:sz w:val="20"/>
          <w:szCs w:val="20"/>
          <w:color w:val="auto"/>
        </w:rPr>
      </w:pPr>
    </w:p>
    <w:p>
      <w:pPr>
        <w:ind w:left="280" w:right="1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Time Collection </w:t>
      </w:r>
      <w:r>
        <w:rPr>
          <w:rFonts w:ascii="Times New Roman" w:cs="Times New Roman" w:eastAsia="Times New Roman" w:hAnsi="Times New Roman"/>
          <w:sz w:val="20"/>
          <w:szCs w:val="20"/>
          <w:color w:val="auto"/>
        </w:rPr>
        <w:t>– Our wide variety of time collection devices include kiosks, state-of-the-art time clocks, mobile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web applications, and even smartwatches to meet unique needs of different companies while enabling employees to clock in wherever business is conducted. Advanced features include specifying geographic parameters for mobile punch-in, answering attestation prompts and other health and safety checks.</w:t>
      </w:r>
    </w:p>
    <w:p>
      <w:pPr>
        <w:spacing w:after="0" w:line="1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Talent</w:t>
      </w:r>
    </w:p>
    <w:p>
      <w:pPr>
        <w:spacing w:after="0" w:line="255" w:lineRule="exact"/>
        <w:rPr>
          <w:sz w:val="20"/>
          <w:szCs w:val="20"/>
          <w:color w:val="auto"/>
        </w:rPr>
      </w:pPr>
    </w:p>
    <w:p>
      <w:pPr>
        <w:ind w:left="280" w:right="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Recruiting </w:t>
      </w:r>
      <w:r>
        <w:rPr>
          <w:rFonts w:ascii="Times New Roman" w:cs="Times New Roman" w:eastAsia="Times New Roman" w:hAnsi="Times New Roman"/>
          <w:sz w:val="20"/>
          <w:szCs w:val="20"/>
          <w:color w:val="auto"/>
        </w:rPr>
        <w:t>– Our Recruiting tools help clients find the right candidates by offering intuitive tools to streamline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talent acquisition processes from application creation to candidate acceptance. HR professionals can reach more candidates by automatically posting to online job portals and enabling candidates to apply via QR code or text message. To promote an inclusive culture, clients can activate masking of certain candidate details to reduce bias. Additionally, our solution provides clients with the ability to auto-fill and simplify background checks, maintain and track personal and confidential data, and have real-time access to candidate information to enable timely staffing decisions. Scheduling is simple with Outlook and Google Calendar integrations and self-scheduling functionality for candidates, and recruiters can communicate with modern candidates in the ways they expect, including one-way video interviews and email and text messaging from right within our platform.</w:t>
      </w:r>
    </w:p>
    <w:p>
      <w:pPr>
        <w:spacing w:after="0" w:line="209" w:lineRule="exact"/>
        <w:rPr>
          <w:sz w:val="20"/>
          <w:szCs w:val="20"/>
          <w:color w:val="auto"/>
        </w:rPr>
      </w:pPr>
    </w:p>
    <w:p>
      <w:pPr>
        <w:ind w:left="280" w:right="10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Onboarding </w:t>
      </w:r>
      <w:r>
        <w:rPr>
          <w:rFonts w:ascii="Times New Roman" w:cs="Times New Roman" w:eastAsia="Times New Roman" w:hAnsi="Times New Roman"/>
          <w:sz w:val="20"/>
          <w:szCs w:val="20"/>
          <w:color w:val="auto"/>
        </w:rPr>
        <w:t>– Our Onboarding tools enable new employees to complete all pre-hire tasks through digital data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collection to gather important personal and confidential information and documentation right through our platform. Clients can streamline processes such as handbook acknowledgment, tax withholding forms, I-9 document verification, E-Verify and many others. Additionally, new hires feel an instant connection to their team and employer with welcome notes from leaders, introductory videos, company culture information and company policies.</w:t>
      </w:r>
    </w:p>
    <w:p>
      <w:pPr>
        <w:spacing w:after="0" w:line="202" w:lineRule="exact"/>
        <w:rPr>
          <w:sz w:val="20"/>
          <w:szCs w:val="20"/>
          <w:color w:val="auto"/>
        </w:rPr>
      </w:pPr>
    </w:p>
    <w:p>
      <w:pPr>
        <w:ind w:left="2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Market Pay </w:t>
      </w:r>
      <w:r>
        <w:rPr>
          <w:rFonts w:ascii="Times New Roman" w:cs="Times New Roman" w:eastAsia="Times New Roman" w:hAnsi="Times New Roman"/>
          <w:sz w:val="20"/>
          <w:szCs w:val="20"/>
          <w:color w:val="auto"/>
        </w:rPr>
        <w:t>– Market Pay provides real time insights for HR, leaders and managers making it easy for them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understand their local market, identify trends, and make data-driven decisions about employee compensation so they can pay employees fairly, outpace competitors to attract and retain top talent, and remain compliant with laws and regulations.</w:t>
      </w:r>
    </w:p>
    <w:p>
      <w:pPr>
        <w:sectPr>
          <w:pgSz w:w="11880" w:h="15481" w:orient="portrait"/>
          <w:cols w:equalWidth="0" w:num="1">
            <w:col w:w="9440"/>
          </w:cols>
          <w:pgMar w:left="1440" w:top="39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p>
    <w:p>
      <w:pPr>
        <w:sectPr>
          <w:pgSz w:w="11880" w:h="15481" w:orient="portrait"/>
          <w:cols w:equalWidth="0" w:num="1">
            <w:col w:w="9440"/>
          </w:cols>
          <w:pgMar w:left="1440" w:top="398" w:right="1001" w:bottom="0" w:gutter="0" w:footer="0" w:header="0"/>
          <w:type w:val="continuous"/>
        </w:sectPr>
      </w:pPr>
    </w:p>
    <w:bookmarkStart w:id="17" w:name="page18"/>
    <w:bookmarkEnd w:id="17"/>
    <w:p>
      <w:pPr>
        <w:ind w:left="280"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Learning </w:t>
      </w:r>
      <w:r>
        <w:rPr>
          <w:rFonts w:ascii="Times New Roman" w:cs="Times New Roman" w:eastAsia="Times New Roman" w:hAnsi="Times New Roman"/>
          <w:sz w:val="20"/>
          <w:szCs w:val="20"/>
          <w:color w:val="auto"/>
        </w:rPr>
        <w:t>– Our Learning tools allow clients to easily assign courses tailored to training their employees on new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skills, policies, products, and other topics with a variety of course delivery methods including on-demand and webinars, all of which are available via our mobile app. Our clients can create a variety of content for their employees including via a Sharable Content Object Reference Model (SCORM), embedded video and various document types. Custom content is supplemented by a library of hundreds of out-of-the-box trainings provided by Paylocity in areas like anti-harassment, workplace safety, diversity in recruiting and many more. Clients can also empower their employees to create trainings so that internal subject matter experts can share their expertise with colleagues. Our Learning tools also offer numerous diversity, equity, inclusion and accessibility courses to help ensure employees are educated to support a diverse workforce.</w:t>
      </w:r>
    </w:p>
    <w:p>
      <w:pPr>
        <w:spacing w:after="0" w:line="209" w:lineRule="exact"/>
        <w:rPr>
          <w:sz w:val="20"/>
          <w:szCs w:val="20"/>
          <w:color w:val="auto"/>
        </w:rPr>
      </w:pPr>
    </w:p>
    <w:p>
      <w:pPr>
        <w:ind w:left="280" w:right="1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w:t>
      </w:r>
      <w:r>
        <w:rPr>
          <w:rFonts w:ascii="Times New Roman" w:cs="Times New Roman" w:eastAsia="Times New Roman" w:hAnsi="Times New Roman"/>
          <w:sz w:val="20"/>
          <w:szCs w:val="20"/>
          <w:color w:val="auto"/>
        </w:rPr>
        <w:t>– Our Performance tools enable transparent, two-way communication, allowing teams to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ongoing performance conversations. With the ability to manage employee review cycles at the center of the performance management solution, employees can also manage goals and track their career development. Our tools help facilitate ongoing, goals-driven conversations using Journals, giving employees a record of their tasks, goals and accomplishments. Additionally, our clients can prepare succession planning assessments across their employee population by using our 9-box tool that provides context to employees’ performance and the ability to visualize the distribution of their workforce.</w:t>
      </w:r>
    </w:p>
    <w:p>
      <w:pPr>
        <w:spacing w:after="0" w:line="203" w:lineRule="exact"/>
        <w:rPr>
          <w:sz w:val="20"/>
          <w:szCs w:val="20"/>
          <w:color w:val="auto"/>
        </w:rPr>
      </w:pPr>
    </w:p>
    <w:p>
      <w:pPr>
        <w:ind w:left="28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Compensation </w:t>
      </w:r>
      <w:r>
        <w:rPr>
          <w:rFonts w:ascii="Times New Roman" w:cs="Times New Roman" w:eastAsia="Times New Roman" w:hAnsi="Times New Roman"/>
          <w:sz w:val="20"/>
          <w:szCs w:val="20"/>
          <w:color w:val="auto"/>
        </w:rPr>
        <w:t>– Our Compensation tools help clients align between organizational goals, budgets and participant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eligibility in an efficient process that reduces manual effort and paper-based budgeting activities. Our customized dashboards provide visibility to individual performance and compensation history at custom permission levels and the full value of an employee’s compensation and benefits. Clients can create employee-facing Total Rewards Statements in bulk to demonstrate the full compensation an employee receives, including not just pay, but also benefits, time off, and more.</w:t>
      </w:r>
    </w:p>
    <w:p>
      <w:pPr>
        <w:spacing w:after="0" w:line="1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Benefits</w:t>
      </w:r>
    </w:p>
    <w:p>
      <w:pPr>
        <w:spacing w:after="0" w:line="255" w:lineRule="exact"/>
        <w:rPr>
          <w:sz w:val="20"/>
          <w:szCs w:val="20"/>
          <w:color w:val="auto"/>
        </w:rPr>
      </w:pPr>
    </w:p>
    <w:p>
      <w:pPr>
        <w:ind w:left="280" w:right="2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 xml:space="preserve">Benefit Enrollment &amp; Updates </w:t>
      </w:r>
      <w:r>
        <w:rPr>
          <w:rFonts w:ascii="Times New Roman" w:cs="Times New Roman" w:eastAsia="Times New Roman" w:hAnsi="Times New Roman"/>
          <w:sz w:val="19"/>
          <w:szCs w:val="19"/>
          <w:color w:val="auto"/>
        </w:rPr>
        <w:t>– Clients can plan and administer competitive benefits packages in one place while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offering a smooth, mobile-friendly enrollment and management experience for employees with our tool. Benefit administrators can add enrollment rules, manage benefit offerings for different employee groups, customize user plan limits, and view plan documentation, among other features. Employees can experience a guided enrollment experience with AI-powered Benefit Decision Support and can manage their own elections and account balances in desktop or via the mobile app. Clients can also use embedded experiences like notifications and training to help employees stay apprised of important dates and understand the benefit options available to them.</w:t>
      </w:r>
    </w:p>
    <w:p>
      <w:pPr>
        <w:spacing w:after="0" w:line="187" w:lineRule="exact"/>
        <w:rPr>
          <w:sz w:val="20"/>
          <w:szCs w:val="20"/>
          <w:color w:val="auto"/>
        </w:rPr>
      </w:pPr>
    </w:p>
    <w:p>
      <w:pPr>
        <w:ind w:left="280" w:right="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Third-Party Administrative (TPA) Solutions </w:t>
      </w:r>
      <w:r>
        <w:rPr>
          <w:rFonts w:ascii="Times New Roman" w:cs="Times New Roman" w:eastAsia="Times New Roman" w:hAnsi="Times New Roman"/>
          <w:sz w:val="20"/>
          <w:szCs w:val="20"/>
          <w:color w:val="auto"/>
        </w:rPr>
        <w:t>– Our TPA solutions are designed to modernize the administration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HSA, FSA, Health Reimbursement Arrangement (HRA), Transportation Management Account (TMA) and Premium Only Plan (POP) benefits by providing users with a single, unified access point for payroll, HR, and benefits administration. Our TPA solutions include mobile and web access, allowing users to view transaction details and account balances while having the ability to submit claims from our integrated employee portal. These solutions also ease the administration of COBRA coverage and retiree billing.</w:t>
      </w:r>
    </w:p>
    <w:p>
      <w:pPr>
        <w:sectPr>
          <w:pgSz w:w="11880" w:h="15481" w:orient="portrait"/>
          <w:cols w:equalWidth="0" w:num="1">
            <w:col w:w="9420"/>
          </w:cols>
          <w:pgMar w:left="1440" w:top="395"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p>
    <w:p>
      <w:pPr>
        <w:sectPr>
          <w:pgSz w:w="11880" w:h="15481" w:orient="portrait"/>
          <w:cols w:equalWidth="0" w:num="1">
            <w:col w:w="9420"/>
          </w:cols>
          <w:pgMar w:left="1440" w:top="395" w:right="1021" w:bottom="0" w:gutter="0" w:footer="0" w:header="0"/>
          <w:type w:val="continuous"/>
        </w:sectPr>
      </w:pPr>
    </w:p>
    <w:bookmarkStart w:id="18" w:name="page19"/>
    <w:bookmarkEnd w:id="18"/>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Employee Experiences</w:t>
      </w:r>
    </w:p>
    <w:p>
      <w:pPr>
        <w:spacing w:after="0" w:line="255" w:lineRule="exact"/>
        <w:rPr>
          <w:sz w:val="20"/>
          <w:szCs w:val="20"/>
          <w:color w:val="auto"/>
        </w:rPr>
      </w:pPr>
    </w:p>
    <w:p>
      <w:pPr>
        <w:ind w:left="280" w:right="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Community </w:t>
      </w:r>
      <w:r>
        <w:rPr>
          <w:rFonts w:ascii="Times New Roman" w:cs="Times New Roman" w:eastAsia="Times New Roman" w:hAnsi="Times New Roman"/>
          <w:sz w:val="20"/>
          <w:szCs w:val="20"/>
          <w:color w:val="auto"/>
        </w:rPr>
        <w:t>– Community is an integrated part of our platform that streamlines communication and fosters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culture of engagement not possible with broadcast emails, antiquated intranets or break room bulletin boards. It empowers clients to engage all employees—even those that are remote, on-the-go or do not have corporate email, which remains critical in the current era of hybrid work. With Community, clients can optimize “broadcast” communications with a company feed that streamlines announcements into a single location. Announcements can be managed, sent and tracked with an intuitive dashboard. Clients can support their employees at scale with Ask an Expert groups where employees can pose questions to designated group experts who manage questions from a dashboard. Community also offers premium capabilities such as one-to-one and one-to many chat functionality to improve real-time communication; the ability to upload, create, edit, and share files; the automatic creation of team groups for supervisors and direct reports; updated user profiles allowing employees to list interests, team members, education, skills or hobbies and enhanced directory and search capability to easily find, follow and engage with co-workers.</w:t>
      </w:r>
    </w:p>
    <w:p>
      <w:pPr>
        <w:spacing w:after="0" w:line="211" w:lineRule="exact"/>
        <w:rPr>
          <w:sz w:val="20"/>
          <w:szCs w:val="20"/>
          <w:color w:val="auto"/>
        </w:rPr>
      </w:pPr>
    </w:p>
    <w:p>
      <w:pPr>
        <w:ind w:left="280" w:right="1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Video </w:t>
      </w:r>
      <w:r>
        <w:rPr>
          <w:rFonts w:ascii="Times New Roman" w:cs="Times New Roman" w:eastAsia="Times New Roman" w:hAnsi="Times New Roman"/>
          <w:sz w:val="20"/>
          <w:szCs w:val="20"/>
          <w:color w:val="auto"/>
        </w:rPr>
        <w:t>– Our Video tools provide clients the ability to record, upload and embed videos across our HCM platform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increase collaboration, morale, engagement and productivity. Clients can embed videos seamlessly into tasks that are critical to their business such as leadership announcements, job postings, onboarding, performance journals, surveys and more.</w:t>
      </w:r>
    </w:p>
    <w:p>
      <w:pPr>
        <w:spacing w:after="0" w:line="196" w:lineRule="exact"/>
        <w:rPr>
          <w:sz w:val="20"/>
          <w:szCs w:val="20"/>
          <w:color w:val="auto"/>
        </w:rPr>
      </w:pPr>
    </w:p>
    <w:p>
      <w:pPr>
        <w:ind w:left="28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 xml:space="preserve">Employee Voice </w:t>
      </w:r>
      <w:r>
        <w:rPr>
          <w:rFonts w:ascii="Times New Roman" w:cs="Times New Roman" w:eastAsia="Times New Roman" w:hAnsi="Times New Roman"/>
          <w:sz w:val="19"/>
          <w:szCs w:val="19"/>
          <w:color w:val="auto"/>
        </w:rPr>
        <w:t>– Employee Voice helps clients automatically and continuously collect feedback that is indicative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employee engagement and retention. AI-generated sentiment summaries synthesize feedback alongside</w:t>
      </w:r>
    </w:p>
    <w:p>
      <w:pPr>
        <w:spacing w:after="0" w:line="1" w:lineRule="exact"/>
        <w:rPr>
          <w:sz w:val="20"/>
          <w:szCs w:val="20"/>
          <w:color w:val="auto"/>
        </w:rPr>
      </w:pPr>
    </w:p>
    <w:p>
      <w:pPr>
        <w:ind w:left="280" w:right="280"/>
        <w:spacing w:after="0" w:line="238" w:lineRule="auto"/>
        <w:rPr>
          <w:sz w:val="20"/>
          <w:szCs w:val="20"/>
          <w:color w:val="auto"/>
        </w:rPr>
      </w:pPr>
      <w:r>
        <w:rPr>
          <w:rFonts w:ascii="Times New Roman" w:cs="Times New Roman" w:eastAsia="Times New Roman" w:hAnsi="Times New Roman"/>
          <w:sz w:val="20"/>
          <w:szCs w:val="20"/>
          <w:color w:val="auto"/>
        </w:rPr>
        <w:t>dashboards and heatmaps that make it simple to understand feedback at scale. It also includes the tools to share relevant insights with leadership and managers and create action plans to drive accountability.</w:t>
      </w:r>
    </w:p>
    <w:p>
      <w:pPr>
        <w:spacing w:after="0" w:line="217" w:lineRule="exact"/>
        <w:rPr>
          <w:sz w:val="20"/>
          <w:szCs w:val="20"/>
          <w:color w:val="auto"/>
        </w:rPr>
      </w:pPr>
    </w:p>
    <w:p>
      <w:pPr>
        <w:ind w:left="280" w:right="4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Recognition &amp; Rewards </w:t>
      </w:r>
      <w:r>
        <w:rPr>
          <w:rFonts w:ascii="Times New Roman" w:cs="Times New Roman" w:eastAsia="Times New Roman" w:hAnsi="Times New Roman"/>
          <w:sz w:val="20"/>
          <w:szCs w:val="20"/>
          <w:color w:val="auto"/>
        </w:rPr>
        <w:t>– Recognition &amp; Rewards allows clients to drive engagement and retention via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frictionless experience embedded throughout our platform. Managers and peer employees can provide direct recognition and reward for outstanding performance and impact with monetary awards and digital gift cards, seamlessly processed through our integrated payroll and tax platform. Administrators retain full control and visibility into how rewards are funded and distributed, ensuring alignment with company culture, objectives, budgets and policies.</w:t>
      </w:r>
    </w:p>
    <w:p>
      <w:pPr>
        <w:spacing w:after="0" w:line="202" w:lineRule="exact"/>
        <w:rPr>
          <w:sz w:val="20"/>
          <w:szCs w:val="20"/>
          <w:color w:val="auto"/>
        </w:rPr>
      </w:pPr>
    </w:p>
    <w:p>
      <w:pPr>
        <w:ind w:left="280"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Modern Workforce Index </w:t>
      </w:r>
      <w:r>
        <w:rPr>
          <w:rFonts w:ascii="Times New Roman" w:cs="Times New Roman" w:eastAsia="Times New Roman" w:hAnsi="Times New Roman"/>
          <w:sz w:val="20"/>
          <w:szCs w:val="20"/>
          <w:color w:val="auto"/>
        </w:rPr>
        <w:t>– Leveraging data from more than 41,650 clients, our patent-pending Modern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Workforce Index (MWI) puts sophisticated AI into an HR intelligence dashboard that gives clients insight into employee sentiment, performance metrics, and engagement. With MWI, clients can identify gaps and receive insightful, actionable recommendations on improving their organization’s health by increasing employee productivity and reducing turnover.</w:t>
      </w:r>
    </w:p>
    <w:p>
      <w:pPr>
        <w:spacing w:after="0" w:line="199" w:lineRule="exact"/>
        <w:rPr>
          <w:sz w:val="20"/>
          <w:szCs w:val="20"/>
          <w:color w:val="auto"/>
        </w:rPr>
      </w:pPr>
    </w:p>
    <w:p>
      <w:pPr>
        <w:ind w:left="280" w:right="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Data Insights </w:t>
      </w:r>
      <w:r>
        <w:rPr>
          <w:rFonts w:ascii="Times New Roman" w:cs="Times New Roman" w:eastAsia="Times New Roman" w:hAnsi="Times New Roman"/>
          <w:sz w:val="20"/>
          <w:szCs w:val="20"/>
          <w:color w:val="auto"/>
        </w:rPr>
        <w:t>– With our Data Insights solution, our clients can evaluate the health of their organizations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actionable insights in areas such as headcount, turnover, labor costs and composition of their employee populations so they can customize, fund and deploy strategies to support diverse employees and identify needs of underrepresented groups.</w:t>
      </w:r>
    </w:p>
    <w:p>
      <w:pPr>
        <w:spacing w:after="0" w:line="196" w:lineRule="exact"/>
        <w:rPr>
          <w:sz w:val="20"/>
          <w:szCs w:val="20"/>
          <w:color w:val="auto"/>
        </w:rPr>
      </w:pPr>
    </w:p>
    <w:p>
      <w:pPr>
        <w:ind w:left="280" w:right="4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Reporting </w:t>
      </w:r>
      <w:r>
        <w:rPr>
          <w:rFonts w:ascii="Times New Roman" w:cs="Times New Roman" w:eastAsia="Times New Roman" w:hAnsi="Times New Roman"/>
          <w:sz w:val="20"/>
          <w:szCs w:val="20"/>
          <w:color w:val="auto"/>
        </w:rPr>
        <w:t>– Clients can build and customize reports within our platform. We also offer hundreds of standard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reports that clients can use as is or adjust to suit their needs. New reports are added regularly in response to regulatory changes, compliance updates and client feedback.</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Paylocity for Finance</w:t>
      </w:r>
    </w:p>
    <w:p>
      <w:pPr>
        <w:spacing w:after="0" w:line="284" w:lineRule="exact"/>
        <w:rPr>
          <w:sz w:val="20"/>
          <w:szCs w:val="20"/>
          <w:color w:val="auto"/>
        </w:rPr>
      </w:pPr>
    </w:p>
    <w:p>
      <w:pPr>
        <w:ind w:left="280" w:right="18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Headcount Planning </w:t>
      </w:r>
      <w:r>
        <w:rPr>
          <w:rFonts w:ascii="Times New Roman" w:cs="Times New Roman" w:eastAsia="Times New Roman" w:hAnsi="Times New Roman"/>
          <w:sz w:val="20"/>
          <w:szCs w:val="20"/>
          <w:color w:val="auto"/>
        </w:rPr>
        <w:t>– Headcount Planning centralizes staffing plans, approvals and forecasts into a streamlined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 Finance, HR, and hiring managers can collaborate in real time using customizable workflows, visibility controls, and dynamic organizational charts to track and update headcount plans as business needs evolve. With integrated analytics and automated notifications, clients can monitor budget versus forecast, drill down into specific teams or roles, open approved roles, and stay ahead of staffing needs.</w:t>
      </w:r>
    </w:p>
    <w:p>
      <w:pPr>
        <w:spacing w:after="0" w:line="237" w:lineRule="exact"/>
        <w:rPr>
          <w:sz w:val="20"/>
          <w:szCs w:val="20"/>
          <w:color w:val="auto"/>
        </w:rPr>
      </w:pPr>
    </w:p>
    <w:p>
      <w:pPr>
        <w:ind w:left="280" w:right="64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Expense Management – </w:t>
      </w:r>
      <w:r>
        <w:rPr>
          <w:rFonts w:ascii="Times New Roman" w:cs="Times New Roman" w:eastAsia="Times New Roman" w:hAnsi="Times New Roman"/>
          <w:sz w:val="20"/>
          <w:szCs w:val="20"/>
          <w:color w:val="auto"/>
        </w:rPr>
        <w:t>Expense Management provides AI-powered expense reports with real-time policy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enforcement, categorization, and compliance.</w:t>
      </w:r>
    </w:p>
    <w:p>
      <w:pPr>
        <w:sectPr>
          <w:pgSz w:w="11880" w:h="15481" w:orient="portrait"/>
          <w:cols w:equalWidth="0" w:num="1">
            <w:col w:w="9420"/>
          </w:cols>
          <w:pgMar w:left="1440" w:top="390"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p>
    <w:p>
      <w:pPr>
        <w:sectPr>
          <w:pgSz w:w="11880" w:h="15481" w:orient="portrait"/>
          <w:cols w:equalWidth="0" w:num="1">
            <w:col w:w="9420"/>
          </w:cols>
          <w:pgMar w:left="1440" w:top="390" w:right="1021" w:bottom="0" w:gutter="0" w:footer="0" w:header="0"/>
          <w:type w:val="continuous"/>
        </w:sectPr>
      </w:pPr>
    </w:p>
    <w:bookmarkStart w:id="19" w:name="page20"/>
    <w:bookmarkEnd w:id="19"/>
    <w:p>
      <w:pPr>
        <w:ind w:left="720" w:right="58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Accounts Payable Automation </w:t>
      </w:r>
      <w:r>
        <w:rPr>
          <w:rFonts w:ascii="Times New Roman" w:cs="Times New Roman" w:eastAsia="Times New Roman" w:hAnsi="Times New Roman"/>
          <w:sz w:val="20"/>
          <w:szCs w:val="20"/>
          <w:color w:val="auto"/>
        </w:rPr>
        <w:t>– AI-powered AP Automation automates every step of the AP process,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vendor onboarding and invoice processing to bill coding, approvals, payments, syncing to the ERP, and reconciliation.</w:t>
      </w:r>
    </w:p>
    <w:p>
      <w:pPr>
        <w:spacing w:after="0" w:line="227" w:lineRule="exact"/>
        <w:rPr>
          <w:sz w:val="20"/>
          <w:szCs w:val="20"/>
          <w:color w:val="auto"/>
        </w:rPr>
      </w:pPr>
    </w:p>
    <w:p>
      <w:pPr>
        <w:ind w:left="720" w:right="3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Corporate Cards </w:t>
      </w:r>
      <w:r>
        <w:rPr>
          <w:rFonts w:ascii="Times New Roman" w:cs="Times New Roman" w:eastAsia="Times New Roman" w:hAnsi="Times New Roman"/>
          <w:sz w:val="20"/>
          <w:szCs w:val="20"/>
          <w:color w:val="auto"/>
        </w:rPr>
        <w:t>– Corporate Cards enables clients to issue virtual or physical cards with built-in controls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real-time tracking, while integrating with existing credit card programs to provide centralized visibility and control of all card spend.</w:t>
      </w:r>
    </w:p>
    <w:p>
      <w:pPr>
        <w:spacing w:after="0" w:line="227" w:lineRule="exact"/>
        <w:rPr>
          <w:sz w:val="20"/>
          <w:szCs w:val="20"/>
          <w:color w:val="auto"/>
        </w:rPr>
      </w:pPr>
    </w:p>
    <w:p>
      <w:pPr>
        <w:ind w:left="720" w:right="1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Guided Procurement </w:t>
      </w:r>
      <w:r>
        <w:rPr>
          <w:rFonts w:ascii="Times New Roman" w:cs="Times New Roman" w:eastAsia="Times New Roman" w:hAnsi="Times New Roman"/>
          <w:sz w:val="20"/>
          <w:szCs w:val="20"/>
          <w:color w:val="auto"/>
        </w:rPr>
        <w:t>– Guided Procurement centralizes purchase requests with automated workflows to ensure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compliance, efficiency, and collaboration across finance, procurement, HR, and business stakeholders such as IT and Legal.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Client Support Teams</w:t>
      </w:r>
    </w:p>
    <w:p>
      <w:pPr>
        <w:spacing w:after="0" w:line="257"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20"/>
          <w:szCs w:val="20"/>
          <w:color w:val="auto"/>
        </w:rPr>
        <w:t>We supplement our comprehensive software platform with an integrated implementation and client service organization with deep subject matter expertise. Our core operation consists of various specialists, including implementation teams, account managers, payroll processing and tax service teams. Delivering a positive experience and a high level of support is an essential element of our ability to sell our solutions and retain clients.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Implementation and Training Services</w:t>
      </w:r>
    </w:p>
    <w:p>
      <w:pPr>
        <w:spacing w:after="0" w:line="258"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Our clients are typically either migrating to our platform from a competitive solution or are adopting their first online HCM, payroll or spend management solution. These organizations often have limited internal resources and rely on us to implement their solutions. We typically implement our product suite within one to eight weeks, depending on the size and complexity of the client.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 configurable, easy-to-use products.</w:t>
      </w:r>
    </w:p>
    <w:p>
      <w:pPr>
        <w:spacing w:after="0" w:line="210" w:lineRule="exact"/>
        <w:rPr>
          <w:sz w:val="20"/>
          <w:szCs w:val="20"/>
          <w:color w:val="auto"/>
        </w:rPr>
      </w:pPr>
    </w:p>
    <w:p>
      <w:pPr>
        <w:jc w:val="both"/>
        <w:ind w:right="180" w:firstLine="720"/>
        <w:spacing w:after="0" w:line="266" w:lineRule="auto"/>
        <w:rPr>
          <w:sz w:val="20"/>
          <w:szCs w:val="20"/>
          <w:color w:val="auto"/>
        </w:rPr>
      </w:pPr>
      <w:r>
        <w:rPr>
          <w:rFonts w:ascii="Times New Roman" w:cs="Times New Roman" w:eastAsia="Times New Roman" w:hAnsi="Times New Roman"/>
          <w:sz w:val="20"/>
          <w:szCs w:val="20"/>
          <w:color w:val="auto"/>
        </w:rPr>
        <w:t>We offer clients the opportunity to utilize on-demand or in-class training designed to provide them with general knowledge on our solutions. We also host an annual conference for our clients to allow them to learn about new products and features and to provide feedback and learn best practices.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Client Service</w:t>
      </w:r>
    </w:p>
    <w:p>
      <w:pPr>
        <w:spacing w:after="0" w:line="258" w:lineRule="exact"/>
        <w:rPr>
          <w:sz w:val="20"/>
          <w:szCs w:val="20"/>
          <w:color w:val="auto"/>
        </w:rPr>
      </w:pPr>
    </w:p>
    <w:p>
      <w:pPr>
        <w:ind w:right="100" w:firstLine="720"/>
        <w:spacing w:after="0" w:line="254" w:lineRule="auto"/>
        <w:rPr>
          <w:sz w:val="20"/>
          <w:szCs w:val="20"/>
          <w:color w:val="auto"/>
        </w:rPr>
      </w:pPr>
      <w:r>
        <w:rPr>
          <w:rFonts w:ascii="Times New Roman" w:cs="Times New Roman" w:eastAsia="Times New Roman" w:hAnsi="Times New Roman"/>
          <w:sz w:val="20"/>
          <w:szCs w:val="20"/>
          <w:color w:val="auto"/>
        </w:rPr>
        <w:t>Our client service model is designed to serve and support the needs of our clients and to build loyalty by developing strong relationships with them. We strive to achieve high revenue retention, in part, by delivering high-quality service. Our revenue retention was greater than 92% in each of fiscal 2023, 2024 and 2025. Each client is assigned an account management team that serves as the central point of contact for any questions or support needs. We believe this approach enhances client service by providing them with knowledgeable resources who understand their businesses,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provides industry content and Paylocity product and service information.</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Tax and Regulatory Services</w:t>
      </w:r>
    </w:p>
    <w:p>
      <w:pPr>
        <w:spacing w:after="0" w:line="258"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Our software contains a rules engine designed to make accurate federal, state, and local tax calculations that is continually updated to support all pertinent legislative changes across U.S. jurisdictions with the support of our tax compliance professionals. Our tax service teams provide a variety of solutions to clients, including processing payroll tax deposits, preparing and filing quarterly and annual employment tax returns and amendments and resolving client employment tax notices. Our tax filing and compliance departments perform multiple audits to allow clients to remit timely and accurate tax payments. In addition, a series of audit routines are run to ensure that quarterly tax filings are accurate and submitted on a timely basis.</w:t>
      </w:r>
    </w:p>
    <w:p>
      <w:pPr>
        <w:sectPr>
          <w:pgSz w:w="11880" w:h="15481" w:orient="portrait"/>
          <w:cols w:equalWidth="0" w:num="1">
            <w:col w:w="9860"/>
          </w:cols>
          <w:pgMar w:left="1000" w:top="395"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p>
    <w:p>
      <w:pPr>
        <w:sectPr>
          <w:pgSz w:w="11880" w:h="15481" w:orient="portrait"/>
          <w:cols w:equalWidth="0" w:num="1">
            <w:col w:w="9860"/>
          </w:cols>
          <w:pgMar w:left="1000" w:top="395" w:right="1021"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Clients</w:t>
      </w:r>
    </w:p>
    <w:p>
      <w:pPr>
        <w:spacing w:after="0" w:line="257"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auto"/>
        </w:rPr>
        <w:t>Excluding clients acquired through acquisitions, as of June 30, 2025, we provided our HCM, payroll and spend management software solutions to approximately 41,650 clients, across the U.S. The rate at which we add clients is variable period-to-period and is also seasonal, as many clients switch solutions during the first calendar quarter of the year. Clients include for-profit and non-profit organizations across industries including business services, financial services, healthcare, manufacturing, restaurants, retail, technology and others. For each of the three years ended June 30, 2023, 2024 and 2025, no client accounted for more than 1% of our revenues.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57"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20"/>
          <w:szCs w:val="20"/>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200"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20"/>
          <w:szCs w:val="20"/>
          <w:color w:val="auto"/>
        </w:rPr>
        <w:t>The sales cycle begins with a sales lead generated by the sales representative, through our third-party referral network, a client referral, our telemarketing team, our external website, marketing lead generation strategies or other territory-based activities. We support our sales force with a marketing program that includes seminars and webinars, email marketing, social media marketing, broker events and web marketing.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Referral Network</w:t>
      </w:r>
    </w:p>
    <w:p>
      <w:pPr>
        <w:spacing w:after="0" w:line="257"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20"/>
          <w:szCs w:val="20"/>
          <w:color w:val="auto"/>
        </w:rPr>
        <w:t>We have developed a strong network of referral participants, such as 401(k) advisors, benefits administrators, insurance brokers, third-party administrators, HR consultants and accountants that recommend our solutions and provide referrals. Our referral network has become an increasingly important component of our sales process, and in fiscal 2025, more than 25% of our new client revenue originated by referrals from participants in our referral network.</w:t>
      </w:r>
    </w:p>
    <w:p>
      <w:pPr>
        <w:spacing w:after="0" w:line="200"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providers who also provide retirement plans, health insurance and other products and services competitive with the offerings of the participants in our referral network, we focus only on our core business of providing HCM, payroll and spend management solutions. In some cases, we have formalized relationships in which we are a recommended vendor of these participants. In other cases, the relationships are informal. We typically do not compensate these participants for referrals.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Marketplace</w:t>
      </w:r>
    </w:p>
    <w:p>
      <w:pPr>
        <w:spacing w:after="0" w:line="257"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205"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an HCM, payroll and spend management provider differentiates partners’ product offerings, strengthening their competitive positioning in their own markets.</w:t>
      </w:r>
    </w:p>
    <w:p>
      <w:pPr>
        <w:sectPr>
          <w:pgSz w:w="11880" w:h="15481" w:orient="portrait"/>
          <w:cols w:equalWidth="0" w:num="1">
            <w:col w:w="9840"/>
          </w:cols>
          <w:pgMar w:left="1000" w:top="391" w:right="10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p>
    <w:p>
      <w:pPr>
        <w:sectPr>
          <w:pgSz w:w="11880" w:h="15481" w:orient="portrait"/>
          <w:cols w:equalWidth="0" w:num="1">
            <w:col w:w="9840"/>
          </w:cols>
          <w:pgMar w:left="1000" w:top="391" w:right="1041"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Technology</w:t>
      </w:r>
    </w:p>
    <w:p>
      <w:pPr>
        <w:spacing w:after="0" w:line="257"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We offer our solutions on a cloud-based platform that leverages a unified architecture and a common code base that we organically developed. Clients do not need to install our software in their data centers and can access our solutions through any mobile device or web browser with Internet access.</w:t>
      </w:r>
    </w:p>
    <w:p>
      <w:pPr>
        <w:spacing w:after="0" w:line="192" w:lineRule="exact"/>
        <w:rPr>
          <w:sz w:val="20"/>
          <w:szCs w:val="20"/>
          <w:color w:val="auto"/>
        </w:rPr>
      </w:pPr>
    </w:p>
    <w:p>
      <w:pPr>
        <w:jc w:val="both"/>
        <w:ind w:left="1440" w:right="180" w:hanging="370"/>
        <w:spacing w:after="0" w:line="26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Multi-Tenant Architecture. </w:t>
      </w:r>
      <w:r>
        <w:rPr>
          <w:rFonts w:ascii="Times New Roman" w:cs="Times New Roman" w:eastAsia="Times New Roman" w:hAnsi="Times New Roman"/>
          <w:sz w:val="20"/>
          <w:szCs w:val="20"/>
          <w:color w:val="auto"/>
        </w:rPr>
        <w:t>Our software solutions were designed with a multi-tenant architecture.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architecture gives us an advantage over many disparate traditional systems, which are less flexible and require longer and more costly development and upgrade cycles.</w:t>
      </w:r>
    </w:p>
    <w:p>
      <w:pPr>
        <w:spacing w:after="0" w:line="189" w:lineRule="exact"/>
        <w:rPr>
          <w:rFonts w:ascii="Times New Roman" w:cs="Times New Roman" w:eastAsia="Times New Roman" w:hAnsi="Times New Roman"/>
          <w:sz w:val="20"/>
          <w:szCs w:val="20"/>
          <w:color w:val="auto"/>
        </w:rPr>
      </w:pPr>
    </w:p>
    <w:p>
      <w:pPr>
        <w:ind w:left="1440" w:right="120" w:hanging="370"/>
        <w:spacing w:after="0" w:line="257"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Mobile Focused. </w:t>
      </w:r>
      <w:r>
        <w:rPr>
          <w:rFonts w:ascii="Times New Roman" w:cs="Times New Roman" w:eastAsia="Times New Roman" w:hAnsi="Times New Roman"/>
          <w:sz w:val="20"/>
          <w:szCs w:val="20"/>
          <w:color w:val="auto"/>
        </w:rPr>
        <w:t>We employ mobile-centric principles in our solution design and development.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believe that the increasing mobility of employees heightens the importance of access to our solutions through mobile devices, including smart phones and tablets. Our mobile experience provides our clients and their employees with access to our solutions through nearly any device having Internet access. We bring the flexibility of a secure, cloud-based solution to users without the need to access a traditional desktop or laptop computer.</w:t>
      </w:r>
    </w:p>
    <w:p>
      <w:pPr>
        <w:spacing w:after="0" w:line="202" w:lineRule="exact"/>
        <w:rPr>
          <w:rFonts w:ascii="Times New Roman" w:cs="Times New Roman" w:eastAsia="Times New Roman" w:hAnsi="Times New Roman"/>
          <w:sz w:val="20"/>
          <w:szCs w:val="20"/>
          <w:color w:val="auto"/>
        </w:rPr>
      </w:pPr>
    </w:p>
    <w:p>
      <w:pPr>
        <w:ind w:left="1440" w:right="80" w:hanging="370"/>
        <w:spacing w:after="0" w:line="257"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Security. </w:t>
      </w:r>
      <w:r>
        <w:rPr>
          <w:rFonts w:ascii="Times New Roman" w:cs="Times New Roman" w:eastAsia="Times New Roman" w:hAnsi="Times New Roman"/>
          <w:sz w:val="20"/>
          <w:szCs w:val="20"/>
          <w:color w:val="auto"/>
        </w:rPr>
        <w:t>We maintain comprehensive security programs designed to protect the security and integrity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client and employee data, protect 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205"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We use multiple cloud hosting and third-party data center providers to host our solutions, including data centers in Franklin Park, Illinois and Kenosha, Wisconsin (for backup and disaster recovery). We supply the hardware infrastructure and are responsible for the ongoing maintenance of our equipment at all data center locations.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ind w:right="180" w:firstLine="720"/>
        <w:spacing w:after="0" w:line="261" w:lineRule="auto"/>
        <w:rPr>
          <w:sz w:val="20"/>
          <w:szCs w:val="20"/>
          <w:color w:val="auto"/>
        </w:rPr>
      </w:pPr>
      <w:r>
        <w:rPr>
          <w:rFonts w:ascii="Times New Roman" w:cs="Times New Roman" w:eastAsia="Times New Roman" w:hAnsi="Times New Roman"/>
          <w:sz w:val="20"/>
          <w:szCs w:val="20"/>
          <w:color w:val="auto"/>
        </w:rPr>
        <w:t>The market for HCM and payroll solutions is both fragmented and highly competitive. Our competitors vary for each of our solutions and primarily include payroll and HR service and software providers, such as Automatic Data Processing, Inc., Dayforce, Inc., Paychex, Inc., Paycom Software, Inc., Ultimate Kronos Group and other local and regional providers.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believe the principal factors on which we compete in our market include the following:</w:t>
      </w:r>
    </w:p>
    <w:p>
      <w:pPr>
        <w:spacing w:after="0" w:line="250" w:lineRule="exact"/>
        <w:rPr>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Solutions built to connect with today’s modern workforce;</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product suite on a single platform;</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Breadth and depth of product functionality;</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Configurability and ease of use of our solutions;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Modern, mobile, intuitive and consumer-oriented user experience;</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Benefits of a cloud-based technology platform;</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innovate and respond to client needs rapidly;</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Domain expertise in HCM and payroll;</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Quality of implementation and client service;</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implementation;</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Real-time web-based payroll processing; and</w:t>
      </w:r>
    </w:p>
    <w:p>
      <w:pPr>
        <w:sectPr>
          <w:pgSz w:w="11880" w:h="15481" w:orient="portrait"/>
          <w:cols w:equalWidth="0" w:num="1">
            <w:col w:w="9860"/>
          </w:cols>
          <w:pgMar w:left="1000" w:top="391" w:right="1021"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p>
    <w:p>
      <w:pPr>
        <w:sectPr>
          <w:pgSz w:w="11880" w:h="15481" w:orient="portrait"/>
          <w:cols w:equalWidth="0" w:num="1">
            <w:col w:w="9860"/>
          </w:cols>
          <w:pgMar w:left="1000" w:top="391" w:right="1021" w:bottom="0" w:gutter="0" w:footer="0" w:header="0"/>
          <w:type w:val="continuous"/>
        </w:sectPr>
      </w:pPr>
    </w:p>
    <w:bookmarkStart w:id="22" w:name="page23"/>
    <w:bookmarkEnd w:id="22"/>
    <w:p>
      <w:pPr>
        <w:ind w:left="1440" w:hanging="37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to a wide variety of complementary third-party service providers.</w:t>
      </w:r>
    </w:p>
    <w:p>
      <w:pPr>
        <w:spacing w:after="0" w:line="250"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20"/>
          <w:szCs w:val="20"/>
          <w:color w:val="auto"/>
        </w:rPr>
        <w:t>We believe that we compete favorably on these factors and our ability to remain competitive will largely depend on the success of our continued investment in sales and marketing, research and development and implementation and client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57"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200" w:lineRule="exact"/>
        <w:rPr>
          <w:sz w:val="20"/>
          <w:szCs w:val="20"/>
          <w:color w:val="auto"/>
        </w:rPr>
      </w:pPr>
    </w:p>
    <w:p>
      <w:pPr>
        <w:ind w:right="340" w:firstLine="720"/>
        <w:spacing w:after="0" w:line="283" w:lineRule="auto"/>
        <w:rPr>
          <w:sz w:val="20"/>
          <w:szCs w:val="20"/>
          <w:color w:val="auto"/>
        </w:rPr>
      </w:pPr>
      <w:r>
        <w:rPr>
          <w:rFonts w:ascii="Times New Roman" w:cs="Times New Roman" w:eastAsia="Times New Roman" w:hAnsi="Times New Roman"/>
          <w:sz w:val="20"/>
          <w:szCs w:val="20"/>
          <w:color w:val="auto"/>
        </w:rPr>
        <w:t>Research and development costs, including research and development costs that were capitalized, were $219.6 million, $253.9 million and $281.7 million for the years ended June 30, 2023, 2024 and 2025,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57"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the most essential means to establishing and maintaining our technology leadership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257"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As a provider of HCM, payroll and spend management software solutions, our platform contains a significant amount of sensitive data related to clients, employees of our clients, business partners and our employees. Data privacy represents a major risk for organizations globally, including those in the United States. The global regulatory landscape for data privacy is rapidly evolving and is expected to continue doing so for the foreseeable future. Many national, state and local government bodies have adopted or are considering adopting laws and regulations related to the collection, use and disclosure of personal information. In the United States, these include rules and regulations promulgated under the authority of the Federal Trade Commission, the Health Insurance Portability and Accountability Act of 1996 (“HIPAA”), state breach notification laws, and state privacy laws, such as the California Consumer Privacy Act of 2018 (“CCPA”) and the Illinois Biometric Information Privacy Act (“BIPA”). Because we and some of our clients have international operations and employees, the European Union General Data Protection Regulation (“GDPR”) and other international data privacy laws also impact certain aspects of our processing of client and employee information.</w:t>
      </w:r>
    </w:p>
    <w:p>
      <w:pPr>
        <w:spacing w:after="0" w:line="213"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Many of our solutions are designed to help clients in complying with applicable U.S. federal, state and local laws and regulations. Consequently, our products and services may be subject to increasing and evolving regulatory requirements, including those related to tax, benefit and other laws. As these requirements proliferate, we may be required to modify our products and services to maintain compliance. These regulatory changes could reduce or eliminate the need for some of our products and services, hinder our development of new products and services, or adversely affect the functionality and acceptance of our solutions. This could in turn impose additional costs to comply, modify, or further develop our products and services. Additionally, it could also increase the costs or time needed to introduce new products and services or even prevent their introduction altogether. For example, the adoption of new money transmitter or money services business statutes in jurisdictions, or changes in regulators’ interpretation of statutes, could require us to register, obtain licenses, or limit our business activities until we secure the appropriate licenses.</w:t>
      </w:r>
    </w:p>
    <w:p>
      <w:pPr>
        <w:spacing w:after="0" w:line="206" w:lineRule="exact"/>
        <w:rPr>
          <w:sz w:val="20"/>
          <w:szCs w:val="20"/>
          <w:color w:val="auto"/>
        </w:rPr>
      </w:pPr>
    </w:p>
    <w:p>
      <w:pPr>
        <w:ind w:right="40" w:firstLine="720"/>
        <w:spacing w:after="0" w:line="279" w:lineRule="auto"/>
        <w:rPr>
          <w:sz w:val="20"/>
          <w:szCs w:val="20"/>
          <w:color w:val="auto"/>
        </w:rPr>
      </w:pPr>
      <w:r>
        <w:rPr>
          <w:rFonts w:ascii="Times New Roman" w:cs="Times New Roman" w:eastAsia="Times New Roman" w:hAnsi="Times New Roman"/>
          <w:sz w:val="19"/>
          <w:szCs w:val="19"/>
          <w:color w:val="auto"/>
        </w:rPr>
        <w:t>Our ability to comply with and address these evolving requirements and regulations applicable to our business depends on several factors, including the functionality and design of our solutions and how our clients and their employees use them. We have implemented established frameworks and policies and procedures to protect the accuracy, privacy and security of the information we handle for our employees and on behalf of our clients and their employees. Additionally, we</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23" w:name="page24"/>
    <w:bookmarkEnd w:id="23"/>
    <w:p>
      <w:pPr>
        <w:ind w:right="40"/>
        <w:spacing w:after="0" w:line="283" w:lineRule="auto"/>
        <w:rPr>
          <w:sz w:val="20"/>
          <w:szCs w:val="20"/>
          <w:color w:val="auto"/>
        </w:rPr>
      </w:pPr>
      <w:r>
        <w:rPr>
          <w:rFonts w:ascii="Times New Roman" w:cs="Times New Roman" w:eastAsia="Times New Roman" w:hAnsi="Times New Roman"/>
          <w:sz w:val="20"/>
          <w:szCs w:val="20"/>
          <w:color w:val="auto"/>
        </w:rPr>
        <w:t>voluntarily undergo periodic audits and examinations and maintain certain certifications to demonstrate our commitment to regulatory compliance.</w:t>
      </w:r>
    </w:p>
    <w:p>
      <w:pPr>
        <w:spacing w:after="0" w:line="178"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The foregoing description does not provide an exhaustive list of the laws and regulations governing or impacting our business. See the discussion contained in the “Risk Factors” section in Part I, Item 1A of this Annual Report on Form 10-K for information regarding changes in laws and regulations that could have a materially adverse effect on our business, operating results or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7"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As a leading provider of cloud-based HCM, payroll and spend management software solutions, we are committed to delivering the most modern suite of solutions that drive employee engagement and a more connected culture for both our clients and our employees. Our senior executive team, together with our board of directors, drives our human capital strategy, which includes key initiatives related to our employees and company culture.</w:t>
      </w:r>
    </w:p>
    <w:p>
      <w:pPr>
        <w:spacing w:after="0" w:line="200" w:lineRule="exact"/>
        <w:rPr>
          <w:sz w:val="20"/>
          <w:szCs w:val="20"/>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As of June 30, 2025, our workforce consisted of approximately 6,700 employees that were primarily located in the United States and employed on a full-time basis.</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Culture &amp; Engagement</w:t>
      </w:r>
    </w:p>
    <w:p>
      <w:pPr>
        <w:spacing w:after="0" w:line="258"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At Paylocity, we strive to be an organization where every employee feels welcomed and is empowered to do their best work. Our core values drive our culture – we believe in earning it every day, that growth fuels opportunity, thinking next generation, living the reputation, and being unbeatable together. Our core values serve as the foundation from which we create an engaging culture for our employees, how we train and develop our teams and how we identify the right talent for our organization. Our approach to drive a strong culture and employee engagement has been validated externally as Paylocity has been named Forbes America’s Most Trusted Companies 2025, Newsweek America’s Greatest Workplace for Diversity 2025, Fortune Best Workplaces in Technology 2025, Time Best Midsize Companies 2025, Built In Best Places to Work 2025 and was also Great Place To Work certified on multiple occasions.</w:t>
      </w:r>
    </w:p>
    <w:p>
      <w:pPr>
        <w:spacing w:after="0" w:line="205" w:lineRule="exact"/>
        <w:rPr>
          <w:sz w:val="20"/>
          <w:szCs w:val="20"/>
          <w:color w:val="auto"/>
        </w:rPr>
      </w:pPr>
    </w:p>
    <w:p>
      <w:pPr>
        <w:jc w:val="both"/>
        <w:ind w:right="200" w:firstLine="720"/>
        <w:spacing w:after="0" w:line="261" w:lineRule="auto"/>
        <w:rPr>
          <w:sz w:val="20"/>
          <w:szCs w:val="20"/>
          <w:color w:val="auto"/>
        </w:rPr>
      </w:pPr>
      <w:r>
        <w:rPr>
          <w:rFonts w:ascii="Times New Roman" w:cs="Times New Roman" w:eastAsia="Times New Roman" w:hAnsi="Times New Roman"/>
          <w:sz w:val="20"/>
          <w:szCs w:val="20"/>
          <w:color w:val="auto"/>
        </w:rPr>
        <w:t>We also support a number of employee resource groups (“ERGs”) including PCTY Equality, PCTY OneWorld, PCTY Sheroes, PCTY Sustainability, and PCTY Mental Health. Each of these groups is organized to give employees the chance to build community and connections, voice their ideas and perspectives, personally develop and grow, and shape our culture to make a difference at work and in our local communities.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Learning &amp; Development</w:t>
      </w:r>
    </w:p>
    <w:p>
      <w:pPr>
        <w:spacing w:after="0" w:line="258"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auto"/>
        </w:rPr>
        <w:t>We are committed to creating industry leading talent development and leadership programs that support the professional growth of our employees. We were named a 2025 BEST Awards organization by the Association for Talent Development. We offer professional development courses to all employees including topics like preparing for an interview, building a career path, as well as leadership topics like delegation and leading a hybrid team. Through our internally developed Learning tool with Video, we enable employees to share knowledge through self-recorded sessions, which complement our library consisting of hundreds of internal courses.</w:t>
      </w:r>
    </w:p>
    <w:p>
      <w:pPr>
        <w:spacing w:after="0" w:line="202"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We continue to invest in our employees by providing development opportunities through various training programs such as our new professional development program that prepares our operations team members for the next level of their career by providing role-specific training and skills needed to progress and our sales training program that equips our sales force to succeed in an increasingly competitive landscape. We also offer leadership programs that give newly hired or first-time people leaders foundational leadership skills, including how to coach employee performance, document performance conversation, handle situations involving HR employment law and other leadership skills crucial to their specific function. These development programs, combined with our strong culture, increasingly results in our employees stepping into larger roles within the organization.</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Talent Acquisition &amp; Compensation</w:t>
      </w:r>
    </w:p>
    <w:p>
      <w:pPr>
        <w:spacing w:after="0" w:line="258"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We focus diligently on attracting top candidates that can help us achieve our short and long-term goals as an organization. Our philosophy of “talent anywhere” focuses on identifying the right individuals for our business, regardless of where they are located geographically. For Paylocity, the right talent is someone who embodies our values, has an innate curiosity to learn and grow with our business, and has a diverse perspective on how best to accomplish our goals.</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24" w:name="page25"/>
    <w:bookmarkEnd w:id="24"/>
    <w:p>
      <w:pPr>
        <w:ind w:firstLine="720"/>
        <w:spacing w:after="0" w:line="255" w:lineRule="auto"/>
        <w:rPr>
          <w:sz w:val="20"/>
          <w:szCs w:val="20"/>
          <w:color w:val="auto"/>
        </w:rPr>
      </w:pPr>
      <w:r>
        <w:rPr>
          <w:rFonts w:ascii="Times New Roman" w:cs="Times New Roman" w:eastAsia="Times New Roman" w:hAnsi="Times New Roman"/>
          <w:sz w:val="20"/>
          <w:szCs w:val="20"/>
          <w:color w:val="auto"/>
        </w:rPr>
        <w:t>Our compensation approach is centered around a philosophy that allows us to compete for and retain the right talent to grow our organization, while being consistent and equitable. Our total rewards program includes competitive pay, a restricted stock program, an employee stock purchase program, market competitive retirement benefits, paid time off and many other benefits. We offer employees the ability to receive a portion of earned wages before the end of the payroll cycle through our On-Demand Payment product as well as financial planning resources and refinancing options with top institutions. We partner with best-in-class organizations to ensure that we utilize the most current data to serve as a foundation of our compensation strategy.</w:t>
      </w:r>
    </w:p>
    <w:p>
      <w:pPr>
        <w:spacing w:after="0" w:line="210"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We are also committed to supporting the health and well-being of our employees and offer a multitude of resources to assist in these efforts. In addition to traditional benefit offerings, we provide all employees with innovative perks and benefits, such as paid parental leave, adoption assistance, employer-paid short term disability, health advocacy services, paid time off to volunteer, tuition reimbursement, mental health support, fertility treatment, family planning services and many others.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PCTY Gives</w:t>
      </w:r>
    </w:p>
    <w:p>
      <w:pPr>
        <w:spacing w:after="0" w:line="258"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Giving back to our communities takes many forms at Paylocity. Through PCTY Gives, we mobilize our technology, people and resources across the country through in-kind donations, our Elevate Your Passions (“EYP”) Grant Program, paid time-off to volunteer, signature program funding, corporate sponsored volunteerism and many other initiatives. To support our employees and their communities, we donate to charities nominated by our employees through the EYP program. In addition to local charities, Paylocity partners with national organizations such as Girls Who Code, American Red Cross, and National Alliance on Mental Illness. To support the children and dependents of Paylocity employees, the Peter J. McGrail Scholarship program, named after our late CFO, provides higher education tuition assistance for selected participants.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Our Internet address is www.paylocity.com and our investor relations website is located at http:// 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SEC maintains an Internet site, www.sec.gov, that includes filings of and information about issuers that file electronically with the SEC.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4" w:lineRule="exact"/>
        <w:rPr>
          <w:sz w:val="20"/>
          <w:szCs w:val="20"/>
          <w:color w:val="auto"/>
        </w:rPr>
      </w:pPr>
    </w:p>
    <w:p>
      <w:pPr>
        <w:ind w:right="4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growth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4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quarterly operating results have fluctuated in the past and may continue to fluctuate due to a variety of factors, many of which are outside of our control.</w:t>
      </w:r>
    </w:p>
    <w:p>
      <w:pPr>
        <w:spacing w:after="0" w:line="176"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auto"/>
        </w:rPr>
        <w:t>Our quarterly operating results, including our revenues, operating income, and cash flow, have fluctuated and may continue to fluctuate in the future due to a variety of factors, many of which are outside of our control. Additionally, our number of new clients typically increases more during our third fiscal quarter ending March 31 than during the rest of our fiscal year, primarily because many new clients prefer to start using our human capital management, or HCM, and payroll solutions at the beginning of a calendar year. Client funds and year-end activities are also traditionally higher during our third fiscal quarter. As a result, our total revenue and expenses have historically grown disproportionately during our third fiscal quarter as compared to other quarters. Accordingly, quarter-to-quarter comparisons of our operations are not necessarily meaningful and such comparisons should not be relied upon as indications of future performance.</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25" w:name="page26"/>
    <w:bookmarkEnd w:id="25"/>
    <w:p>
      <w:pPr>
        <w:ind w:right="420" w:firstLine="720"/>
        <w:spacing w:after="0" w:line="283" w:lineRule="auto"/>
        <w:rPr>
          <w:sz w:val="20"/>
          <w:szCs w:val="20"/>
          <w:color w:val="auto"/>
        </w:rPr>
      </w:pPr>
      <w:r>
        <w:rPr>
          <w:rFonts w:ascii="Times New Roman" w:cs="Times New Roman" w:eastAsia="Times New Roman" w:hAnsi="Times New Roman"/>
          <w:sz w:val="20"/>
          <w:szCs w:val="20"/>
          <w:color w:val="auto"/>
        </w:rPr>
        <w:t>In addition to other risk factors listed within this “Risk Factors” section of this Annual Report on Form 10-K, some other important factors that may cause fluctuations in our quarterly operating results include the following:</w:t>
      </w:r>
    </w:p>
    <w:p>
      <w:pPr>
        <w:spacing w:after="0" w:line="178" w:lineRule="exact"/>
        <w:rPr>
          <w:sz w:val="20"/>
          <w:szCs w:val="20"/>
          <w:color w:val="auto"/>
        </w:rPr>
      </w:pPr>
    </w:p>
    <w:p>
      <w:pPr>
        <w:ind w:left="1440" w:hanging="370"/>
        <w:spacing w:after="0"/>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our clients’ employees;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renewal rates;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our products achieve or maintain market acceptance;</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client budgets and procurement policies;</w:t>
      </w:r>
    </w:p>
    <w:p>
      <w:pPr>
        <w:spacing w:after="0" w:line="250" w:lineRule="exact"/>
        <w:rPr>
          <w:rFonts w:ascii="Times New Roman" w:cs="Times New Roman" w:eastAsia="Times New Roman" w:hAnsi="Times New Roman"/>
          <w:sz w:val="20"/>
          <w:szCs w:val="20"/>
          <w:color w:val="auto"/>
        </w:rPr>
      </w:pPr>
    </w:p>
    <w:p>
      <w:pPr>
        <w:ind w:left="1440" w:right="560" w:hanging="370"/>
        <w:spacing w:after="0" w:line="283"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our investment in research and development activities and whether such investments are capitalized or expensed as incurred;</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disruptions caused by public health issues, natural disasters or other catastrophic events;</w:t>
      </w:r>
    </w:p>
    <w:p>
      <w:pPr>
        <w:spacing w:after="0" w:line="250" w:lineRule="exact"/>
        <w:rPr>
          <w:rFonts w:ascii="Times New Roman" w:cs="Times New Roman" w:eastAsia="Times New Roman" w:hAnsi="Times New Roman"/>
          <w:sz w:val="20"/>
          <w:szCs w:val="20"/>
          <w:color w:val="auto"/>
        </w:rPr>
      </w:pPr>
    </w:p>
    <w:p>
      <w:pPr>
        <w:ind w:left="1440" w:right="580" w:hanging="370"/>
        <w:spacing w:after="0" w:line="283"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factors, including changes in interest rates, inflationary pressures, and uncertainty around tariffs and trade policies; and</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legal expenses, including litigation and settlement costs.</w:t>
      </w:r>
    </w:p>
    <w:p>
      <w:pPr>
        <w:spacing w:after="0" w:line="250"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20"/>
          <w:szCs w:val="20"/>
          <w:color w:val="auto"/>
        </w:rPr>
        <w:t>Moreover, a significant portion of our operating expenses are related to compensation and other items which are relatively fixed in the short-term, and we plan expenditures based in part on our expectations regarding future needs and opportunities. Changes in our business or revenue shortfalls could decrease our gross and operating margins and could negatively impact our operating results from period to period.</w:t>
      </w:r>
    </w:p>
    <w:p>
      <w:pPr>
        <w:spacing w:after="0" w:line="19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market for our solutions is characterized by rapid technological advancements, including but not limited to artificial intelligence (“AI”) and machine learning,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or development of entirely new technologies to replace existing offerings could limit the demand for our existing or future solutions and undermine our current market position. New technologies that involve AI or machine learning or that are created using AI or machine learning may emerge that are able to deliver solutions at lower prices, more efficiently or more conveniently than our solutions, which could adversely impact our ability to compete. Additionally, if new technologies used in our products fail to operate as expected, our business may be negatively impacted. For example, the non-deterministic nature of generative AI outputs may compromise the reliability of our products which may lead to customer dissatisfaction and damage to our reputation.</w:t>
      </w:r>
    </w:p>
    <w:p>
      <w:pPr>
        <w:spacing w:after="0" w:line="213" w:lineRule="exact"/>
        <w:rPr>
          <w:sz w:val="20"/>
          <w:szCs w:val="20"/>
          <w:color w:val="auto"/>
        </w:rPr>
      </w:pPr>
    </w:p>
    <w:p>
      <w:pPr>
        <w:ind w:right="100" w:firstLine="720"/>
        <w:spacing w:after="0" w:line="257" w:lineRule="auto"/>
        <w:rPr>
          <w:sz w:val="20"/>
          <w:szCs w:val="20"/>
          <w:color w:val="auto"/>
        </w:rPr>
      </w:pPr>
      <w:r>
        <w:rPr>
          <w:rFonts w:ascii="Times New Roman" w:cs="Times New Roman" w:eastAsia="Times New Roman" w:hAnsi="Times New Roman"/>
          <w:sz w:val="20"/>
          <w:szCs w:val="20"/>
          <w:color w:val="auto"/>
        </w:rPr>
        <w:t>Our success depends in substantial part on our continuing ability to provide products and services that organizations will find superior to our competitors’ offerings and will continue to use. We intend to continue to invest significant resources in research and development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revenue and operating results may suffer.</w:t>
      </w:r>
    </w:p>
    <w:p>
      <w:pPr>
        <w:spacing w:after="0" w:line="19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76" w:lineRule="exact"/>
        <w:rPr>
          <w:sz w:val="20"/>
          <w:szCs w:val="20"/>
          <w:color w:val="auto"/>
        </w:rPr>
      </w:pPr>
    </w:p>
    <w:p>
      <w:pPr>
        <w:ind w:firstLine="720"/>
        <w:spacing w:after="0" w:line="271" w:lineRule="auto"/>
        <w:rPr>
          <w:sz w:val="20"/>
          <w:szCs w:val="20"/>
          <w:color w:val="auto"/>
        </w:rPr>
      </w:pPr>
      <w:r>
        <w:rPr>
          <w:rFonts w:ascii="Times New Roman" w:cs="Times New Roman" w:eastAsia="Times New Roman" w:hAnsi="Times New Roman"/>
          <w:sz w:val="19"/>
          <w:szCs w:val="19"/>
          <w:color w:val="auto"/>
        </w:rPr>
        <w:t>We have experienced revenue and client base growth and intend to pursue continued growth as part of our business strategy. However, the growth in our number of clients puts significant demands on our business, requires increased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We must also expand and develop our network of third-party service providers, including 401(k) advisors, benefits administrators, insurance brokers, third-party administrators, HR consultants and</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20"/>
          <w:szCs w:val="20"/>
          <w:color w:val="auto"/>
        </w:rPr>
        <w:t>accountants, which represent a significant source of referrals of potential clients for our products and implementation services. Failure to effectively manage our growth could adversely impact our business and results of operations.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96"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markets in which we participate are highly competitive, and if we do not compete effectively, our operating results could be adversely affected.</w:t>
      </w:r>
    </w:p>
    <w:p>
      <w:pPr>
        <w:spacing w:after="0" w:line="176"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20"/>
          <w:szCs w:val="20"/>
          <w:color w:val="auto"/>
        </w:rPr>
        <w:t>The market for HCM and payroll solutions is fragmented, highly competitive and rapidly changing. Our competitors vary for each of our solutions and primarily include payroll and HR service and software providers, such as Automatic Data Processing, Inc., Dayforce, Inc., Paychex, Inc., Paycom Software, Inc., Ultimate Kronos Group and other local and regional providers.</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Several of our competitors are larger and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which may include price concessions, delayed payment terms, or other terms and conditions that are more enticing to potential clients. As a result, our competitors may be able to develop products and services better received by our markets or may be able to respond more quickly and effectively than we can to new or changing opportunities, technologies such as AI or machine learning, regulations, or client requirements.</w:t>
      </w:r>
    </w:p>
    <w:p>
      <w:pPr>
        <w:spacing w:after="0" w:line="205"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factors, current or potential clients might accept competitive offerings in lieu of purchasing our offerings. We expect competition to continue for these reasons, and such competition could negatively impact our sales, profitability or market share.</w:t>
      </w:r>
    </w:p>
    <w:p>
      <w:pPr>
        <w:spacing w:after="0" w:line="197" w:lineRule="exact"/>
        <w:rPr>
          <w:sz w:val="20"/>
          <w:szCs w:val="20"/>
          <w:color w:val="auto"/>
        </w:rPr>
      </w:pPr>
    </w:p>
    <w:p>
      <w:pPr>
        <w:ind w:right="28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5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We have experienced significant growth in the number of users, transactions and data that our operations infrastructure supports. We seek to maintain sufficient excess capacity in our data centers and other operations infrastructure to meet the needs of our clients. We also seek to maintain excess capacity to support new client deployments and the expansion of existing client deployments. In addition, we need to properly manage our technological operations infrastructure in order to support version control, changes in hardware and software parameters and the evolution of our modules. We have in the past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quickly identify the cause or causes of these performance problems. If we do not accurately predict our infrastructure requirements, our existing clients may experience service outages that may subject us to financial penalties, financial liabilities and client losses and adversely affect our reputation.</w:t>
      </w:r>
    </w:p>
    <w:p>
      <w:pPr>
        <w:spacing w:after="0" w:line="213"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We may experience future interruptions and delays in services and availability from time to time. Any interruption may affect the availability, accuracy, or timeliness in our services and could damage our reputation, cause our clients to terminate their use of our software, require us to indemnify our clients against certain losses due to our own errors and prevent us from gaining additional business from current or future clients.</w:t>
      </w:r>
    </w:p>
    <w:p>
      <w:pPr>
        <w:sectPr>
          <w:pgSz w:w="11880" w:h="15481" w:orient="portrait"/>
          <w:cols w:equalWidth="0" w:num="1">
            <w:col w:w="9840"/>
          </w:cols>
          <w:pgMar w:left="1000" w:top="398" w:right="10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p>
    <w:p>
      <w:pPr>
        <w:sectPr>
          <w:pgSz w:w="11880" w:h="15481" w:orient="portrait"/>
          <w:cols w:equalWidth="0" w:num="1">
            <w:col w:w="9840"/>
          </w:cols>
          <w:pgMar w:left="1000" w:top="398" w:right="1041" w:bottom="0" w:gutter="0" w:footer="0" w:header="0"/>
          <w:type w:val="continuous"/>
        </w:sectPr>
      </w:pPr>
    </w:p>
    <w:bookmarkStart w:id="27" w:name="page28"/>
    <w:bookmarkEnd w:id="27"/>
    <w:p>
      <w:pPr>
        <w:ind w:right="200"/>
        <w:spacing w:after="0" w:line="283" w:lineRule="auto"/>
        <w:rPr>
          <w:sz w:val="20"/>
          <w:szCs w:val="20"/>
          <w:color w:val="auto"/>
        </w:rPr>
      </w:pPr>
      <w:r>
        <w:rPr>
          <w:rFonts w:ascii="Times New Roman" w:cs="Times New Roman" w:eastAsia="Times New Roman" w:hAnsi="Times New Roman"/>
          <w:sz w:val="20"/>
          <w:szCs w:val="20"/>
          <w:color w:val="auto"/>
        </w:rPr>
        <w:t>In the event of a catastrophic event with respect to one or more of our systems, we may experience an extended period of system unavailability, which could negatively impact our relationship with clients.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 operate without interruption, both we and our clients must guard against:</w:t>
      </w:r>
    </w:p>
    <w:p>
      <w:pPr>
        <w:spacing w:after="0" w:line="250" w:lineRule="exact"/>
        <w:rPr>
          <w:sz w:val="20"/>
          <w:szCs w:val="20"/>
          <w:color w:val="auto"/>
        </w:rPr>
      </w:pPr>
    </w:p>
    <w:p>
      <w:pPr>
        <w:ind w:left="1440" w:right="260" w:hanging="370"/>
        <w:spacing w:after="0" w:line="283" w:lineRule="auto"/>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from fire, power loss, natural disasters, pandemics and other force majeure events outside our control;</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Communications failures;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Software and hardware errors, failures and crashes;</w:t>
      </w:r>
    </w:p>
    <w:p>
      <w:pPr>
        <w:spacing w:after="0" w:line="250" w:lineRule="exact"/>
        <w:rPr>
          <w:rFonts w:ascii="Times New Roman" w:cs="Times New Roman" w:eastAsia="Times New Roman" w:hAnsi="Times New Roman"/>
          <w:sz w:val="20"/>
          <w:szCs w:val="20"/>
          <w:color w:val="auto"/>
        </w:rPr>
      </w:pPr>
    </w:p>
    <w:p>
      <w:pPr>
        <w:ind w:left="1440" w:right="260" w:hanging="370"/>
        <w:spacing w:after="0" w:line="283" w:lineRule="auto"/>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breaches, computer viruses, hacking, worms, malware, ransomware, denial-of-service attacks and similar disruptive problems; and</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potential interruptions.</w:t>
      </w:r>
    </w:p>
    <w:p>
      <w:pPr>
        <w:spacing w:after="0" w:line="25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We use multiple cloud hosting and third-party data center providers to host our solutions, including data centers in Franklin Park, Illinois and Kenosha, Wisconsin (for backup and disaster recovery). We also may decide to employ additional offsite data centers in the future to accommodate growth. Problems faced by our data center locations (such as a hardware or other supply chain disruption),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In addition, our data center providers may be unable to keep up with our growing needs for capacity, may implement changes in service levels, may not renew these agreements on commercially reasonable terms, or may be acquired. We may be required to transfer our servers and other infrastructure to new data center facilities, and we may incur costs and experience service interruption in doing so. Interruptions in our services might reduce our revenues, subject us to potential liability or other expenses and adversely affect our reputation.</w:t>
      </w:r>
    </w:p>
    <w:p>
      <w:pPr>
        <w:spacing w:after="0" w:line="205"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200"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Our payroll processing business involves the movement of significant funds from the account of a client to its employees and relevant taxing authorities.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client’s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funds to cover such obligations. Depending on the magnitude of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negatively impacted by disruptions in the operations of third-party service providers.</w:t>
      </w:r>
    </w:p>
    <w:p>
      <w:pPr>
        <w:spacing w:after="0" w:line="258" w:lineRule="exact"/>
        <w:rPr>
          <w:sz w:val="20"/>
          <w:szCs w:val="20"/>
          <w:color w:val="auto"/>
        </w:rPr>
      </w:pPr>
    </w:p>
    <w:p>
      <w:pPr>
        <w:jc w:val="both"/>
        <w:ind w:right="60" w:firstLine="720"/>
        <w:spacing w:after="0" w:line="275" w:lineRule="auto"/>
        <w:rPr>
          <w:sz w:val="20"/>
          <w:szCs w:val="20"/>
          <w:color w:val="auto"/>
        </w:rPr>
      </w:pPr>
      <w:r>
        <w:rPr>
          <w:rFonts w:ascii="Times New Roman" w:cs="Times New Roman" w:eastAsia="Times New Roman" w:hAnsi="Times New Roman"/>
          <w:sz w:val="19"/>
          <w:szCs w:val="19"/>
          <w:color w:val="auto"/>
        </w:rPr>
        <w:t>We depend on relationships with certain third-party service providers to operate our business. We rely on third-party couriers such as the United Parcel Service, or UPS, to ship printed checks to our clients, and any disruptions in their operations that impact their ability to successfully perform their tasks may negatively impact our business. We also engage international business partners to perform certain services in countries in which we currently do not have operations and as a result may subject us to regulatory, economic and political risks that are different from those in the United States.</w:t>
      </w:r>
    </w:p>
    <w:p>
      <w:pPr>
        <w:spacing w:after="0" w:line="188" w:lineRule="exact"/>
        <w:rPr>
          <w:sz w:val="20"/>
          <w:szCs w:val="20"/>
          <w:color w:val="auto"/>
        </w:rPr>
      </w:pPr>
    </w:p>
    <w:p>
      <w:pPr>
        <w:ind w:firstLine="720"/>
        <w:spacing w:after="0" w:line="275" w:lineRule="auto"/>
        <w:rPr>
          <w:sz w:val="20"/>
          <w:szCs w:val="20"/>
          <w:color w:val="auto"/>
        </w:rPr>
      </w:pPr>
      <w:r>
        <w:rPr>
          <w:rFonts w:ascii="Times New Roman" w:cs="Times New Roman" w:eastAsia="Times New Roman" w:hAnsi="Times New Roman"/>
          <w:sz w:val="19"/>
          <w:szCs w:val="19"/>
          <w:color w:val="auto"/>
        </w:rPr>
        <w:t>We currently have agreements with various major U.S. banks to execute ACH and wire transfers to support our client payroll, benefit, payroll tax and spend management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a material number of these banks terminate their relationships with us</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28" w:name="page29"/>
    <w:bookmarkEnd w:id="28"/>
    <w:p>
      <w:pPr>
        <w:spacing w:after="0" w:line="258" w:lineRule="auto"/>
        <w:rPr>
          <w:sz w:val="20"/>
          <w:szCs w:val="20"/>
          <w:color w:val="auto"/>
        </w:rPr>
      </w:pPr>
      <w:r>
        <w:rPr>
          <w:rFonts w:ascii="Times New Roman" w:cs="Times New Roman" w:eastAsia="Times New Roman" w:hAnsi="Times New Roman"/>
          <w:sz w:val="20"/>
          <w:szCs w:val="20"/>
          <w:color w:val="auto"/>
        </w:rPr>
        <w:t>or restrict the dollar amounts of funds that they will process on behalf of our clients, their doing so may impede our ability to process funds and could have an adverse impact on our business. We have contingency plans in place in case of any failures of banks to process transfers that may impact our operations. However, a failure of one of our banking partners or a systemic shutdown of the banking industry could result in the loss of client funds or prevent us from accessing and processing funds on our clients’ behalf, which could have an adverse impact on our business and liquidity.</w:t>
      </w:r>
    </w:p>
    <w:p>
      <w:pPr>
        <w:spacing w:after="0" w:line="204"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In addition, we utilize certain third-party software in some of our products. Although we believe that there are alternatives for the functionality provided by the third-party software, any significant interruption in the availability of such third-party software, or defects and errors in the third-party software, could have an adverse impact on our business unless and until we can replace the functionality provided by these products at a similar cost.</w:t>
      </w:r>
    </w:p>
    <w:p>
      <w:pPr>
        <w:spacing w:after="0" w:line="191" w:lineRule="exact"/>
        <w:rPr>
          <w:sz w:val="20"/>
          <w:szCs w:val="20"/>
          <w:color w:val="auto"/>
        </w:rPr>
      </w:pPr>
    </w:p>
    <w:p>
      <w:pPr>
        <w:jc w:val="both"/>
        <w:ind w:right="3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depend on our senior management team and other key employees, and the loss of these persons or an inability to attract and retain highly skilled employees, including product development, sales, implementation, client service and other technical persons, could adversely affect our business.</w:t>
      </w:r>
    </w:p>
    <w:p>
      <w:pPr>
        <w:spacing w:after="0" w:line="19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Our success depends largely upon the continued services of our key executive officers. We also rely on our leadership team in the areas of product development, sales, implementation, client service, and general and administrative functions. From time to time, there may be changes in our executive management team resulting from the hiring or departure of executives, which could disrupt our business. While we have employment agreements with our executive officers,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210"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We believe that to grow our business and be successful, we must continue to develop products that are technologically 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We must also identify, recruit and train qualified sales, client service and implementation personnel in the use of our software. The amount of time it takes for our sales representatives, client service and implementation personnel to be fully trained and to become productive varies widely. Hiring for skilled employees across the United States and globally is highly competitive.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direct sales force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203" w:lineRule="exact"/>
        <w:rPr>
          <w:sz w:val="20"/>
          <w:szCs w:val="20"/>
          <w:color w:val="auto"/>
        </w:rPr>
      </w:pPr>
    </w:p>
    <w:p>
      <w:pPr>
        <w:ind w:right="2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53" w:lineRule="exact"/>
        <w:rPr>
          <w:sz w:val="20"/>
          <w:szCs w:val="20"/>
          <w:color w:val="auto"/>
        </w:rPr>
      </w:pPr>
    </w:p>
    <w:p>
      <w:pPr>
        <w:ind w:right="200" w:firstLine="720"/>
        <w:spacing w:after="0" w:line="255" w:lineRule="auto"/>
        <w:rPr>
          <w:sz w:val="20"/>
          <w:szCs w:val="20"/>
          <w:color w:val="auto"/>
        </w:rPr>
      </w:pPr>
      <w:r>
        <w:rPr>
          <w:rFonts w:ascii="Times New Roman" w:cs="Times New Roman" w:eastAsia="Times New Roman" w:hAnsi="Times New Roman"/>
          <w:sz w:val="20"/>
          <w:szCs w:val="20"/>
          <w:color w:val="auto"/>
        </w:rPr>
        <w:t>Our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filing of tax returns and other regulatory reports are frequent, we may discover defects and errors in our software and service processes in the normal course of business compared against these requirements and practices. Defects and errors could also cause the information that we collect to be incomplete or contain inaccuracies that our clients, their employees and taxing and other regulatory authorities regard as significant.</w:t>
      </w:r>
    </w:p>
    <w:p>
      <w:pPr>
        <w:spacing w:after="0" w:line="21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The costs incurred in correcting any defects or errors or in responding to resulting claims or liability might be substantial and could adversely affect our operating results. Our clients might assert claims against us in the future alleging that they suffered damages due to a defect, error, or other failure of our product or service processes. Any product liability claim or errors or omissions claim could subject us to significant legal defense costs and adverse publicity regardless of the merits or eventual outcome of such a claim.</w:t>
      </w:r>
    </w:p>
    <w:p>
      <w:pPr>
        <w:spacing w:after="0" w:line="205" w:lineRule="exact"/>
        <w:rPr>
          <w:sz w:val="20"/>
          <w:szCs w:val="20"/>
          <w:color w:val="auto"/>
        </w:rPr>
      </w:pPr>
    </w:p>
    <w:p>
      <w:pPr>
        <w:ind w:right="180" w:firstLine="720"/>
        <w:spacing w:after="0" w:line="310" w:lineRule="auto"/>
        <w:rPr>
          <w:sz w:val="20"/>
          <w:szCs w:val="20"/>
          <w:color w:val="auto"/>
        </w:rPr>
      </w:pPr>
      <w:r>
        <w:rPr>
          <w:rFonts w:ascii="Times New Roman" w:cs="Times New Roman" w:eastAsia="Times New Roman" w:hAnsi="Times New Roman"/>
          <w:sz w:val="19"/>
          <w:szCs w:val="19"/>
          <w:color w:val="auto"/>
        </w:rPr>
        <w:t>Our agreements with our clients typically contain provisions intended to limit our exposure to such claims, but such provisions may not be effective in limiting our exposure. Contractual limitations we use may not be enforceable and</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20"/>
          <w:szCs w:val="20"/>
          <w:color w:val="auto"/>
        </w:rPr>
        <w:t>may not provide us with adequate protection against product liability claims in certain jurisdictions. A successful claim for product or service liability brought against us could result in substantial cost to us and divert management’s attention from our operations. We also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96"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acquire other companies or technologies, which could divert our management’s attention, result in dilution to our stockholders, disrupt our operations and adversely affect our operating results.</w:t>
      </w:r>
    </w:p>
    <w:p>
      <w:pPr>
        <w:spacing w:after="0" w:line="176"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95" w:lineRule="exact"/>
        <w:rPr>
          <w:sz w:val="20"/>
          <w:szCs w:val="20"/>
          <w:color w:val="auto"/>
        </w:rPr>
      </w:pPr>
    </w:p>
    <w:p>
      <w:pPr>
        <w:jc w:val="both"/>
        <w:ind w:right="240" w:firstLine="720"/>
        <w:spacing w:after="0" w:line="261" w:lineRule="auto"/>
        <w:rPr>
          <w:sz w:val="20"/>
          <w:szCs w:val="20"/>
          <w:color w:val="auto"/>
        </w:rPr>
      </w:pPr>
      <w:r>
        <w:rPr>
          <w:rFonts w:ascii="Times New Roman" w:cs="Times New Roman" w:eastAsia="Times New Roman" w:hAnsi="Times New Roman"/>
          <w:sz w:val="20"/>
          <w:szCs w:val="20"/>
          <w:color w:val="auto"/>
        </w:rPr>
        <w:t>We may not be able to integrate the acquired personnel, operations and technologies successfully, or effectively manage the combined business following the acquisition, in which case we may not realize the expected benefits of such acquisitions. Factors that may negatively impact our operating results, business and financial position, without limitation include the following:</w:t>
      </w:r>
    </w:p>
    <w:p>
      <w:pPr>
        <w:spacing w:after="0" w:line="200" w:lineRule="exact"/>
        <w:rPr>
          <w:sz w:val="20"/>
          <w:szCs w:val="20"/>
          <w:color w:val="auto"/>
        </w:rPr>
      </w:pPr>
    </w:p>
    <w:p>
      <w:pPr>
        <w:ind w:left="1440" w:hanging="370"/>
        <w:spacing w:after="0"/>
        <w:tabs>
          <w:tab w:leader="none" w:pos="14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to integrate or benefit from acquired technologies, operations, or services in a profitable manner;</w:t>
      </w:r>
    </w:p>
    <w:p>
      <w:pPr>
        <w:spacing w:after="0" w:line="261" w:lineRule="exact"/>
        <w:rPr>
          <w:rFonts w:ascii="Times New Roman" w:cs="Times New Roman" w:eastAsia="Times New Roman" w:hAnsi="Times New Roman"/>
          <w:sz w:val="19"/>
          <w:szCs w:val="19"/>
          <w:color w:val="auto"/>
        </w:rPr>
      </w:pPr>
    </w:p>
    <w:p>
      <w:pPr>
        <w:ind w:left="1440" w:hanging="370"/>
        <w:spacing w:after="0"/>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costs or liabilities associated with the acquisition;</w:t>
      </w:r>
    </w:p>
    <w:p>
      <w:pPr>
        <w:spacing w:after="0" w:line="250" w:lineRule="exact"/>
        <w:rPr>
          <w:rFonts w:ascii="Times New Roman" w:cs="Times New Roman" w:eastAsia="Times New Roman" w:hAnsi="Times New Roman"/>
          <w:sz w:val="20"/>
          <w:szCs w:val="20"/>
          <w:color w:val="auto"/>
        </w:rPr>
      </w:pPr>
    </w:p>
    <w:p>
      <w:pPr>
        <w:ind w:left="1440" w:right="80" w:hanging="370"/>
        <w:spacing w:after="0" w:line="310" w:lineRule="auto"/>
        <w:tabs>
          <w:tab w:leader="none" w:pos="14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Difficulty converting the clients of the acquired business onto our modules and contract terms, including disparities in the revenues, licensing, support or professional services model of the acquired company;</w:t>
      </w:r>
    </w:p>
    <w:p>
      <w:pPr>
        <w:spacing w:after="0" w:line="155" w:lineRule="exact"/>
        <w:rPr>
          <w:rFonts w:ascii="Times New Roman" w:cs="Times New Roman" w:eastAsia="Times New Roman" w:hAnsi="Times New Roman"/>
          <w:sz w:val="19"/>
          <w:szCs w:val="19"/>
          <w:color w:val="auto"/>
        </w:rPr>
      </w:pPr>
    </w:p>
    <w:p>
      <w:pPr>
        <w:ind w:left="1440" w:hanging="370"/>
        <w:spacing w:after="0"/>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other business concerns;</w:t>
      </w:r>
    </w:p>
    <w:p>
      <w:pPr>
        <w:spacing w:after="0" w:line="250" w:lineRule="exact"/>
        <w:rPr>
          <w:rFonts w:ascii="Times New Roman" w:cs="Times New Roman" w:eastAsia="Times New Roman" w:hAnsi="Times New Roman"/>
          <w:sz w:val="20"/>
          <w:szCs w:val="20"/>
          <w:color w:val="auto"/>
        </w:rPr>
      </w:pPr>
    </w:p>
    <w:p>
      <w:pPr>
        <w:ind w:left="1440" w:right="100" w:hanging="370"/>
        <w:spacing w:after="0" w:line="283" w:lineRule="auto"/>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effects to our existing business relationships with business partners and clients as a result of the acquisition;</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loss of key employees;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resources that are needed in other parts of our business;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substantial portions of our available cash to consummate the acquisition; and</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Dilutive issuances of equity securities or the incurrence of debt.</w:t>
      </w:r>
    </w:p>
    <w:p>
      <w:pPr>
        <w:spacing w:after="0" w:line="250" w:lineRule="exact"/>
        <w:rPr>
          <w:sz w:val="20"/>
          <w:szCs w:val="20"/>
          <w:color w:val="auto"/>
        </w:rPr>
      </w:pPr>
    </w:p>
    <w:p>
      <w:pPr>
        <w:ind w:right="480" w:firstLine="720"/>
        <w:spacing w:after="0" w:line="261" w:lineRule="auto"/>
        <w:rPr>
          <w:sz w:val="20"/>
          <w:szCs w:val="20"/>
          <w:color w:val="auto"/>
        </w:rPr>
      </w:pPr>
      <w:r>
        <w:rPr>
          <w:rFonts w:ascii="Times New Roman" w:cs="Times New Roman" w:eastAsia="Times New Roman" w:hAnsi="Times New Roman"/>
          <w:sz w:val="20"/>
          <w:szCs w:val="20"/>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Cybersecurity and Intellectual Property Rights</w:t>
      </w:r>
    </w:p>
    <w:p>
      <w:pPr>
        <w:spacing w:after="0" w:line="24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our security measures are unable to prevent a breach or unauthorized access to our information systems, our proprietary and other information, our client data or funds, we may be subject to numerous adverse financial and other consequences, including that our solutions may be perceived as not being secure, clients may reduce the use of or stop using our solutions, and that we may incur significant liabilities to our clients and others.</w:t>
      </w:r>
    </w:p>
    <w:p>
      <w:pPr>
        <w:spacing w:after="0" w:line="200" w:lineRule="exact"/>
        <w:rPr>
          <w:sz w:val="20"/>
          <w:szCs w:val="20"/>
          <w:color w:val="auto"/>
        </w:rPr>
      </w:pPr>
    </w:p>
    <w:p>
      <w:pPr>
        <w:ind w:firstLine="720"/>
        <w:spacing w:after="0" w:line="270" w:lineRule="auto"/>
        <w:rPr>
          <w:sz w:val="20"/>
          <w:szCs w:val="20"/>
          <w:color w:val="auto"/>
        </w:rPr>
      </w:pPr>
      <w:r>
        <w:rPr>
          <w:rFonts w:ascii="Times New Roman" w:cs="Times New Roman" w:eastAsia="Times New Roman" w:hAnsi="Times New Roman"/>
          <w:sz w:val="19"/>
          <w:szCs w:val="19"/>
          <w:color w:val="auto"/>
        </w:rPr>
        <w:t>The solutions that we provide to clients involve the processing, storage and transmission of our clients’ proprietary and confidential information regarding their employees, consultants, independent contractors, other service providers and other groups or individuals. This information includes, among other things,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the Health Insurance Portability and Accountability Act of 1996 (“HIPAA”). In addition, we collect and maintain similar information regarding our own employees, consultants, independent contractors, other service providers and other groups or individuals. Our business also involves</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30" w:name="page31"/>
    <w:bookmarkEnd w:id="30"/>
    <w:p>
      <w:pPr>
        <w:ind w:right="38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t>the storage and transmission of funds from the accounts of our clients to other persons, including taxing and regulatory authorities and others.</w:t>
      </w:r>
    </w:p>
    <w:p>
      <w:pPr>
        <w:spacing w:after="0" w:line="178"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We also rely on the security and availability of our information systems and solutions and those of third parties in the operation of our business. This includes, among other things, human capital solutions, financial solutions, customer relationship management solutions, software development solutions and tools, cybersecurity solutions and tools, and data center processing.</w:t>
      </w:r>
    </w:p>
    <w:p>
      <w:pPr>
        <w:spacing w:after="0" w:line="20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19"/>
          <w:szCs w:val="19"/>
          <w:color w:val="auto"/>
        </w:rPr>
        <w:t>We have experienced cybersecurity attacks and incidents in the past, though we do not believe that any of them have been material to our business. Although we maintain security measures and controls that we continually monitor and invest in, there can be no assurance that our measures or controls will be effective in all instances or that we will not experience cybersecurity attacks or incidents in the future. Our systems and solutions and the third-party systems on which we rely are susceptible to such attacks and incidents as unauthorized access, supply-chain attacks, exfiltration or destruction of data, disruptions of service, phishing attempts and other forms of social engineering, malware, ransomware and other forms of cyber extortion, computer viruses or other malicious code and similar events. These threats may come from cybercriminals, cyberterrorists and hacktivists, nation-state and nation-state-supported actors (including advanced persistent threat intrusions) and computer hackers. They also may result from the malicious or accidental acts of insiders. Any unauthorized access to, or security breaches of, our systems or solutions or those of our clients or third-party partners and suppliers could result in numerous adverse consequences, including the unauthorized disclosure of proprietary and confidential information we or they obtain in the ordinary course of business, identity theft and financial theft. We also could be subjected to periods in which our systems and solutions or the third-party systems on which we rely are negatively impacted, degraded or unavailable, potentially for extended periods of time. If any of these events were to occur, we could be subject to client loss, reputational harm, litigation, government enforcement actions, indemnity obligations and other liabilities, and our business, revenues, profitability and financial condition could be negatively impacted.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6193155</wp:posOffset>
                </wp:positionH>
                <wp:positionV relativeFrom="paragraph">
                  <wp:posOffset>-994410</wp:posOffset>
                </wp:positionV>
                <wp:extent cx="317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444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7.65pt,-78.2999pt" to="490.15pt,-78.2999pt" o:allowincell="f" strokecolor="#000000" strokeweight="0.35pt"/>
            </w:pict>
          </mc:Fallback>
        </mc:AlternateContent>
      </w:r>
    </w:p>
    <w:p>
      <w:pPr>
        <w:spacing w:after="0" w:line="18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Because the tactics and techniques used by threat actors to obtain unauthorized access or sabotage systems change frequently and, in some cases, are not recognized until they are launched or even later, we may be unable to anticipate these techniques or to implement adequate preventative measures in advance, and security breaches may remain undetected for an extended period of time. We also have incorporated and will continue to incorporate AI and machine learning features into our solutions and various processes across our business, which may increase vulnerability to cybersecurity risks. Additionally, AI and machine learning may be used for certain cybersecurity attacks, improving or expanding the existing capabilities of threat actors in manners we cannot predict at this time, resulting in greater risks of security incidents and breaches. Cybersecurity attacks and incidents could have a material adverse effect on our business, operations or financial condition, so as cyber threats continue to evolve, we are focused on ensuring that our operating environments safeguard and protect personal and business information, which requires us to devote significant resources to prevent and mitigate cybersecurity incidents and protect our systems, solutions and data.</w:t>
      </w:r>
    </w:p>
    <w:p>
      <w:pPr>
        <w:spacing w:after="0" w:line="213"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Additionally, while we monitor and reassess our third-party relationships over time, we have no control over those third parties’ cybersecurity programs and controls, infrastructure, physical facilities or personnel. If our security measures, or the security measures of our third-party partners and suppliers, are breached, or if our third-party partners and suppliers experience supply-chain attacks, system errors or outages, our business could be substantially harmed, and we could incur significant liabilities. The costs of investigating, mitigating, and reporting such an incident to affected individuals (if required) can be substantial. In addition, if a security breach occurs with respect to an industry peer, our clients and potential clients may lose trust in the security of our platform. Any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 Furthermore, the continuing and evolving threat of cyberattacks has resulted in increased regulatory focus and we may be required to invest significant additional resources to comply with evolving cybersecurity regulations.</w:t>
      </w:r>
    </w:p>
    <w:p>
      <w:pPr>
        <w:spacing w:after="0" w:line="211"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There can be no assurance that the limitations of liability in our contracts would be enforceable or adequate or would otherwise protect us from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80"/>
          </w:cols>
          <w:pgMar w:left="1000" w:top="398" w:right="1001" w:bottom="0" w:gutter="0" w:footer="0" w:header="0"/>
          <w:type w:val="continuous"/>
        </w:sectPr>
      </w:pPr>
    </w:p>
    <w:bookmarkStart w:id="31" w:name="page32"/>
    <w:bookmarkEnd w:id="31"/>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failure to protect our intellectual property rights could impair our ability to protect our proprietary technology and our brand.</w:t>
      </w:r>
    </w:p>
    <w:p>
      <w:pPr>
        <w:spacing w:after="0" w:line="176"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Our success is dependent, in part, upon protecting our proprietary technology. Our proprietary technologies are not covered by any patent or patent application. Instead,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209"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20"/>
          <w:szCs w:val="20"/>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w:t>
      </w:r>
    </w:p>
    <w:p>
      <w:pPr>
        <w:spacing w:after="0" w:line="202"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Our intellectual property could be wrongfully acquired as a result of a cyberattack or other wrongful conduct by employees or third parties. In order to protect our intellectual property rights, we may be required to spend significant resources, including cybersecurity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damage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sued by third parties for alleged infringement of their proprietary rights.</w:t>
      </w:r>
    </w:p>
    <w:p>
      <w:pPr>
        <w:spacing w:after="0" w:line="258"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In connection with any such claim or litigation, we may also be obligated to indemnify our clients or business partners or pay substantial settlement costs, including royalty payments,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203"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use of open source software in our products and solutions may expose us to additional risks and harm our intellectual property rights.</w:t>
      </w:r>
    </w:p>
    <w:p>
      <w:pPr>
        <w:sectPr>
          <w:pgSz w:w="11880" w:h="15481" w:orient="portrait"/>
          <w:cols w:equalWidth="0" w:num="1">
            <w:col w:w="9840"/>
          </w:cols>
          <w:pgMar w:left="1000" w:top="396" w:right="10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p>
    <w:p>
      <w:pPr>
        <w:sectPr>
          <w:pgSz w:w="11880" w:h="15481" w:orient="portrait"/>
          <w:cols w:equalWidth="0" w:num="1">
            <w:col w:w="9840"/>
          </w:cols>
          <w:pgMar w:left="1000" w:top="396" w:right="1041" w:bottom="0" w:gutter="0" w:footer="0" w:header="0"/>
          <w:type w:val="continuous"/>
        </w:sectPr>
      </w:pPr>
    </w:p>
    <w:bookmarkStart w:id="32" w:name="page33"/>
    <w:bookmarkEnd w:id="32"/>
    <w:p>
      <w:pPr>
        <w:ind w:right="40" w:firstLine="720"/>
        <w:spacing w:after="0" w:line="257" w:lineRule="auto"/>
        <w:rPr>
          <w:sz w:val="20"/>
          <w:szCs w:val="20"/>
          <w:color w:val="auto"/>
        </w:rPr>
      </w:pPr>
      <w:r>
        <w:rPr>
          <w:rFonts w:ascii="Times New Roman" w:cs="Times New Roman" w:eastAsia="Times New Roman" w:hAnsi="Times New Roman"/>
          <w:sz w:val="20"/>
          <w:szCs w:val="20"/>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202"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210"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While we monitor the use of open source software in our solutions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Legal and Regulatory Matters</w:t>
      </w:r>
    </w:p>
    <w:p>
      <w:pPr>
        <w:spacing w:after="0" w:line="2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95"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Our products and services may become subject to increasing and/or changing regulatory requirements, including changes in tax, benefits, wage and hour, employment, intellectual property, privacy laws and other international and domestic laws, and as these requirements proliferate, we may be required to change or adapt our products and services to comply. Changing regulatory requirements might reduce or eliminate the need for some of our products and services, block us from developing new products and services or have an adverse effect on the functionality and acceptance of our solution. This might in turn impose additional costs upon us to comply, modify or further develop our products and services. It might also make introduction of new products and services more costly or more time-consuming than we currently anticipate or prevent introduction of such new products and services.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impact how we conduct some aspects of our business or invest client funds, which could adversely impact interest income from investing client funds. Should any state or federal regulators determine that we have operated as an unlicensed money services business or money transmitter, we could be subject to civil and criminal fines, penalties, costs, legal fees, reputational damage or other negative consequences. Any of these regulatory implementations or changes could have an adverse effect on our business, operating results or financial condition.</w:t>
      </w:r>
    </w:p>
    <w:p>
      <w:pPr>
        <w:spacing w:after="0" w:line="216" w:lineRule="exact"/>
        <w:rPr>
          <w:sz w:val="20"/>
          <w:szCs w:val="20"/>
          <w:color w:val="auto"/>
        </w:rPr>
      </w:pPr>
    </w:p>
    <w:p>
      <w:pPr>
        <w:ind w:right="340" w:firstLine="720"/>
        <w:spacing w:after="0" w:line="255" w:lineRule="auto"/>
        <w:rPr>
          <w:sz w:val="20"/>
          <w:szCs w:val="20"/>
          <w:color w:val="auto"/>
        </w:rPr>
      </w:pPr>
      <w:r>
        <w:rPr>
          <w:rFonts w:ascii="Times New Roman" w:cs="Times New Roman" w:eastAsia="Times New Roman" w:hAnsi="Times New Roman"/>
          <w:sz w:val="20"/>
          <w:szCs w:val="20"/>
          <w:color w:val="auto"/>
        </w:rPr>
        <w:t>Some of our products incorporate new technologies such as AI and machine learning. The ability to provide products powered by new and evolving technologies must be approached in a principled manner to navigate the complexities associated with the current or future regulatory requirements as well as social and ethical considerations. Additionally, failure by others in our industry, or actions taken by our clients, employees, or other end users (including misuse of these technologies) could negatively affect the adoption of our solutions and restrict our ability to continue to leverage novel technologies in innovative ways and subject us to reputational harm, regulatory action, or legal liability, which may harm our financial condition and operating results.</w:t>
      </w:r>
    </w:p>
    <w:p>
      <w:pPr>
        <w:spacing w:after="0" w:line="210"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19"/>
          <w:szCs w:val="19"/>
          <w:color w:val="auto"/>
        </w:rPr>
        <w:t>As we continue to pursue such new technologies, our failure to adequately address legal risks relating to the use of AI and machine learning in our applications could result in litigation regarding, among other things, intellectual property, privacy, employment, civil rights and other claims that could result in liability. The use of AI and machine learning may also result in new or increased governmental or regulatory scrutiny as regulatory and legislative authorities in the United</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33" w:name="page34"/>
    <w:bookmarkEnd w:id="33"/>
    <w:p>
      <w:pPr>
        <w:ind w:right="200"/>
        <w:spacing w:after="0" w:line="258" w:lineRule="auto"/>
        <w:rPr>
          <w:sz w:val="20"/>
          <w:szCs w:val="20"/>
          <w:color w:val="auto"/>
        </w:rPr>
      </w:pPr>
      <w:r>
        <w:rPr>
          <w:rFonts w:ascii="Times New Roman" w:cs="Times New Roman" w:eastAsia="Times New Roman" w:hAnsi="Times New Roman"/>
          <w:sz w:val="20"/>
          <w:szCs w:val="20"/>
          <w:color w:val="auto"/>
        </w:rPr>
        <w:t>States, the European Union and other jurisdictions have enacted or proposed legislation that imposes or would impose restrictions on the development of generative AI and machine learning. Any actual or alleged noncompliance with applicable laws and regulations, or failure to meet client expectations with respect to the use of AI and machine learning, could result in negative publicity or harm to our reputation and subject us to investigations, claims or other remedies, and expose us to significant fines, penalties and other damages.</w:t>
      </w:r>
    </w:p>
    <w:p>
      <w:pPr>
        <w:spacing w:after="0" w:line="19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data privacy laws and regulations may have a material adverse effect on reputation, financial condition, and/or operations.</w:t>
      </w:r>
    </w:p>
    <w:p>
      <w:pPr>
        <w:spacing w:after="0" w:line="17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Our processing of personal information for our employees and on behalf of our clients is subject to federal, state and international data privacy laws. These laws, which vary across jurisdictions, generally govern the collection, storage, transfer, and other processing of personal information. They require that individuals be provided notice of privacy practices before or at the point of collection, and grant them certain rights over their personal information, including access, deletion and correction. Additionally, they regulate how personal information may be used or disclosed for secondary purposes such as marketing, and in some cases, require notification to affected individuals, clients, and/or regulators in the event of a data breach.</w:t>
      </w:r>
    </w:p>
    <w:p>
      <w:pPr>
        <w:spacing w:after="0" w:line="21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Among the most comprehensive data privacy laws that apply to various aspects of our business are HIPAA (which applies to our benefit administration solution, BeneFLEX, and our self-insured group health plan), the European Union’s General Data Protection Regulation ("GDPR"), and U.S. state privacy laws such as the California Consumer Privacy Act (“CCPA”). Other countries and U.S. states are increasingly adopting similarly comprehensive laws that impose new data privacy and protection requirements and restrictions on covered organizations. Importantly, these laws can impose significant penalties and fines for non-compliance, such as a fine of up to 4% of an organization’s worldwide revenue for the preceding year under the GDPR.</w:t>
      </w:r>
    </w:p>
    <w:p>
      <w:pPr>
        <w:spacing w:after="0" w:line="21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worldwide regulatory focus on data privacy has intensified in recent years, in part triggered by the GDPR. This shift has driven rapid changes around the processing of personal information, necessitating that we continually adapt our solutions and business practices to support our clients’ compliance efforts. As this focus on data privacy continues, so too do the potential risks associated with how our business processes personal information. Compounding this complexity, many areas of existing data privacy laws remain subject to interpretation, which creates an added risk that advocacy groups and governments in countries where we or our clients operate may adopt adverse interpretations. Such interpretations could impose significant obligations on our business or restrict our ability to offer certain products and services in jurisdictions where we currently operate.</w:t>
      </w:r>
    </w:p>
    <w:p>
      <w:pPr>
        <w:spacing w:after="0" w:line="205" w:lineRule="exact"/>
        <w:rPr>
          <w:sz w:val="20"/>
          <w:szCs w:val="20"/>
          <w:color w:val="auto"/>
        </w:rPr>
      </w:pPr>
    </w:p>
    <w:p>
      <w:pPr>
        <w:ind w:right="120" w:firstLine="720"/>
        <w:spacing w:after="0" w:line="257" w:lineRule="auto"/>
        <w:rPr>
          <w:sz w:val="20"/>
          <w:szCs w:val="20"/>
          <w:color w:val="auto"/>
        </w:rPr>
      </w:pPr>
      <w:r>
        <w:rPr>
          <w:rFonts w:ascii="Times New Roman" w:cs="Times New Roman" w:eastAsia="Times New Roman" w:hAnsi="Times New Roman"/>
          <w:sz w:val="20"/>
          <w:szCs w:val="20"/>
          <w:color w:val="auto"/>
        </w:rPr>
        <w:t>Enforcement actions and investigations by regulatory authorities related to security incidents and data privacy violations continue to increase. A finding of noncompliance from any such investigation or enforcement action could lead to increased costs, significant regulatory penalties, legal liability and burdensome governmental oversight, including restrictions on our operations. Furthermore, heightened consumer and market concerns about data privacy abuses by other companies are changing expectations for enhanced data privacy and security. As a result, a perception of noncompliance could damage our reputation with our current and potential clients, employees and stockholders.</w:t>
      </w:r>
    </w:p>
    <w:p>
      <w:pPr>
        <w:spacing w:after="0" w:line="19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Adverse tax laws or regulations could be enacted, or existing laws could be applied to us or our clients, which could increase the costs of our services and adversely impact our business.</w:t>
      </w:r>
    </w:p>
    <w:p>
      <w:pPr>
        <w:spacing w:after="0" w:line="17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application of federal, state, and local tax laws to services provided electronically often involve complex issues and significant judgment. New or changes to existing income, sales, use or other tax laws, statutes, rules, regulations or ordinances could be enacted at any time, possibly with retroactive effect, and could be applied solely or disproportionately to services provided over the Internet. These enactments could adversely affect our business, results of operations and financial condition due to the inherent cost increase.</w:t>
      </w:r>
    </w:p>
    <w:p>
      <w:pPr>
        <w:spacing w:after="0" w:line="204"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Moreover,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to determine how to comply with that state’s rules and regulations. We cannot, however, assure you that we will not be subject to sales and use taxes or related penalties for past sales in states where we currently believe no such taxes are required. If one or more taxing authorities determines that taxes should have, but have not, been paid with respect to our services, we might be liable for past taxes and the associated interest and penalty charges, in addition to taxes going forward, which will adversely affect our business, sales activity, results of operations and financial condition.</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auto"/>
        </w:rPr>
        <w:t>Any future litigation against us could be costly and time-consuming to defend.</w:t>
      </w:r>
    </w:p>
    <w:p>
      <w:pPr>
        <w:spacing w:after="0" w:line="25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We have in the past, and may in the future, become subject to legal proceedings and claims that arise in the ordinary course of business. Such claims may be brought by our clients in connection with commercial disputes, employment claims made by our current or former employees, or lawsuits related to breaches of personal information. Litigation might result in substantial costs and may divert management’s attention and resources, which could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Financial Matters</w:t>
      </w:r>
    </w:p>
    <w:p>
      <w:pPr>
        <w:spacing w:after="0" w:line="249"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Our revolving credit agreement contains covenants that may constrain the operation of our business, and our failure to comply with these covenants could have a material adverse effect on our financial condition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right="200" w:firstLine="720"/>
        <w:spacing w:after="0" w:line="257" w:lineRule="auto"/>
        <w:rPr>
          <w:sz w:val="20"/>
          <w:szCs w:val="20"/>
          <w:color w:val="auto"/>
        </w:rPr>
      </w:pPr>
      <w:r>
        <w:rPr>
          <w:rFonts w:ascii="Times New Roman" w:cs="Times New Roman" w:eastAsia="Times New Roman" w:hAnsi="Times New Roman"/>
          <w:sz w:val="20"/>
          <w:szCs w:val="20"/>
          <w:color w:val="auto"/>
        </w:rPr>
        <w:t>Our revolving credit agreement contains restrictive covenants including restrictions regarding the incurrence of liens and indebtedness, substantial changes in the general nature of our business and our subsidiaries (taken as a whole), certain merger transactions, certain sales of assets and other matters, all subject to certain exceptions. Failure to comply with these covenants would limit our ability to borrow under the revolving credit agreement, and amounts outstanding, if any, could become immediately due and payable. Any such failure could have a negative impact on our business and financial condition.</w:t>
      </w:r>
    </w:p>
    <w:p>
      <w:pPr>
        <w:spacing w:after="0" w:line="19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our corporate investments or client funds could have adverse impacts on our business, results of operations, financial condition and liquidity.</w:t>
      </w:r>
    </w:p>
    <w:p>
      <w:pPr>
        <w:spacing w:after="0" w:line="21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201"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reported financial results may be adversely affected by changes in accounting principles generally accepted in the United States.</w:t>
      </w:r>
    </w:p>
    <w:p>
      <w:pPr>
        <w:spacing w:after="0" w:line="176"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w:t>
      </w:r>
    </w:p>
    <w:p>
      <w:pPr>
        <w:sectPr>
          <w:pgSz w:w="11880" w:h="15481" w:orient="portrait"/>
          <w:cols w:equalWidth="0" w:num="1">
            <w:col w:w="9860"/>
          </w:cols>
          <w:pgMar w:left="1000" w:top="390"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p>
    <w:p>
      <w:pPr>
        <w:sectPr>
          <w:pgSz w:w="11880" w:h="15481" w:orient="portrait"/>
          <w:cols w:equalWidth="0" w:num="1">
            <w:col w:w="9860"/>
          </w:cols>
          <w:pgMar w:left="1000" w:top="390" w:right="1021" w:bottom="0" w:gutter="0" w:footer="0" w:header="0"/>
          <w:type w:val="continuous"/>
        </w:sectPr>
      </w:pPr>
    </w:p>
    <w:bookmarkStart w:id="35" w:name="page36"/>
    <w:bookmarkEnd w:id="35"/>
    <w:p>
      <w:pPr>
        <w:ind w:right="4820" w:firstLine="720"/>
        <w:spacing w:after="0" w:line="504" w:lineRule="auto"/>
        <w:rPr>
          <w:sz w:val="20"/>
          <w:szCs w:val="20"/>
          <w:color w:val="auto"/>
        </w:rPr>
      </w:pPr>
      <w:r>
        <w:rPr>
          <w:rFonts w:ascii="Times New Roman" w:cs="Times New Roman" w:eastAsia="Times New Roman" w:hAnsi="Times New Roman"/>
          <w:sz w:val="20"/>
          <w:szCs w:val="20"/>
          <w:b w:val="1"/>
          <w:bCs w:val="1"/>
          <w:color w:val="auto"/>
        </w:rPr>
        <w:t xml:space="preserve">Risks Related to Ownership of Our Common Stock </w:t>
      </w:r>
      <w:r>
        <w:rPr>
          <w:rFonts w:ascii="Times New Roman" w:cs="Times New Roman" w:eastAsia="Times New Roman" w:hAnsi="Times New Roman"/>
          <w:sz w:val="20"/>
          <w:szCs w:val="20"/>
          <w:b w:val="1"/>
          <w:bCs w:val="1"/>
          <w:i w:val="1"/>
          <w:iCs w:val="1"/>
          <w:color w:val="auto"/>
        </w:rPr>
        <w:t>Our stock price may be subject to wide fluctuations.</w:t>
      </w:r>
    </w:p>
    <w:p>
      <w:pPr>
        <w:spacing w:after="0" w:line="1" w:lineRule="exact"/>
        <w:rPr>
          <w:sz w:val="20"/>
          <w:szCs w:val="20"/>
          <w:color w:val="auto"/>
        </w:rPr>
      </w:pPr>
    </w:p>
    <w:p>
      <w:pPr>
        <w:jc w:val="both"/>
        <w:ind w:right="280" w:firstLine="720"/>
        <w:spacing w:after="0" w:line="266" w:lineRule="auto"/>
        <w:rPr>
          <w:sz w:val="20"/>
          <w:szCs w:val="20"/>
          <w:color w:val="auto"/>
        </w:rPr>
      </w:pPr>
      <w:r>
        <w:rPr>
          <w:rFonts w:ascii="Times New Roman" w:cs="Times New Roman" w:eastAsia="Times New Roman" w:hAnsi="Times New Roman"/>
          <w:sz w:val="20"/>
          <w:szCs w:val="20"/>
          <w:color w:val="auto"/>
        </w:rPr>
        <w:t>The market price of our common stock has experienced, and may continue to experience, wide fluctuations and increased volatility. Factors that may impact our performance and market price include those discussed elsewhere in this “Risk Factors” section of this Annual Report on Form 10-K and others such as:</w:t>
      </w:r>
    </w:p>
    <w:p>
      <w:pPr>
        <w:spacing w:after="0" w:line="195" w:lineRule="exact"/>
        <w:rPr>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performance and the operating performance of similar companies;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acquisitions, business plans or commercial relationships;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our board of directors or senior management;</w:t>
      </w:r>
    </w:p>
    <w:p>
      <w:pPr>
        <w:spacing w:after="0" w:line="250" w:lineRule="exact"/>
        <w:rPr>
          <w:rFonts w:ascii="Times New Roman" w:cs="Times New Roman" w:eastAsia="Times New Roman" w:hAnsi="Times New Roman"/>
          <w:sz w:val="20"/>
          <w:szCs w:val="20"/>
          <w:color w:val="auto"/>
        </w:rPr>
      </w:pPr>
    </w:p>
    <w:p>
      <w:pPr>
        <w:ind w:left="1440" w:right="240" w:hanging="370"/>
        <w:spacing w:after="0" w:line="283"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or news stories about us, our competitors, or our industry, or positive or negative recommendations or withdrawal of research coverage by securities analysts;</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our other public announcements and our filings with the SEC;</w:t>
      </w:r>
    </w:p>
    <w:p>
      <w:pPr>
        <w:spacing w:after="0" w:line="250" w:lineRule="exact"/>
        <w:rPr>
          <w:rFonts w:ascii="Times New Roman" w:cs="Times New Roman" w:eastAsia="Times New Roman" w:hAnsi="Times New Roman"/>
          <w:sz w:val="20"/>
          <w:szCs w:val="20"/>
          <w:color w:val="auto"/>
        </w:rPr>
      </w:pPr>
    </w:p>
    <w:p>
      <w:pPr>
        <w:ind w:left="1440" w:right="320" w:hanging="370"/>
        <w:spacing w:after="0" w:line="283"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our common stock under our share repurchase program or the decision to terminate or suspend any repurchases;</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our directors, executive officers and affiliates;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reaction to any indebtedness we may incur or securities we may issue in the future;</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hedging and other derivative transactions in our common stock;</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Threatened or actual litigation;</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issues; and</w:t>
      </w:r>
    </w:p>
    <w:p>
      <w:pPr>
        <w:spacing w:after="0" w:line="250" w:lineRule="exact"/>
        <w:rPr>
          <w:rFonts w:ascii="Times New Roman" w:cs="Times New Roman" w:eastAsia="Times New Roman" w:hAnsi="Times New Roman"/>
          <w:sz w:val="20"/>
          <w:szCs w:val="20"/>
          <w:color w:val="auto"/>
        </w:rPr>
      </w:pPr>
    </w:p>
    <w:p>
      <w:pPr>
        <w:ind w:left="1440" w:right="20" w:hanging="370"/>
        <w:spacing w:after="0" w:line="261" w:lineRule="auto"/>
        <w:tabs>
          <w:tab w:leader="none" w:pos="1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including changes in general conditions in the United States and global economies or financial markets (including acts of God, war, incidents of terrorism, inflationary pressures, impact of tariffs and changes in trade policies or other destabilizing events and the resulting responses to them).</w:t>
      </w:r>
    </w:p>
    <w:p>
      <w:pPr>
        <w:spacing w:after="0" w:line="200"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software or technology-related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share repurchase program may increase the volatility of the market price of our stock and adversely affect our liquidity. Further, we may not realize the anticipated long-term stockholder value of our share repurchase program.</w:t>
      </w:r>
    </w:p>
    <w:p>
      <w:pPr>
        <w:spacing w:after="0" w:line="17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May 2024, we announced that our board of directors approved a share repurchase program, authorizing the purchase of up to $500 million of our issued and outstanding common stock. In August 2025, we announced that our board of directors approved an additional $500 million to the share repurchase program. The authorization does not obligate us to repurchase any specific dollar amount or number of shares, there is no expiration date for the authorization, and the repurchase program may be modified, suspended or terminated at any time and for any reason. Any future announcement of a termination or suspension of the program, or our decision not to utilize the full authorized repurchase amount under the program, may reduce investor confidence and/or result in a decrease in the market price of our shares.</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existence of the repurchase program could cause our stock price to trade higher than it otherwise would and could potentially reduce the market liquidity for our stock. The repurchase program may not enhance long-term stockholder value because the market price of our common stock may decline below the levels at which we repurchased</w:t>
      </w:r>
    </w:p>
    <w:p>
      <w:pPr>
        <w:sectPr>
          <w:pgSz w:w="11880" w:h="15481" w:orient="portrait"/>
          <w:cols w:equalWidth="0" w:num="1">
            <w:col w:w="9900"/>
          </w:cols>
          <w:pgMar w:left="1000" w:top="391" w:right="981"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p>
    <w:p>
      <w:pPr>
        <w:sectPr>
          <w:pgSz w:w="11880" w:h="15481" w:orient="portrait"/>
          <w:cols w:equalWidth="0" w:num="1">
            <w:col w:w="9900"/>
          </w:cols>
          <w:pgMar w:left="1000" w:top="391" w:right="981" w:bottom="0" w:gutter="0" w:footer="0" w:header="0"/>
          <w:type w:val="continuous"/>
        </w:sectPr>
      </w:pPr>
    </w:p>
    <w:bookmarkStart w:id="36" w:name="page37"/>
    <w:bookmarkEnd w:id="36"/>
    <w:p>
      <w:pPr>
        <w:spacing w:after="0" w:line="283" w:lineRule="auto"/>
        <w:rPr>
          <w:sz w:val="20"/>
          <w:szCs w:val="20"/>
          <w:color w:val="auto"/>
        </w:rPr>
      </w:pPr>
      <w:r>
        <w:rPr>
          <w:rFonts w:ascii="Times New Roman" w:cs="Times New Roman" w:eastAsia="Times New Roman" w:hAnsi="Times New Roman"/>
          <w:sz w:val="20"/>
          <w:szCs w:val="20"/>
          <w:color w:val="auto"/>
        </w:rPr>
        <w:t>shares. Additionally, short-term stock price fluctuations could reduce the number or amount of shares we may ultimately repurchase pursuant to the program.</w:t>
      </w:r>
    </w:p>
    <w:p>
      <w:pPr>
        <w:spacing w:after="0" w:line="178"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Repurchasing our common stock will reduce the amount of cash we have available to fund working capital, repayment of debt, capital expenditures, strategic acquisitions or business opportunities, and other general corporate purposes. The actual timing, number and value of shares repurchased will depend on various factors, including the market price of our common stock, trading volume, general market conditions and other corporate and economic considerations.</w:t>
      </w:r>
    </w:p>
    <w:p>
      <w:pPr>
        <w:spacing w:after="0" w:line="19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6" w:lineRule="exact"/>
        <w:rPr>
          <w:sz w:val="20"/>
          <w:szCs w:val="20"/>
          <w:color w:val="auto"/>
        </w:rPr>
      </w:pPr>
    </w:p>
    <w:p>
      <w:pPr>
        <w:ind w:right="20" w:firstLine="720"/>
        <w:spacing w:after="0" w:line="257" w:lineRule="auto"/>
        <w:rPr>
          <w:sz w:val="20"/>
          <w:szCs w:val="20"/>
          <w:color w:val="auto"/>
        </w:rPr>
      </w:pPr>
      <w:r>
        <w:rPr>
          <w:rFonts w:ascii="Times New Roman" w:cs="Times New Roman" w:eastAsia="Times New Roman" w:hAnsi="Times New Roman"/>
          <w:sz w:val="20"/>
          <w:szCs w:val="20"/>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4"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issuances of shares of our common stock would dilute the ownership of our existing stockholders and could depress the market price of our common stock.</w:t>
      </w:r>
    </w:p>
    <w:p>
      <w:pPr>
        <w:spacing w:after="0" w:line="176"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20"/>
          <w:szCs w:val="20"/>
          <w:color w:val="auto"/>
        </w:rPr>
        <w:t>Our third amended and restated certificate of incorporation authorizes the issuance of up to 155,000,000 shares of common stock and 5,000,000 shares of preferred stock with such rights, preferences, privileges and restrictions as determined by the board of directors. We may issue all or any portion of the capital stock which has been authorized but not issued subject to applicable rules and regulations, which may not require any action or approval by our stockholders. Also, in the future, we may issue additional securities in connection with investments and acquisitions. The amount of our common stock issued in connection with an investment or acquisition could constitute a material portion of our then outstanding stock. Due to these factors, issuances of a substantial number of shares of our common stock into the public market could occur at any time, which would dilute the ownership proportion of current stockholders and could cause the price of our common stock to decline.</w:t>
      </w:r>
    </w:p>
    <w:p>
      <w:pPr>
        <w:spacing w:after="0" w:line="20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6"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third amended and restated certificate of incorporation and third amended and restated bylaws may discourage, delay or prevent a change in our management or control over us that stockholders may consider favorable. Our third amended and restated certificate of incorporation and bylaws:</w:t>
      </w:r>
    </w:p>
    <w:p>
      <w:pPr>
        <w:spacing w:after="0" w:line="210" w:lineRule="exact"/>
        <w:rPr>
          <w:sz w:val="20"/>
          <w:szCs w:val="20"/>
          <w:color w:val="auto"/>
        </w:rPr>
      </w:pPr>
    </w:p>
    <w:p>
      <w:pPr>
        <w:ind w:left="1440" w:right="100" w:hanging="370"/>
        <w:spacing w:after="0" w:line="283" w:lineRule="auto"/>
        <w:tabs>
          <w:tab w:leader="none" w:pos="14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the issuance of “blank check” convertible preferred stock that could be issued by our board of directors to thwart a takeover attempt;</w:t>
      </w:r>
    </w:p>
    <w:p>
      <w:pPr>
        <w:spacing w:after="0" w:line="177" w:lineRule="exact"/>
        <w:rPr>
          <w:rFonts w:ascii="Times New Roman" w:cs="Times New Roman" w:eastAsia="Times New Roman" w:hAnsi="Times New Roman"/>
          <w:sz w:val="20"/>
          <w:szCs w:val="20"/>
          <w:color w:val="auto"/>
        </w:rPr>
      </w:pPr>
    </w:p>
    <w:p>
      <w:pPr>
        <w:ind w:left="1440" w:right="380" w:hanging="370"/>
        <w:spacing w:after="0" w:line="283" w:lineRule="auto"/>
        <w:tabs>
          <w:tab w:leader="none" w:pos="14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vacancies on the board of directors, including newly created directorships, may be filled only by a majority vote of directors then in office rather than by stockholders;</w:t>
      </w:r>
    </w:p>
    <w:p>
      <w:pPr>
        <w:spacing w:after="0" w:line="177"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 stockholders from calling special meetings; and</w:t>
      </w:r>
    </w:p>
    <w:p>
      <w:pPr>
        <w:spacing w:after="0" w:line="250" w:lineRule="exact"/>
        <w:rPr>
          <w:rFonts w:ascii="Times New Roman" w:cs="Times New Roman" w:eastAsia="Times New Roman" w:hAnsi="Times New Roman"/>
          <w:sz w:val="20"/>
          <w:szCs w:val="20"/>
          <w:color w:val="auto"/>
        </w:rPr>
      </w:pPr>
    </w:p>
    <w:p>
      <w:pPr>
        <w:ind w:left="1440" w:right="600" w:hanging="370"/>
        <w:spacing w:after="0" w:line="283" w:lineRule="auto"/>
        <w:tabs>
          <w:tab w:leader="none" w:pos="14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stockholder action by written consent, requiring all actions to be taken at a meeting of the stockholders.</w:t>
      </w:r>
    </w:p>
    <w:p>
      <w:pPr>
        <w:spacing w:after="0" w:line="169"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76" w:lineRule="exact"/>
        <w:rPr>
          <w:sz w:val="20"/>
          <w:szCs w:val="20"/>
          <w:color w:val="auto"/>
        </w:rPr>
      </w:pPr>
    </w:p>
    <w:p>
      <w:pPr>
        <w:ind w:right="100" w:firstLine="720"/>
        <w:spacing w:after="0" w:line="310" w:lineRule="auto"/>
        <w:rPr>
          <w:sz w:val="20"/>
          <w:szCs w:val="20"/>
          <w:color w:val="auto"/>
        </w:rPr>
      </w:pPr>
      <w:r>
        <w:rPr>
          <w:rFonts w:ascii="Times New Roman" w:cs="Times New Roman" w:eastAsia="Times New Roman" w:hAnsi="Times New Roman"/>
          <w:sz w:val="19"/>
          <w:szCs w:val="19"/>
          <w:color w:val="auto"/>
        </w:rPr>
        <w:t>Our third amended and restated bylaws designate the state and federal courts located within the state of Delaware as the sole and exclusive forums for claims arising derivatively, pursuant to the Delaware General Corporation Law or</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37" w:name="page38"/>
    <w:bookmarkEnd w:id="37"/>
    <w:p>
      <w:pPr>
        <w:ind w:right="180"/>
        <w:spacing w:after="0" w:line="25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t>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and market conditions could adversely affect our business, results of operations and financial condition.</w:t>
      </w:r>
    </w:p>
    <w:p>
      <w:pPr>
        <w:spacing w:after="0" w:line="25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Our business depends on the overall demand for our software solutions, and on the economic health of our current and prospective clients. As a result, we and our clients are subject to risks arising from adverse changes in economic and market conditions such as lower employment levels, increasing interest rates, inflation, tariffs, changes in trade policies, volatility in capital markets, and instability of the banking environment, among other factors. During an economic slowdown or downturn, clients may reduce their number of employees and delay or reduce their spending on payroll and other HCM solutions or renegotiate their contracts with us. This could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20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95"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258" w:lineRule="exact"/>
        <w:rPr>
          <w:sz w:val="20"/>
          <w:szCs w:val="20"/>
          <w:color w:val="auto"/>
        </w:rPr>
      </w:pPr>
    </w:p>
    <w:p>
      <w:pPr>
        <w:ind w:right="220" w:firstLine="720"/>
        <w:spacing w:after="0" w:line="310" w:lineRule="auto"/>
        <w:rPr>
          <w:sz w:val="20"/>
          <w:szCs w:val="20"/>
          <w:color w:val="auto"/>
        </w:rPr>
      </w:pPr>
      <w:r>
        <w:rPr>
          <w:rFonts w:ascii="Times New Roman" w:cs="Times New Roman" w:eastAsia="Times New Roman" w:hAnsi="Times New Roman"/>
          <w:sz w:val="19"/>
          <w:szCs w:val="19"/>
          <w:color w:val="auto"/>
        </w:rPr>
        <w:t>Our cybersecurity risk management program, which is part of our overall risk management function, comprises processes for assessing, identifying and managing material risks from cybersecurity threats, including the following:</w:t>
      </w:r>
    </w:p>
    <w:p>
      <w:pPr>
        <w:spacing w:after="0" w:line="153"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Information Security Policies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maintain information security policies that are formally reviewed and approved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senior management and are periodically updated for new developments. These policies map to standard industry frameworks such as the National Institute of Standards and Technology (NIST), Committee of Sponsoring Organizations (COSO), and International Organization for Standardization (ISO) 27001 to establish structured governance, policies, standards, and controls.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1945005</wp:posOffset>
                </wp:positionH>
                <wp:positionV relativeFrom="paragraph">
                  <wp:posOffset>-746125</wp:posOffset>
                </wp:positionV>
                <wp:extent cx="4297680" cy="11557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7680" cy="115570"/>
                        </a:xfrm>
                        <a:prstGeom prst="rect">
                          <a:avLst/>
                        </a:prstGeom>
                        <a:solidFill>
                          <a:srgbClr val="FFFFFF"/>
                        </a:solidFill>
                      </wps:spPr>
                      <wps:bodyPr/>
                    </wps:wsp>
                  </a:graphicData>
                </a:graphic>
              </wp:anchor>
            </w:drawing>
          </mc:Choice>
          <mc:Fallback>
            <w:pict>
              <v:rect id="Shape 37" o:spid="_x0000_s1062" style="position:absolute;margin-left:153.15pt;margin-top:-58.7499pt;width:338.4pt;height: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ectPr>
          <w:pgSz w:w="11880" w:h="15481" w:orient="portrait"/>
          <w:cols w:equalWidth="0" w:num="1">
            <w:col w:w="9840"/>
          </w:cols>
          <w:pgMar w:left="1000" w:top="398" w:right="10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40"/>
          </w:cols>
          <w:pgMar w:left="1000" w:top="398" w:right="1041" w:bottom="0" w:gutter="0" w:footer="0" w:header="0"/>
          <w:type w:val="continuous"/>
        </w:sectPr>
      </w:pPr>
    </w:p>
    <w:bookmarkStart w:id="38" w:name="page39"/>
    <w:bookmarkEnd w:id="38"/>
    <w:p>
      <w:pPr>
        <w:jc w:val="both"/>
        <w:ind w:right="100" w:firstLine="720"/>
        <w:spacing w:after="0" w:line="288"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t>Information Security Certifications and Audits</w:t>
      </w:r>
      <w:r>
        <w:rPr>
          <w:sz w:val="1"/>
          <w:szCs w:val="1"/>
          <w:color w:val="auto"/>
        </w:rPr>
        <w:drawing>
          <wp:inline distT="0" distB="0" distL="0" distR="0">
            <wp:extent cx="31750" cy="11239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31750" cy="112395"/>
                    </a:xfrm>
                    <a:prstGeom prst="rect">
                      <a:avLst/>
                    </a:prstGeom>
                    <a:noFill/>
                    <a:ln>
                      <a:noFill/>
                    </a:ln>
                  </pic:spPr>
                </pic:pic>
              </a:graphicData>
            </a:graphic>
          </wp:inline>
        </w:drawing>
      </w:r>
      <w:r>
        <w:rPr>
          <w:rFonts w:ascii="Times New Roman" w:cs="Times New Roman" w:eastAsia="Times New Roman" w:hAnsi="Times New Roman"/>
          <w:sz w:val="19"/>
          <w:szCs w:val="19"/>
          <w:color w:val="auto"/>
          <w:highlight w:val="white"/>
        </w:rPr>
        <w:t xml:space="preserve">We maintain certification for compliance with ISO 27001:2022 as </w:t>
      </w:r>
      <w:r>
        <w:rPr>
          <w:rFonts w:ascii="Times New Roman" w:cs="Times New Roman" w:eastAsia="Times New Roman" w:hAnsi="Times New Roman"/>
          <w:sz w:val="19"/>
          <w:szCs w:val="19"/>
          <w:color w:val="auto"/>
        </w:rPr>
        <w:t>assessed by an independent third-party auditor. We also engage an independent accounting firm to perform assessments of our procedures and controls as part of our annual Systems and Organization Controls (SOC) 1 and SOC 2 audits.</w:t>
      </w:r>
    </w:p>
    <w:p>
      <w:pPr>
        <w:spacing w:after="0" w:line="173"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Security Awareness and Training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our onboarding process, each new employee is required to complete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security training upon employment. Our employees also are required to complete annual security and privacy training to maintain our focus on protecting our information and that of our clients and their employees. This mandatory training educates our employees on safe handling of sensitive information, appropriate responses to a suspected data security breach, and awareness of security responsibilities. We strive to promote a healthy security awareness culture throughout the organization through supplemental education, training courses, videos, internal and external publications, and supporting activities. We also invest in our Information Security professionals with continued information security training and certifications.</w:t>
      </w:r>
    </w:p>
    <w:p>
      <w:pPr>
        <w:spacing w:after="0" w:line="205" w:lineRule="exact"/>
        <w:rPr>
          <w:sz w:val="20"/>
          <w:szCs w:val="20"/>
          <w:color w:val="auto"/>
        </w:rPr>
      </w:pPr>
    </w:p>
    <w:p>
      <w:pPr>
        <w:ind w:right="600" w:firstLine="720"/>
        <w:spacing w:after="0" w:line="28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Data and Web Security Safeguards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have implemented the following information security solutions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2234565</wp:posOffset>
                </wp:positionH>
                <wp:positionV relativeFrom="paragraph">
                  <wp:posOffset>-306070</wp:posOffset>
                </wp:positionV>
                <wp:extent cx="3686175" cy="11557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6175" cy="115570"/>
                        </a:xfrm>
                        <a:prstGeom prst="rect">
                          <a:avLst/>
                        </a:prstGeom>
                        <a:solidFill>
                          <a:srgbClr val="FFFFFF"/>
                        </a:solidFill>
                      </wps:spPr>
                      <wps:bodyPr/>
                    </wps:wsp>
                  </a:graphicData>
                </a:graphic>
              </wp:anchor>
            </w:drawing>
          </mc:Choice>
          <mc:Fallback>
            <w:pict>
              <v:rect id="Shape 43" o:spid="_x0000_s1068" style="position:absolute;margin-left:175.95pt;margin-top:-24.0999pt;width:290.25pt;height: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35" w:lineRule="exact"/>
        <w:rPr>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deployment of intrusion prevention systems designed to detect and block malicious traffic,</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web application firewalls designed to protect our application from attacks,</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firewalls,</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information and event management,</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user and entity behavior analytics,</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endpoint detection and response designed to protect our workstation and server population,</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loss prevention software at multiple layers of our IT environment,</w:t>
      </w:r>
    </w:p>
    <w:p>
      <w:pPr>
        <w:spacing w:after="0" w:line="13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penetration testing conducted by both our internal teams and external providers, and</w:t>
      </w:r>
    </w:p>
    <w:p>
      <w:pPr>
        <w:spacing w:after="0" w:line="130" w:lineRule="exact"/>
        <w:rPr>
          <w:rFonts w:ascii="Times New Roman" w:cs="Times New Roman" w:eastAsia="Times New Roman" w:hAnsi="Times New Roman"/>
          <w:sz w:val="20"/>
          <w:szCs w:val="20"/>
          <w:color w:val="auto"/>
        </w:rPr>
      </w:pPr>
    </w:p>
    <w:p>
      <w:pPr>
        <w:ind w:left="720" w:firstLine="350"/>
        <w:spacing w:after="0" w:line="283" w:lineRule="auto"/>
        <w:tabs>
          <w:tab w:leader="none" w:pos="1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multi-layered vulnerability management program designed to identify technical bugs within our product and infrastructure.</w:t>
      </w:r>
    </w:p>
    <w:p>
      <w:pPr>
        <w:spacing w:after="0" w:line="178"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We encrypt sensitive client information both during transmission and at rest using industry standard protocols. We also have a mature application security program that promotes security champions within the developer community to instill strong, secure coding practices for reducing vulnerabilities and delivering a secure web application.</w:t>
      </w:r>
    </w:p>
    <w:p>
      <w:pPr>
        <w:spacing w:after="0" w:line="192" w:lineRule="exact"/>
        <w:rPr>
          <w:sz w:val="20"/>
          <w:szCs w:val="20"/>
          <w:color w:val="auto"/>
        </w:rPr>
      </w:pPr>
    </w:p>
    <w:p>
      <w:pPr>
        <w:ind w:right="80" w:firstLine="720"/>
        <w:spacing w:after="0" w:line="262"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Incident Response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highlight w:val="white"/>
        </w:rPr>
        <w:t>We maintain an incident response plan designed to provide a high-level framework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can be implemented in any cyber incident. The plan addresses identification of the incident, notifications to appropriate individuals, organization of response activities by role, and escalation procedures based on the severity of the incident. We also have action plans to support business remediation and recovery efforts in the event of an incident.</w:t>
      </w:r>
    </w:p>
    <w:p>
      <w:pPr>
        <w:spacing w:after="0" w:line="196"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Business Resilience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apply controls from best practices such as, but not limited to, The Business Continuity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Institute (BCI), Disaster Recovery Institute International (DRII), and International Organization for Standardization (ISO) 22301 for developing and maintaining threat-agnostic plans with strategies to continue client services and critical business operations in the event of a disruption to critical dependencies. The business resilience planning process includes business impact analyses, risk assessments, and continuity strategies. Our business resilience team conducts regular exercises to validate and continuously improve the plans and strategies, including conducting tabletop exercises with teams from across the organization.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1447800</wp:posOffset>
                </wp:positionH>
                <wp:positionV relativeFrom="paragraph">
                  <wp:posOffset>-1048385</wp:posOffset>
                </wp:positionV>
                <wp:extent cx="4651375" cy="11557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1375" cy="115570"/>
                        </a:xfrm>
                        <a:prstGeom prst="rect">
                          <a:avLst/>
                        </a:prstGeom>
                        <a:solidFill>
                          <a:srgbClr val="FFFFFF"/>
                        </a:solidFill>
                      </wps:spPr>
                      <wps:bodyPr/>
                    </wps:wsp>
                  </a:graphicData>
                </a:graphic>
              </wp:anchor>
            </w:drawing>
          </mc:Choice>
          <mc:Fallback>
            <w:pict>
              <v:rect id="Shape 44" o:spid="_x0000_s1069" style="position:absolute;margin-left:114pt;margin-top:-82.5499pt;width:366.25pt;height: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83"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Third-Party Risk Management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monitor and reassess our third-party relationships on an ongoing basis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depending on risk level or in the event of a change of products and services provided to us. We also require third-party vendors, suppliers and service providers to undergo a cybersecurity risk assessment to be able to enter into a contract with us. The third-party risk assessments, conducted by our information security and enterprise risk management teams with input from key business stakeholders, involve understanding the products and services we obtain from the third party, what sensitive company and client data it will be able to access and an evaluation of the vendor’s security program and documentation. We also require that certain information security-related contract terms be incorporated into agreements with third parties that will have access to sensitive information before entering into such agreements.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2001520</wp:posOffset>
                </wp:positionH>
                <wp:positionV relativeFrom="paragraph">
                  <wp:posOffset>-1199515</wp:posOffset>
                </wp:positionV>
                <wp:extent cx="3827780" cy="11557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27780" cy="115570"/>
                        </a:xfrm>
                        <a:prstGeom prst="rect">
                          <a:avLst/>
                        </a:prstGeom>
                        <a:solidFill>
                          <a:srgbClr val="FFFFFF"/>
                        </a:solidFill>
                      </wps:spPr>
                      <wps:bodyPr/>
                    </wps:wsp>
                  </a:graphicData>
                </a:graphic>
              </wp:anchor>
            </w:drawing>
          </mc:Choice>
          <mc:Fallback>
            <w:pict>
              <v:rect id="Shape 45" o:spid="_x0000_s1070" style="position:absolute;margin-left:157.6pt;margin-top:-94.4499pt;width:301.4pt;height: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88" w:lineRule="exact"/>
        <w:rPr>
          <w:sz w:val="20"/>
          <w:szCs w:val="20"/>
          <w:color w:val="auto"/>
        </w:rPr>
      </w:pPr>
    </w:p>
    <w:p>
      <w:pPr>
        <w:ind w:right="100" w:firstLine="720"/>
        <w:spacing w:after="0" w:line="310" w:lineRule="auto"/>
        <w:rPr>
          <w:sz w:val="20"/>
          <w:szCs w:val="20"/>
          <w:color w:val="auto"/>
        </w:rPr>
      </w:pPr>
      <w:r>
        <w:rPr>
          <w:rFonts w:ascii="Times New Roman" w:cs="Times New Roman" w:eastAsia="Times New Roman" w:hAnsi="Times New Roman"/>
          <w:sz w:val="19"/>
          <w:szCs w:val="19"/>
          <w:color w:val="auto"/>
        </w:rPr>
        <w:t>Although we have experienced cybersecurity incidents in the past, none of these incidents to date have materially affected our business strategy, results of operations or financial condition. Despite our efforts, there can be no assurance</w:t>
      </w:r>
    </w:p>
    <w:p>
      <w:pPr>
        <w:sectPr>
          <w:pgSz w:w="11880" w:h="15481" w:orient="portrait"/>
          <w:cols w:equalWidth="0" w:num="1">
            <w:col w:w="9880"/>
          </w:cols>
          <w:pgMar w:left="1000" w:top="395" w:right="1001" w:bottom="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80"/>
          </w:cols>
          <w:pgMar w:left="1000" w:top="395" w:right="1001" w:bottom="0" w:gutter="0" w:footer="0" w:header="0"/>
          <w:type w:val="continuous"/>
        </w:sectPr>
      </w:pPr>
    </w:p>
    <w:bookmarkStart w:id="39" w:name="page40"/>
    <w:bookmarkEnd w:id="39"/>
    <w:p>
      <w:pPr>
        <w:ind w:right="40"/>
        <w:spacing w:after="0" w:line="257" w:lineRule="auto"/>
        <w:rPr>
          <w:sz w:val="20"/>
          <w:szCs w:val="20"/>
          <w:color w:val="auto"/>
        </w:rPr>
      </w:pPr>
      <w:r>
        <w:rPr>
          <w:rFonts w:ascii="Times New Roman" w:cs="Times New Roman" w:eastAsia="Times New Roman" w:hAnsi="Times New Roman"/>
          <w:sz w:val="20"/>
          <w:szCs w:val="20"/>
          <w:color w:val="auto"/>
        </w:rPr>
        <w:t>that our risk management program will be effective in preventing cybersecurity incidents that could adversely affect our business strategy, results of operations or financial condition. For more information regarding risks from cybersecurity threats, please refer to the Risk Factors entitled “If our security measures are breached or unauthorized access to client data or funds is otherwise obtained, our solutions may be perceived as not being secure, clients may reduce the use of or stop using our solutions and we may incur significant liabilities.” and “Any failure to protect our intellectual property rights could impair our ability to protect our proprietary technology and our brand.” in Part I, Item 1A, Risk Factors.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58" w:lineRule="exact"/>
        <w:rPr>
          <w:sz w:val="20"/>
          <w:szCs w:val="20"/>
          <w:color w:val="auto"/>
        </w:rPr>
      </w:pPr>
    </w:p>
    <w:p>
      <w:pPr>
        <w:ind w:right="500" w:firstLine="720"/>
        <w:spacing w:after="0" w:line="258" w:lineRule="auto"/>
        <w:rPr>
          <w:sz w:val="20"/>
          <w:szCs w:val="20"/>
          <w:color w:val="auto"/>
        </w:rPr>
      </w:pPr>
      <w:r>
        <w:rPr>
          <w:rFonts w:ascii="Times New Roman" w:cs="Times New Roman" w:eastAsia="Times New Roman" w:hAnsi="Times New Roman"/>
          <w:sz w:val="20"/>
          <w:szCs w:val="20"/>
          <w:color w:val="auto"/>
        </w:rPr>
        <w:t>Our board of directors has delegated oversight of risk assessment and risk management activities, including oversight over cybersecurity risks, to the audit committee. The audit committee meets at least quarterly with our Vice President and Chief Information Security Officer (“CISO”), who oversees our overall information security risk management program. The CISO’s updates to the audit committee include recent developments related to the threat landscape, current IT-related risks, and corresponding controls or projects designed to mitigate those risks.</w:t>
      </w:r>
    </w:p>
    <w:p>
      <w:pPr>
        <w:spacing w:after="0" w:line="204"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Our CISO reports to our Chief Financial Officer and leads our cybersecurity risk management efforts and our dedicated information security team. Our CISO has over 20 years of information security experience, including over four years as a director in the information security management practice of a big four accounting firm. He holds multiple information security certifications and has a B.S. in Network Security. Our CISO leads our Information Security Steering Committee (“ISSC”), comprised of key executives and operating personnel from across the company, that oversees ongoing day-to-day management of our risks to information systems. The ISSC tracks risks and security initiatives, reviews the results of annual cybersecurity risk assessments, reviews the results of internal and third-party information security audits and assessments, identifies significant risks that threaten the achievement of security commitments and identifies controls to mitigate such risks. The CISO, along with other members of the ISSC and information security teams, remains apprised of developing cybersecurity trends through communications with the intelligence and law enforcement communities, vendors and industry engagement so that our cybersecurity risk management and governance controls and processes address new and evolving cybersecurity threats.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7"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As of June 30, 2025, our corporate headquarters occupied approximately 272,000 square feet in Schaumburg, Illinois under leases with final expiration in October 2032. We also utilize office spaces consisting of approximately 70,000 square feet in Lake Mary, Florida, approximately 64,000 square feet in Meridian, Idaho and approximately 20,000 square feet in Pittsford, New York as other major operations centers. We lease other smaller facilities, primarily across the U.S., that serve as data centers, sales offices and distribution centers.</w:t>
      </w:r>
    </w:p>
    <w:p>
      <w:pPr>
        <w:spacing w:after="0" w:line="204" w:lineRule="exact"/>
        <w:rPr>
          <w:sz w:val="20"/>
          <w:szCs w:val="20"/>
          <w:color w:val="auto"/>
        </w:rPr>
      </w:pPr>
    </w:p>
    <w:p>
      <w:pPr>
        <w:ind w:right="460" w:firstLine="720"/>
        <w:spacing w:after="0" w:line="266" w:lineRule="auto"/>
        <w:rPr>
          <w:sz w:val="20"/>
          <w:szCs w:val="20"/>
          <w:color w:val="auto"/>
        </w:rPr>
      </w:pPr>
      <w:r>
        <w:rPr>
          <w:rFonts w:ascii="Times New Roman" w:cs="Times New Roman" w:eastAsia="Times New Roman" w:hAnsi="Times New Roman"/>
          <w:sz w:val="20"/>
          <w:szCs w:val="20"/>
          <w:color w:val="auto"/>
        </w:rPr>
        <w:t>For additional information regarding obligations under operating leases, see Note 13 of the Notes to the Consolidated Financial Statements included in Part II, Item 8: “Financial Statements and Supplementary Data” of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ind w:right="540" w:firstLine="720"/>
        <w:spacing w:after="0" w:line="266" w:lineRule="auto"/>
        <w:rPr>
          <w:sz w:val="20"/>
          <w:szCs w:val="20"/>
          <w:color w:val="auto"/>
        </w:rPr>
      </w:pPr>
      <w:r>
        <w:rPr>
          <w:rFonts w:ascii="Times New Roman" w:cs="Times New Roman" w:eastAsia="Times New Roman" w:hAnsi="Times New Roman"/>
          <w:sz w:val="20"/>
          <w:szCs w:val="20"/>
          <w:color w:val="auto"/>
        </w:rPr>
        <w:t>From time to time, we are and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720" w:right="400" w:hanging="719"/>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2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“PCTY”.</w:t>
      </w:r>
    </w:p>
    <w:p>
      <w:pPr>
        <w:spacing w:after="0" w:line="250" w:lineRule="exact"/>
        <w:rPr>
          <w:sz w:val="20"/>
          <w:szCs w:val="20"/>
          <w:color w:val="auto"/>
        </w:rPr>
      </w:pPr>
    </w:p>
    <w:p>
      <w:pPr>
        <w:ind w:right="180" w:firstLine="720"/>
        <w:spacing w:after="0" w:line="261" w:lineRule="auto"/>
        <w:rPr>
          <w:sz w:val="20"/>
          <w:szCs w:val="20"/>
          <w:color w:val="auto"/>
        </w:rPr>
      </w:pPr>
      <w:r>
        <w:rPr>
          <w:rFonts w:ascii="Times New Roman" w:cs="Times New Roman" w:eastAsia="Times New Roman" w:hAnsi="Times New Roman"/>
          <w:sz w:val="20"/>
          <w:szCs w:val="20"/>
          <w:color w:val="auto"/>
        </w:rPr>
        <w:t>On July 30, 2025, the last reported sale price of our common stock on the NASDAQ Global Select Market was $186.41 per share, and there were 6 holders of record of our common stock. The actual number of holders of common stock is greater than the number of record holders and includes stockholders who are beneficial owners, but whose shares are held in street name by brokers and nominees.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Dividend Policy</w:t>
      </w:r>
    </w:p>
    <w:p>
      <w:pPr>
        <w:spacing w:after="0" w:line="258" w:lineRule="exact"/>
        <w:rPr>
          <w:sz w:val="20"/>
          <w:szCs w:val="20"/>
          <w:color w:val="auto"/>
        </w:rPr>
      </w:pPr>
    </w:p>
    <w:p>
      <w:pPr>
        <w:ind w:right="40" w:firstLine="720"/>
        <w:spacing w:after="0" w:line="257" w:lineRule="auto"/>
        <w:rPr>
          <w:sz w:val="20"/>
          <w:szCs w:val="20"/>
          <w:color w:val="auto"/>
        </w:rPr>
      </w:pPr>
      <w:r>
        <w:rPr>
          <w:rFonts w:ascii="Times New Roman" w:cs="Times New Roman" w:eastAsia="Times New Roman" w:hAnsi="Times New Roman"/>
          <w:sz w:val="20"/>
          <w:szCs w:val="20"/>
          <w:color w:val="auto"/>
        </w:rPr>
        <w:t>We have not declared or paid dividends on our common stock since becoming a publicly traded company. Neither Delaware law nor our third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Graph</w:t>
      </w:r>
    </w:p>
    <w:p>
      <w:pPr>
        <w:spacing w:after="0" w:line="255" w:lineRule="exact"/>
        <w:rPr>
          <w:sz w:val="20"/>
          <w:szCs w:val="20"/>
          <w:color w:val="auto"/>
        </w:rPr>
      </w:pPr>
    </w:p>
    <w:p>
      <w:pPr>
        <w:ind w:firstLine="72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7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following graph compares the total cumulative stockholder return on our common stock with the total cumulative return of the S&amp;P 500 Index and the S&amp;P Software &amp; Services Select Industry Index during the period commencing on June 30, 2020 and ending on June 30, 2025. The graph assumes that $100 was invested at the beginning of the period in our common stock and in each of the comparative indices, and the reinvestment of any dividends. Historical stock price performance should not be relied upon as an indication of future stock price performance.</w:t>
      </w:r>
    </w:p>
    <w:p>
      <w:pPr>
        <w:sectPr>
          <w:pgSz w:w="11880" w:h="15481" w:orient="portrait"/>
          <w:cols w:equalWidth="0" w:num="1">
            <w:col w:w="9880"/>
          </w:cols>
          <w:pgMar w:left="1000" w:top="391"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p>
    <w:p>
      <w:pPr>
        <w:sectPr>
          <w:pgSz w:w="11880" w:h="15481" w:orient="portrait"/>
          <w:cols w:equalWidth="0" w:num="1">
            <w:col w:w="9880"/>
          </w:cols>
          <w:pgMar w:left="1000" w:top="391" w:right="1001" w:bottom="0" w:gutter="0" w:footer="0" w:header="0"/>
          <w:type w:val="continuous"/>
        </w:sectPr>
      </w:pPr>
    </w:p>
    <w:bookmarkStart w:id="41" w:name="page42"/>
    <w:bookmarkEnd w:id="41"/>
    <w:p>
      <w:pPr>
        <w:jc w:val="center"/>
        <w:ind w:right="190"/>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t>Comparison of Cumulative Total Return</w:t>
      </w:r>
    </w:p>
    <w:p>
      <w:pPr>
        <w:spacing w:after="0" w:line="17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250.00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852170</wp:posOffset>
                </wp:positionH>
                <wp:positionV relativeFrom="paragraph">
                  <wp:posOffset>-62865</wp:posOffset>
                </wp:positionV>
                <wp:extent cx="50673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1pt,-4.9499pt" to="466.1pt,-4.9499pt" o:allowincell="f" strokecolor="#000000" strokeweight="1pt"/>
            </w:pict>
          </mc:Fallback>
        </mc:AlternateContent>
        <w:drawing>
          <wp:anchor simplePos="0" relativeHeight="251657728" behindDoc="1" locked="0" layoutInCell="0" allowOverlap="1">
            <wp:simplePos x="0" y="0"/>
            <wp:positionH relativeFrom="column">
              <wp:posOffset>852170</wp:posOffset>
            </wp:positionH>
            <wp:positionV relativeFrom="paragraph">
              <wp:posOffset>252730</wp:posOffset>
            </wp:positionV>
            <wp:extent cx="5067300" cy="1384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5067300" cy="13843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200.00</w:t>
      </w:r>
    </w:p>
    <w:p>
      <w:pPr>
        <w:spacing w:after="0" w:line="200" w:lineRule="exact"/>
        <w:rPr>
          <w:sz w:val="20"/>
          <w:szCs w:val="20"/>
          <w:color w:val="auto"/>
        </w:rPr>
      </w:pPr>
    </w:p>
    <w:p>
      <w:pPr>
        <w:spacing w:after="0" w:line="380"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150.00</w:t>
      </w:r>
    </w:p>
    <w:p>
      <w:pPr>
        <w:spacing w:after="0" w:line="200" w:lineRule="exact"/>
        <w:rPr>
          <w:sz w:val="20"/>
          <w:szCs w:val="20"/>
          <w:color w:val="auto"/>
        </w:rPr>
      </w:pPr>
    </w:p>
    <w:p>
      <w:pPr>
        <w:spacing w:after="0" w:line="39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100.00</w:t>
      </w:r>
    </w:p>
    <w:p>
      <w:pPr>
        <w:spacing w:after="0" w:line="200" w:lineRule="exact"/>
        <w:rPr>
          <w:sz w:val="20"/>
          <w:szCs w:val="20"/>
          <w:color w:val="auto"/>
        </w:rPr>
      </w:pPr>
    </w:p>
    <w:p>
      <w:pPr>
        <w:spacing w:after="0" w:line="380" w:lineRule="exact"/>
        <w:rPr>
          <w:sz w:val="20"/>
          <w:szCs w:val="20"/>
          <w:color w:val="auto"/>
        </w:rPr>
      </w:pPr>
    </w:p>
    <w:p>
      <w:pPr>
        <w:ind w:left="650"/>
        <w:spacing w:after="0"/>
        <w:rPr>
          <w:sz w:val="20"/>
          <w:szCs w:val="20"/>
          <w:color w:val="auto"/>
        </w:rPr>
      </w:pPr>
      <w:r>
        <w:rPr>
          <w:rFonts w:ascii="Times New Roman" w:cs="Times New Roman" w:eastAsia="Times New Roman" w:hAnsi="Times New Roman"/>
          <w:sz w:val="20"/>
          <w:szCs w:val="20"/>
          <w:color w:val="auto"/>
        </w:rPr>
        <w:t>50.00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852170</wp:posOffset>
                </wp:positionH>
                <wp:positionV relativeFrom="paragraph">
                  <wp:posOffset>-53340</wp:posOffset>
                </wp:positionV>
                <wp:extent cx="50673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1pt,-4.1999pt" to="466.1pt,-4.1999pt" o:allowincell="f" strokecolor="#000000" strokeweight="1pt"/>
            </w:pict>
          </mc:Fallback>
        </mc:AlternateContent>
      </w:r>
    </w:p>
    <w:p>
      <w:pPr>
        <w:spacing w:after="0" w:line="200" w:lineRule="exact"/>
        <w:rPr>
          <w:sz w:val="20"/>
          <w:szCs w:val="20"/>
          <w:color w:val="auto"/>
        </w:rPr>
      </w:pPr>
    </w:p>
    <w:p>
      <w:pPr>
        <w:spacing w:after="0" w:line="375" w:lineRule="exact"/>
        <w:rPr>
          <w:sz w:val="20"/>
          <w:szCs w:val="20"/>
          <w:color w:val="auto"/>
        </w:rPr>
      </w:pPr>
    </w:p>
    <w:p>
      <w:pPr>
        <w:ind w:left="750"/>
        <w:spacing w:after="0"/>
        <w:rPr>
          <w:sz w:val="20"/>
          <w:szCs w:val="20"/>
          <w:color w:val="auto"/>
        </w:rPr>
      </w:pPr>
      <w:r>
        <w:rPr>
          <w:rFonts w:ascii="Times New Roman" w:cs="Times New Roman" w:eastAsia="Times New Roman" w:hAnsi="Times New Roman"/>
          <w:sz w:val="20"/>
          <w:szCs w:val="20"/>
          <w:color w:val="auto"/>
        </w:rPr>
        <w:t>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852170</wp:posOffset>
                </wp:positionH>
                <wp:positionV relativeFrom="paragraph">
                  <wp:posOffset>-53340</wp:posOffset>
                </wp:positionV>
                <wp:extent cx="50673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1pt,-4.1999pt" to="466.1pt,-4.1999pt" o:allowincell="f" strokecolor="#000000" strokeweight="1pt"/>
            </w:pict>
          </mc:Fallback>
        </mc:AlternateContent>
      </w:r>
    </w:p>
    <w:tbl>
      <w:tblPr>
        <w:tblLayout w:type="fixed"/>
        <w:tblInd w:w="1510" w:type="dxa"/>
        <w:tblCellMar>
          <w:top w:w="0" w:type="dxa"/>
          <w:left w:w="0" w:type="dxa"/>
          <w:bottom w:w="0" w:type="dxa"/>
          <w:right w:w="0" w:type="dxa"/>
        </w:tblCellMar>
      </w:tblPr>
      <w:tr>
        <w:trPr>
          <w:trHeight w:val="261"/>
        </w:trPr>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6/30/2020</w:t>
            </w: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6/30/2021</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6/30/2022</w:t>
            </w:r>
          </w:p>
        </w:tc>
        <w:tc>
          <w:tcPr>
            <w:tcW w:w="13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6/30/2023</w:t>
            </w:r>
          </w:p>
        </w:tc>
        <w:tc>
          <w:tcPr>
            <w:tcW w:w="13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6/30/2024</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6/30/2025</w:t>
            </w:r>
          </w:p>
        </w:tc>
        <w:tc>
          <w:tcPr>
            <w:tcW w:w="0" w:type="dxa"/>
            <w:vAlign w:val="bottom"/>
          </w:tcPr>
          <w:p>
            <w:pPr>
              <w:spacing w:after="0"/>
              <w:rPr>
                <w:sz w:val="1"/>
                <w:szCs w:val="1"/>
                <w:color w:val="auto"/>
              </w:rPr>
            </w:pPr>
          </w:p>
        </w:tc>
      </w:tr>
      <w:tr>
        <w:trPr>
          <w:trHeight w:val="391"/>
        </w:trPr>
        <w:tc>
          <w:tcPr>
            <w:tcW w:w="80" w:type="dxa"/>
            <w:vAlign w:val="bottom"/>
            <w:tcBorders>
              <w:bottom w:val="single" w:sz="8" w:color="auto"/>
            </w:tcBorders>
          </w:tcPr>
          <w:p>
            <w:pPr>
              <w:spacing w:after="0"/>
              <w:rPr>
                <w:sz w:val="24"/>
                <w:szCs w:val="24"/>
                <w:color w:val="auto"/>
              </w:rPr>
            </w:pPr>
          </w:p>
        </w:tc>
        <w:tc>
          <w:tcPr>
            <w:tcW w:w="90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PCTY</w:t>
            </w:r>
          </w:p>
        </w:tc>
        <w:tc>
          <w:tcPr>
            <w:tcW w:w="300" w:type="dxa"/>
            <w:vAlign w:val="bottom"/>
            <w:tcBorders>
              <w:bottom w:val="single" w:sz="8" w:color="61595D"/>
            </w:tcBorders>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S&amp;P 500 Index</w:t>
            </w:r>
          </w:p>
        </w:tc>
        <w:tc>
          <w:tcPr>
            <w:tcW w:w="220" w:type="dxa"/>
            <w:vAlign w:val="bottom"/>
            <w:vMerge w:val="restart"/>
          </w:tcPr>
          <w:p>
            <w:pPr>
              <w:spacing w:after="0"/>
              <w:rPr>
                <w:sz w:val="24"/>
                <w:szCs w:val="24"/>
                <w:color w:val="auto"/>
              </w:rPr>
            </w:pPr>
          </w:p>
        </w:tc>
        <w:tc>
          <w:tcPr>
            <w:tcW w:w="300" w:type="dxa"/>
            <w:vAlign w:val="bottom"/>
            <w:tcBorders>
              <w:bottom w:val="single" w:sz="8" w:color="938E8A"/>
            </w:tcBorders>
          </w:tcPr>
          <w:p>
            <w:pPr>
              <w:spacing w:after="0"/>
              <w:rPr>
                <w:sz w:val="24"/>
                <w:szCs w:val="24"/>
                <w:color w:val="auto"/>
              </w:rPr>
            </w:pPr>
          </w:p>
        </w:tc>
        <w:tc>
          <w:tcPr>
            <w:tcW w:w="43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S&amp;P Software &amp; Services Select Industry Index</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823595</wp:posOffset>
                </wp:positionH>
                <wp:positionV relativeFrom="paragraph">
                  <wp:posOffset>-68580</wp:posOffset>
                </wp:positionV>
                <wp:extent cx="5715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85pt,-5.3999pt" to="69.35pt,-5.3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880745</wp:posOffset>
                </wp:positionH>
                <wp:positionV relativeFrom="paragraph">
                  <wp:posOffset>-106680</wp:posOffset>
                </wp:positionV>
                <wp:extent cx="76200" cy="762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 cy="76200"/>
                        </a:xfrm>
                        <a:prstGeom prst="rect">
                          <a:avLst/>
                        </a:prstGeom>
                        <a:solidFill>
                          <a:srgbClr val="000000"/>
                        </a:solidFill>
                      </wps:spPr>
                      <wps:bodyPr/>
                    </wps:wsp>
                  </a:graphicData>
                </a:graphic>
              </wp:anchor>
            </w:drawing>
          </mc:Choice>
          <mc:Fallback>
            <w:pict>
              <v:rect id="Shape 55" o:spid="_x0000_s1080" style="position:absolute;margin-left:69.35pt;margin-top:-8.3999pt;width:6pt;height: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drawing>
          <wp:anchor simplePos="0" relativeHeight="251657728" behindDoc="1" locked="0" layoutInCell="0" allowOverlap="1">
            <wp:simplePos x="0" y="0"/>
            <wp:positionH relativeFrom="column">
              <wp:posOffset>1630045</wp:posOffset>
            </wp:positionH>
            <wp:positionV relativeFrom="paragraph">
              <wp:posOffset>-109855</wp:posOffset>
            </wp:positionV>
            <wp:extent cx="82550" cy="82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3">
                      <a:extLst>
                        <a:ext uri="{28A0092B-C50C-407E-A947-70E740481C1C}"/>
                      </a:extLst>
                    </a:blip>
                    <a:srcRect/>
                    <a:stretch>
                      <a:fillRect/>
                    </a:stretch>
                  </pic:blipFill>
                  <pic:spPr bwMode="auto">
                    <a:xfrm>
                      <a:off x="0" y="0"/>
                      <a:ext cx="82550" cy="82550"/>
                    </a:xfrm>
                    <a:prstGeom prst="rect">
                      <a:avLst/>
                    </a:prstGeom>
                    <a:noFill/>
                  </pic:spPr>
                </pic:pic>
              </a:graphicData>
            </a:graphic>
          </wp:anchor>
        </w:drawing>
        <w:drawing>
          <wp:anchor simplePos="0" relativeHeight="251657728" behindDoc="1" locked="0" layoutInCell="0" allowOverlap="1">
            <wp:simplePos x="0" y="0"/>
            <wp:positionH relativeFrom="column">
              <wp:posOffset>2830830</wp:posOffset>
            </wp:positionH>
            <wp:positionV relativeFrom="paragraph">
              <wp:posOffset>-119380</wp:posOffset>
            </wp:positionV>
            <wp:extent cx="101600" cy="101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4">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Issuer Purchases of Equity Securities</w:t>
      </w:r>
    </w:p>
    <w:p>
      <w:pPr>
        <w:spacing w:after="0" w:line="13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following describes the Company’s purchases of common stock during the three months ended June 30, 2025:</w:t>
      </w:r>
    </w:p>
    <w:p>
      <w:pPr>
        <w:spacing w:after="0" w:line="200"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2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Approximate</w:t>
            </w:r>
          </w:p>
        </w:tc>
      </w:tr>
      <w:tr>
        <w:trPr>
          <w:trHeight w:val="240"/>
        </w:trPr>
        <w:tc>
          <w:tcPr>
            <w:tcW w:w="2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Total Number of</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Dollar Value of</w:t>
            </w:r>
          </w:p>
        </w:tc>
      </w:tr>
      <w:tr>
        <w:trPr>
          <w:trHeight w:val="240"/>
        </w:trPr>
        <w:tc>
          <w:tcPr>
            <w:tcW w:w="2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Shares Purchased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Shares that May</w:t>
            </w:r>
          </w:p>
        </w:tc>
      </w:tr>
      <w:tr>
        <w:trPr>
          <w:trHeight w:val="240"/>
        </w:trPr>
        <w:tc>
          <w:tcPr>
            <w:tcW w:w="2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as Part of Publicly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Yet Be Purchased</w:t>
            </w:r>
          </w:p>
        </w:tc>
      </w:tr>
      <w:tr>
        <w:trPr>
          <w:trHeight w:val="240"/>
        </w:trPr>
        <w:tc>
          <w:tcPr>
            <w:tcW w:w="2540" w:type="dxa"/>
            <w:vAlign w:val="bottom"/>
          </w:tcPr>
          <w:p>
            <w:pPr>
              <w:spacing w:after="0"/>
              <w:rPr>
                <w:sz w:val="20"/>
                <w:szCs w:val="20"/>
                <w:color w:val="auto"/>
              </w:rPr>
            </w:pPr>
          </w:p>
        </w:tc>
        <w:tc>
          <w:tcPr>
            <w:tcW w:w="18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Total Number of</w:t>
            </w:r>
          </w:p>
        </w:tc>
        <w:tc>
          <w:tcPr>
            <w:tcW w:w="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Average Price Paid</w:t>
            </w:r>
          </w:p>
        </w:tc>
        <w:tc>
          <w:tcPr>
            <w:tcW w:w="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Announced Plans</w:t>
            </w:r>
          </w:p>
        </w:tc>
        <w:tc>
          <w:tcPr>
            <w:tcW w:w="60" w:type="dxa"/>
            <w:vAlign w:val="bottom"/>
          </w:tcPr>
          <w:p>
            <w:pPr>
              <w:spacing w:after="0"/>
              <w:rPr>
                <w:sz w:val="20"/>
                <w:szCs w:val="20"/>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Under the Plans or</w:t>
            </w:r>
          </w:p>
        </w:tc>
      </w:tr>
      <w:tr>
        <w:trPr>
          <w:trHeight w:val="268"/>
        </w:trPr>
        <w:tc>
          <w:tcPr>
            <w:tcW w:w="2540" w:type="dxa"/>
            <w:vAlign w:val="bottom"/>
          </w:tcPr>
          <w:p>
            <w:pPr>
              <w:spacing w:after="0"/>
              <w:rPr>
                <w:sz w:val="23"/>
                <w:szCs w:val="23"/>
                <w:color w:val="auto"/>
              </w:rPr>
            </w:pPr>
          </w:p>
        </w:tc>
        <w:tc>
          <w:tcPr>
            <w:tcW w:w="18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Shares Purchased</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per Share (1)</w:t>
            </w:r>
          </w:p>
        </w:tc>
        <w:tc>
          <w:tcPr>
            <w:tcW w:w="60" w:type="dxa"/>
            <w:vAlign w:val="bottom"/>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or Programs (2)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Programs (2)</w:t>
            </w:r>
          </w:p>
        </w:tc>
      </w:tr>
      <w:tr>
        <w:trPr>
          <w:trHeight w:val="277"/>
        </w:trPr>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April 1, 2025 - April 30, 2025</w:t>
            </w:r>
            <w:r>
              <w:rPr>
                <w:rFonts w:ascii="Times New Roman" w:cs="Times New Roman" w:eastAsia="Times New Roman" w:hAnsi="Times New Roman"/>
                <w:sz w:val="20"/>
                <w:szCs w:val="20"/>
                <w:color w:val="AAA6A1"/>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314,564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178.21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314,564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200,362,397</w:t>
            </w:r>
          </w:p>
        </w:tc>
      </w:tr>
      <w:tr>
        <w:trPr>
          <w:trHeight w:val="300"/>
        </w:trPr>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May 1, 2025 - May 31, 2025 </w:t>
            </w:r>
            <w:r>
              <w:rPr>
                <w:rFonts w:ascii="Times New Roman" w:cs="Times New Roman" w:eastAsia="Times New Roman" w:hAnsi="Times New Roman"/>
                <w:sz w:val="20"/>
                <w:szCs w:val="20"/>
                <w:color w:val="AAA6A1"/>
                <w:w w:val="9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June 1, 2025 - June 30, 2025 </w:t>
            </w:r>
            <w:r>
              <w:rPr>
                <w:rFonts w:ascii="Times New Roman" w:cs="Times New Roman" w:eastAsia="Times New Roman" w:hAnsi="Times New Roman"/>
                <w:sz w:val="20"/>
                <w:szCs w:val="20"/>
                <w:color w:val="AAA6A1"/>
                <w:w w:val="9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2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w:t>
            </w:r>
            <w:r>
              <w:rPr>
                <w:rFonts w:ascii="Times New Roman" w:cs="Times New Roman" w:eastAsia="Times New Roman" w:hAnsi="Times New Roman"/>
                <w:sz w:val="20"/>
                <w:szCs w:val="20"/>
                <w:color w:val="AAA6A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314,564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314,564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25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47" w:lineRule="exact"/>
        <w:rPr>
          <w:sz w:val="20"/>
          <w:szCs w:val="20"/>
          <w:color w:val="auto"/>
        </w:rPr>
      </w:pPr>
    </w:p>
    <w:p>
      <w:pPr>
        <w:ind w:left="730" w:hanging="730"/>
        <w:spacing w:after="0"/>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price paid per share excludes excise taxes payable on shares repurchased.</w:t>
      </w:r>
    </w:p>
    <w:p>
      <w:pPr>
        <w:spacing w:after="0" w:line="250" w:lineRule="exact"/>
        <w:rPr>
          <w:rFonts w:ascii="Times New Roman" w:cs="Times New Roman" w:eastAsia="Times New Roman" w:hAnsi="Times New Roman"/>
          <w:sz w:val="20"/>
          <w:szCs w:val="20"/>
          <w:color w:val="auto"/>
        </w:rPr>
      </w:pPr>
    </w:p>
    <w:p>
      <w:pPr>
        <w:ind w:left="10" w:right="400" w:hanging="10"/>
        <w:spacing w:after="0" w:line="258" w:lineRule="auto"/>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For further information, see Note 15. Stockholders' Equity of the Notes to Consolidated Financial Statements included in Part II, Item 8: “Financial Statements and Supplementary Data” of this Annual Report on Form 10-K.</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1" w:orient="portrait"/>
          <w:cols w:equalWidth="0" w:num="1">
            <w:col w:w="10090"/>
          </w:cols>
          <w:pgMar w:left="990" w:top="611" w:right="8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222885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6907530</wp:posOffset>
            </wp:positionH>
            <wp:positionV relativeFrom="paragraph">
              <wp:posOffset>222885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10090"/>
          </w:cols>
          <w:pgMar w:left="990" w:top="611" w:right="801"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9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of our financial condition and results of operations covers fiscal 2025 and 2024 items and year-over-year comparisons between fiscal 2025 and 2024. Discussion of fiscal 2023 items and year-over-year comparisons between fiscal 2024 and 2023 that are not included in this Form 10-K can be found in “Management’s Discussion and Analysis of Financial Condition and Results of Operations” in Part II, Item 7 of our Annual Report on Form 10-K for the fiscal year ended June 30, 2024 that was filed with the SEC on August 2,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We are a leading cloud-based provider of human capital management, or HCM, payroll and spend management software solutions that deliver a comprehensive platform for the modern workforce. Our platform offers an intuitive, easy-to-use product suite that helps businesses streamline and automate HR, payroll and spend management processes, attract and retain talent, and build culture and connection with their employees. We are expanding the spend management capabilities of our platform beyond expense management to include accounts payable automation, corporate cards, and procurement capabilities through the acquisition of Airbase Inc. in October 2024. This integrated platform will enable HR and finance leaders to manage all their spend, including payroll, on a single platform.</w:t>
      </w:r>
    </w:p>
    <w:p>
      <w:pPr>
        <w:spacing w:after="0" w:line="210" w:lineRule="exact"/>
        <w:rPr>
          <w:sz w:val="20"/>
          <w:szCs w:val="20"/>
          <w:color w:val="auto"/>
        </w:rPr>
      </w:pPr>
    </w:p>
    <w:p>
      <w:pPr>
        <w:ind w:right="20" w:firstLine="720"/>
        <w:spacing w:after="0" w:line="257" w:lineRule="auto"/>
        <w:rPr>
          <w:sz w:val="20"/>
          <w:szCs w:val="20"/>
          <w:color w:val="auto"/>
        </w:rPr>
      </w:pPr>
      <w:r>
        <w:rPr>
          <w:rFonts w:ascii="Times New Roman" w:cs="Times New Roman" w:eastAsia="Times New Roman" w:hAnsi="Times New Roman"/>
          <w:sz w:val="20"/>
          <w:szCs w:val="20"/>
          <w:color w:val="auto"/>
        </w:rPr>
        <w:t>Effective management of human capital and business-related spend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202" w:lineRule="exact"/>
        <w:rPr>
          <w:sz w:val="20"/>
          <w:szCs w:val="20"/>
          <w:color w:val="auto"/>
        </w:rPr>
      </w:pPr>
    </w:p>
    <w:p>
      <w:pPr>
        <w:ind w:right="220" w:firstLine="720"/>
        <w:spacing w:after="0" w:line="255" w:lineRule="auto"/>
        <w:rPr>
          <w:sz w:val="20"/>
          <w:szCs w:val="20"/>
          <w:color w:val="auto"/>
        </w:rPr>
      </w:pPr>
      <w:r>
        <w:rPr>
          <w:rFonts w:ascii="Times New Roman" w:cs="Times New Roman" w:eastAsia="Times New Roman" w:hAnsi="Times New Roman"/>
          <w:sz w:val="20"/>
          <w:szCs w:val="20"/>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210"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20"/>
          <w:szCs w:val="20"/>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20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205" w:lineRule="exact"/>
        <w:rPr>
          <w:sz w:val="20"/>
          <w:szCs w:val="20"/>
          <w:color w:val="auto"/>
        </w:rPr>
      </w:pPr>
    </w:p>
    <w:p>
      <w:pPr>
        <w:ind w:right="300" w:firstLine="720"/>
        <w:spacing w:after="0" w:line="283" w:lineRule="auto"/>
        <w:rPr>
          <w:sz w:val="20"/>
          <w:szCs w:val="20"/>
          <w:color w:val="auto"/>
        </w:rPr>
      </w:pPr>
      <w:r>
        <w:rPr>
          <w:rFonts w:ascii="Times New Roman" w:cs="Times New Roman" w:eastAsia="Times New Roman" w:hAnsi="Times New Roman"/>
          <w:sz w:val="20"/>
          <w:szCs w:val="20"/>
          <w:color w:val="auto"/>
        </w:rPr>
        <w:t>Paylocity Holding Corporation is a Delaware corporation, which was formed in November 2013. Our business operations are conducted by our wholly owned subsidiaries.</w:t>
      </w:r>
    </w:p>
    <w:p>
      <w:pPr>
        <w:sectPr>
          <w:pgSz w:w="11880" w:h="15481" w:orient="portrait"/>
          <w:cols w:equalWidth="0" w:num="1">
            <w:col w:w="9860"/>
          </w:cols>
          <w:pgMar w:left="1000" w:top="391"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p>
    <w:p>
      <w:pPr>
        <w:sectPr>
          <w:pgSz w:w="11880" w:h="15481" w:orient="portrait"/>
          <w:cols w:equalWidth="0" w:num="1">
            <w:col w:w="9860"/>
          </w:cols>
          <w:pgMar w:left="1000" w:top="391" w:right="1021"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t>Key Metrics</w:t>
      </w:r>
    </w:p>
    <w:p>
      <w:pPr>
        <w:spacing w:after="0" w:line="257" w:lineRule="exact"/>
        <w:rPr>
          <w:sz w:val="20"/>
          <w:szCs w:val="20"/>
          <w:color w:val="auto"/>
        </w:rPr>
      </w:pPr>
    </w:p>
    <w:p>
      <w:pPr>
        <w:ind w:right="160" w:firstLine="720"/>
        <w:spacing w:after="0" w:line="310" w:lineRule="auto"/>
        <w:rPr>
          <w:sz w:val="20"/>
          <w:szCs w:val="20"/>
          <w:color w:val="auto"/>
        </w:rPr>
      </w:pPr>
      <w:r>
        <w:rPr>
          <w:rFonts w:ascii="Times New Roman" w:cs="Times New Roman" w:eastAsia="Times New Roman" w:hAnsi="Times New Roman"/>
          <w:sz w:val="19"/>
          <w:szCs w:val="19"/>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Revenue Growth</w:t>
      </w:r>
    </w:p>
    <w:p>
      <w:pPr>
        <w:spacing w:after="0" w:line="258" w:lineRule="exact"/>
        <w:rPr>
          <w:sz w:val="20"/>
          <w:szCs w:val="20"/>
          <w:color w:val="auto"/>
        </w:rPr>
      </w:pPr>
    </w:p>
    <w:p>
      <w:pPr>
        <w:ind w:right="140" w:firstLine="720"/>
        <w:spacing w:after="0" w:line="254" w:lineRule="auto"/>
        <w:rPr>
          <w:sz w:val="20"/>
          <w:szCs w:val="20"/>
          <w:color w:val="auto"/>
        </w:rPr>
      </w:pPr>
      <w:r>
        <w:rPr>
          <w:rFonts w:ascii="Times New Roman" w:cs="Times New Roman" w:eastAsia="Times New Roman" w:hAnsi="Times New Roman"/>
          <w:sz w:val="20"/>
          <w:szCs w:val="20"/>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$1,174.6 million in fiscal 2023 to $1,402.5 million in fiscal 2024, representing a 19% year-over-year increase. Total revenues increased from $1,402.5 million in fiscal 2024 to $1,595.2 million in fiscal 2025, representing a 14% year-over-year increase. During fiscal 2025, total revenue growth was driven by the strong performance of our sales team and continued annual revenue retention in excess of 92%.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Client Count Growth</w:t>
      </w:r>
    </w:p>
    <w:p>
      <w:pPr>
        <w:spacing w:after="0" w:line="25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We believe there is a significant opportunity to grow our business by increasing our number of clients. Excluding clients acquired through acquisitions, we have increased the number of clients using our software solutions from approximately 36,200 as of June 30, 2023 to approximately 41,650 as of June 30, 2025, representing a compound annual growth rate of approximately 7%. The table below sets forth the total number of clients using our software solutions for the periods indicated, excluding clients acquired through acquisitions, rounded to the nearest fifty.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35"/>
        </w:trPr>
        <w:tc>
          <w:tcPr>
            <w:tcW w:w="5860" w:type="dxa"/>
            <w:vAlign w:val="bottom"/>
            <w:tcBorders>
              <w:bottom w:val="single" w:sz="8" w:color="F4F4F2"/>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F4F4F2"/>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F4F4F2"/>
            </w:tcBorders>
          </w:tcPr>
          <w:p>
            <w:pPr>
              <w:spacing w:after="0"/>
              <w:rPr>
                <w:sz w:val="20"/>
                <w:szCs w:val="20"/>
                <w:color w:val="auto"/>
              </w:rPr>
            </w:pPr>
          </w:p>
        </w:tc>
        <w:tc>
          <w:tcPr>
            <w:tcW w:w="13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5860" w:type="dxa"/>
            <w:vAlign w:val="bottom"/>
            <w:shd w:val="clear" w:color="auto" w:fill="F4F4F2"/>
          </w:tcPr>
          <w:p>
            <w:pPr>
              <w:ind w:left="40"/>
              <w:spacing w:after="0"/>
              <w:rPr>
                <w:sz w:val="20"/>
                <w:szCs w:val="20"/>
                <w:color w:val="auto"/>
              </w:rPr>
            </w:pPr>
            <w:r>
              <w:rPr>
                <w:rFonts w:ascii="Times New Roman" w:cs="Times New Roman" w:eastAsia="Times New Roman" w:hAnsi="Times New Roman"/>
                <w:sz w:val="20"/>
                <w:szCs w:val="20"/>
                <w:color w:val="auto"/>
              </w:rPr>
              <w:t xml:space="preserve">Client Count </w:t>
            </w:r>
            <w:r>
              <w:rPr>
                <w:rFonts w:ascii="Times New Roman" w:cs="Times New Roman" w:eastAsia="Times New Roman" w:hAnsi="Times New Roman"/>
                <w:sz w:val="20"/>
                <w:szCs w:val="20"/>
                <w:color w:val="AAA6A1"/>
              </w:rPr>
              <w:t>..............................................................................................</w:t>
            </w:r>
          </w:p>
        </w:tc>
        <w:tc>
          <w:tcPr>
            <w:tcW w:w="1300" w:type="dxa"/>
            <w:vAlign w:val="bottom"/>
            <w:shd w:val="clear" w:color="auto" w:fill="F4F4F2"/>
          </w:tcPr>
          <w:p>
            <w:pPr>
              <w:jc w:val="right"/>
              <w:spacing w:after="0"/>
              <w:rPr>
                <w:sz w:val="20"/>
                <w:szCs w:val="20"/>
                <w:color w:val="auto"/>
              </w:rPr>
            </w:pPr>
            <w:r>
              <w:rPr>
                <w:rFonts w:ascii="Times New Roman" w:cs="Times New Roman" w:eastAsia="Times New Roman" w:hAnsi="Times New Roman"/>
                <w:sz w:val="20"/>
                <w:szCs w:val="20"/>
                <w:color w:val="auto"/>
              </w:rPr>
              <w:t>36,200</w:t>
            </w:r>
          </w:p>
        </w:tc>
        <w:tc>
          <w:tcPr>
            <w:tcW w:w="1360" w:type="dxa"/>
            <w:vAlign w:val="bottom"/>
            <w:gridSpan w:val="2"/>
            <w:shd w:val="clear" w:color="auto" w:fill="F4F4F2"/>
          </w:tcPr>
          <w:p>
            <w:pPr>
              <w:jc w:val="right"/>
              <w:spacing w:after="0"/>
              <w:rPr>
                <w:sz w:val="20"/>
                <w:szCs w:val="20"/>
                <w:color w:val="auto"/>
              </w:rPr>
            </w:pPr>
            <w:r>
              <w:rPr>
                <w:rFonts w:ascii="Times New Roman" w:cs="Times New Roman" w:eastAsia="Times New Roman" w:hAnsi="Times New Roman"/>
                <w:sz w:val="20"/>
                <w:szCs w:val="20"/>
                <w:color w:val="auto"/>
              </w:rPr>
              <w:t>39,050</w:t>
            </w:r>
          </w:p>
        </w:tc>
        <w:tc>
          <w:tcPr>
            <w:tcW w:w="1380" w:type="dxa"/>
            <w:vAlign w:val="bottom"/>
            <w:gridSpan w:val="2"/>
            <w:shd w:val="clear" w:color="auto" w:fill="F4F4F2"/>
          </w:tcPr>
          <w:p>
            <w:pPr>
              <w:jc w:val="right"/>
              <w:ind w:right="20"/>
              <w:spacing w:after="0"/>
              <w:rPr>
                <w:sz w:val="20"/>
                <w:szCs w:val="20"/>
                <w:color w:val="auto"/>
              </w:rPr>
            </w:pPr>
            <w:r>
              <w:rPr>
                <w:rFonts w:ascii="Times New Roman" w:cs="Times New Roman" w:eastAsia="Times New Roman" w:hAnsi="Times New Roman"/>
                <w:sz w:val="20"/>
                <w:szCs w:val="20"/>
                <w:color w:val="auto"/>
              </w:rPr>
              <w:t>41,650</w:t>
            </w:r>
          </w:p>
        </w:tc>
      </w:tr>
    </w:tbl>
    <w:p>
      <w:pPr>
        <w:spacing w:after="0" w:line="277" w:lineRule="exact"/>
        <w:rPr>
          <w:sz w:val="20"/>
          <w:szCs w:val="20"/>
          <w:color w:val="auto"/>
        </w:rPr>
      </w:pPr>
    </w:p>
    <w:p>
      <w:pPr>
        <w:ind w:right="320" w:firstLine="720"/>
        <w:spacing w:after="0" w:line="266" w:lineRule="auto"/>
        <w:rPr>
          <w:sz w:val="20"/>
          <w:szCs w:val="20"/>
          <w:color w:val="auto"/>
        </w:rPr>
      </w:pPr>
      <w:r>
        <w:rPr>
          <w:rFonts w:ascii="Times New Roman" w:cs="Times New Roman" w:eastAsia="Times New Roman" w:hAnsi="Times New Roman"/>
          <w:sz w:val="20"/>
          <w:szCs w:val="20"/>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Annual Revenue Retention Rate</w:t>
      </w:r>
    </w:p>
    <w:p>
      <w:pPr>
        <w:spacing w:after="0" w:line="258" w:lineRule="exact"/>
        <w:rPr>
          <w:sz w:val="20"/>
          <w:szCs w:val="20"/>
          <w:color w:val="auto"/>
        </w:rPr>
      </w:pPr>
    </w:p>
    <w:p>
      <w:pPr>
        <w:ind w:right="180" w:firstLine="720"/>
        <w:spacing w:after="0" w:line="254" w:lineRule="auto"/>
        <w:rPr>
          <w:sz w:val="20"/>
          <w:szCs w:val="20"/>
          <w:color w:val="auto"/>
        </w:rPr>
      </w:pPr>
      <w:r>
        <w:rPr>
          <w:rFonts w:ascii="Times New Roman" w:cs="Times New Roman" w:eastAsia="Times New Roman" w:hAnsi="Times New Roman"/>
          <w:sz w:val="20"/>
          <w:szCs w:val="20"/>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Adjusted EBITDA</w:t>
      </w:r>
    </w:p>
    <w:p>
      <w:pPr>
        <w:spacing w:after="0" w:line="25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We use Adjusted Gross Profit and Adjusted EBITDA to evaluate our operating results. Our calculations of Adjusted Gross Profit and Adjusted EBITDA eliminate the impact of items we do not consider indicative of our ongoing operating performance. Adjusted Gross Profit and Adjusted EBITDA are not measurements of financial performance under generally accepted accounting principles in the United States, or GAAP, and these metrics may not be comparable to similarly titled measures of other companies.</w:t>
      </w:r>
    </w:p>
    <w:p>
      <w:pPr>
        <w:spacing w:after="0" w:line="204" w:lineRule="exact"/>
        <w:rPr>
          <w:sz w:val="20"/>
          <w:szCs w:val="20"/>
          <w:color w:val="auto"/>
        </w:rPr>
      </w:pPr>
    </w:p>
    <w:p>
      <w:pPr>
        <w:ind w:right="120" w:firstLine="720"/>
        <w:spacing w:after="0" w:line="287" w:lineRule="auto"/>
        <w:rPr>
          <w:sz w:val="20"/>
          <w:szCs w:val="20"/>
          <w:color w:val="auto"/>
        </w:rPr>
      </w:pPr>
      <w:r>
        <w:rPr>
          <w:rFonts w:ascii="Times New Roman" w:cs="Times New Roman" w:eastAsia="Times New Roman" w:hAnsi="Times New Roman"/>
          <w:sz w:val="19"/>
          <w:szCs w:val="19"/>
          <w:color w:val="auto"/>
        </w:rPr>
        <w:t>We define Adjusted Gross Profit as gross profit before amortization of capitalized internal-use software costs and certain acquired intangibles, stock-based compensation expense and employer payroll taxes related to stock releases and option exercises and other items as described below. We define Adjusted EBITDA as net income before interest expense,</w:t>
      </w:r>
    </w:p>
    <w:p>
      <w:pPr>
        <w:sectPr>
          <w:pgSz w:w="11880" w:h="15481" w:orient="portrait"/>
          <w:cols w:equalWidth="0" w:num="1">
            <w:col w:w="9900"/>
          </w:cols>
          <w:pgMar w:left="1000" w:top="39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1" w:right="981" w:bottom="0" w:gutter="0" w:footer="0" w:header="0"/>
          <w:type w:val="continuous"/>
        </w:sectPr>
      </w:pPr>
    </w:p>
    <w:bookmarkStart w:id="44" w:name="page45"/>
    <w:bookmarkEnd w:id="44"/>
    <w:p>
      <w:pPr>
        <w:ind w:right="38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t>income tax expense (benefit), depreciation and amortization expense, stock-based compensation expense and employer payroll taxes related to stock releases and option exercises and other items as described below.</w:t>
      </w:r>
    </w:p>
    <w:p>
      <w:pPr>
        <w:spacing w:after="0" w:line="17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We disclose Adjusted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204" w:lineRule="exact"/>
        <w:rPr>
          <w:sz w:val="20"/>
          <w:szCs w:val="20"/>
          <w:color w:val="auto"/>
        </w:rPr>
      </w:pPr>
    </w:p>
    <w:p>
      <w:pPr>
        <w:ind w:right="600" w:firstLine="720"/>
        <w:spacing w:after="0" w:line="283" w:lineRule="auto"/>
        <w:rPr>
          <w:sz w:val="20"/>
          <w:szCs w:val="20"/>
          <w:color w:val="auto"/>
        </w:rPr>
      </w:pPr>
      <w:r>
        <w:rPr>
          <w:rFonts w:ascii="Times New Roman" w:cs="Times New Roman" w:eastAsia="Times New Roman" w:hAnsi="Times New Roman"/>
          <w:sz w:val="20"/>
          <w:szCs w:val="20"/>
          <w:color w:val="auto"/>
        </w:rPr>
        <w:t>Adjusted Gross Profit and Adjusted EBITDA have limitations as analytical tools. Some of these limitations include the following:</w:t>
      </w:r>
    </w:p>
    <w:p>
      <w:pPr>
        <w:spacing w:after="0" w:line="178" w:lineRule="exact"/>
        <w:rPr>
          <w:sz w:val="20"/>
          <w:szCs w:val="20"/>
          <w:color w:val="auto"/>
        </w:rPr>
      </w:pPr>
    </w:p>
    <w:p>
      <w:pPr>
        <w:ind w:left="1440" w:hanging="370"/>
        <w:spacing w:after="0"/>
        <w:tabs>
          <w:tab w:leader="none" w:pos="14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our ongoing or future requirements for capital expenditures;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changes in, or cash requirements for, our working capital needs;</w:t>
      </w:r>
    </w:p>
    <w:p>
      <w:pPr>
        <w:spacing w:after="0" w:line="25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does not reflect our income tax expense or the cash requirement to pay our taxes;</w:t>
      </w:r>
    </w:p>
    <w:p>
      <w:pPr>
        <w:spacing w:after="0" w:line="250" w:lineRule="exact"/>
        <w:rPr>
          <w:rFonts w:ascii="Times New Roman" w:cs="Times New Roman" w:eastAsia="Times New Roman" w:hAnsi="Times New Roman"/>
          <w:sz w:val="20"/>
          <w:szCs w:val="20"/>
          <w:color w:val="auto"/>
        </w:rPr>
      </w:pPr>
    </w:p>
    <w:p>
      <w:pPr>
        <w:ind w:left="1440" w:right="40" w:hanging="370"/>
        <w:spacing w:after="0" w:line="266" w:lineRule="auto"/>
        <w:tabs>
          <w:tab w:leader="none" w:pos="14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95" w:lineRule="exact"/>
        <w:rPr>
          <w:rFonts w:ascii="Times New Roman" w:cs="Times New Roman" w:eastAsia="Times New Roman" w:hAnsi="Times New Roman"/>
          <w:sz w:val="20"/>
          <w:szCs w:val="20"/>
          <w:color w:val="auto"/>
        </w:rPr>
      </w:pPr>
    </w:p>
    <w:p>
      <w:pPr>
        <w:ind w:left="1440" w:right="160" w:hanging="370"/>
        <w:spacing w:after="0" w:line="283" w:lineRule="auto"/>
        <w:tabs>
          <w:tab w:leader="none" w:pos="14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companies in our industry may calculate Adjusted Gross Profit and Adjusted EBITDA differently than we do, limiting their usefulness as a comparative measure.</w:t>
      </w:r>
    </w:p>
    <w:p>
      <w:pPr>
        <w:spacing w:after="0" w:line="178" w:lineRule="exact"/>
        <w:rPr>
          <w:sz w:val="20"/>
          <w:szCs w:val="20"/>
          <w:color w:val="auto"/>
        </w:rPr>
      </w:pPr>
    </w:p>
    <w:p>
      <w:pPr>
        <w:jc w:val="both"/>
        <w:ind w:right="440" w:firstLine="720"/>
        <w:spacing w:after="0" w:line="266" w:lineRule="auto"/>
        <w:rPr>
          <w:sz w:val="20"/>
          <w:szCs w:val="20"/>
          <w:color w:val="auto"/>
        </w:rPr>
      </w:pPr>
      <w:r>
        <w:rPr>
          <w:rFonts w:ascii="Times New Roman" w:cs="Times New Roman" w:eastAsia="Times New Roman" w:hAnsi="Times New Roman"/>
          <w:sz w:val="20"/>
          <w:szCs w:val="20"/>
          <w:color w:val="auto"/>
        </w:rPr>
        <w:t>Additionally, stock-based compensation will continue to be an element of our overall compensation strategy, although we exclude it from Adjusted Gross Profit and Adjusted EBITDA as an expense when evaluating our ongoing operating performance for a particular period.</w:t>
      </w:r>
    </w:p>
    <w:p>
      <w:pPr>
        <w:spacing w:after="0" w:line="195" w:lineRule="exact"/>
        <w:rPr>
          <w:sz w:val="20"/>
          <w:szCs w:val="20"/>
          <w:color w:val="auto"/>
        </w:rPr>
      </w:pPr>
    </w:p>
    <w:p>
      <w:pPr>
        <w:ind w:right="160" w:firstLine="720"/>
        <w:spacing w:after="0" w:line="261" w:lineRule="auto"/>
        <w:rPr>
          <w:sz w:val="20"/>
          <w:szCs w:val="20"/>
          <w:color w:val="auto"/>
        </w:rPr>
      </w:pPr>
      <w:r>
        <w:rPr>
          <w:rFonts w:ascii="Times New Roman" w:cs="Times New Roman" w:eastAsia="Times New Roman" w:hAnsi="Times New Roman"/>
          <w:sz w:val="20"/>
          <w:szCs w:val="20"/>
          <w:color w:val="auto"/>
        </w:rPr>
        <w:t>Because of these limitations, you should not consider Adjusted Gross Profit as an alternative to gross profit or Adjusted EBITDA as an alternative to net income, in each case as determined in accordance with GAAP. We compensate for these limitations by relying primarily on our GAAP results, and we use Adjusted Gross Profit and Adjusted EBITDA only as supplemental information.</w:t>
      </w:r>
    </w:p>
    <w:p>
      <w:pPr>
        <w:spacing w:after="0" w:line="200" w:lineRule="exact"/>
        <w:rPr>
          <w:sz w:val="20"/>
          <w:szCs w:val="20"/>
          <w:color w:val="auto"/>
        </w:rPr>
      </w:pPr>
    </w:p>
    <w:p>
      <w:pPr>
        <w:ind w:right="380" w:firstLine="720"/>
        <w:spacing w:after="0" w:line="283" w:lineRule="auto"/>
        <w:rPr>
          <w:sz w:val="20"/>
          <w:szCs w:val="20"/>
          <w:color w:val="auto"/>
        </w:rPr>
      </w:pPr>
      <w:r>
        <w:rPr>
          <w:rFonts w:ascii="Times New Roman" w:cs="Times New Roman" w:eastAsia="Times New Roman" w:hAnsi="Times New Roman"/>
          <w:sz w:val="20"/>
          <w:szCs w:val="20"/>
          <w:color w:val="auto"/>
        </w:rPr>
        <w:t>Directly comparable GAAP measures to Adjusted Gross Profit and Adjusted EBITDA are gross profit and net income, respectively. We reconcile Adjusted Gross Profit and Adjusted EBITDA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June 30,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Reconciliation from Gross Profit to Adjusted Gross Profit</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Gross profit </w:t>
            </w:r>
            <w:r>
              <w:rPr>
                <w:rFonts w:ascii="Times New Roman" w:cs="Times New Roman" w:eastAsia="Times New Roman" w:hAnsi="Times New Roman"/>
                <w:sz w:val="20"/>
                <w:szCs w:val="20"/>
                <w:color w:val="AAA6A1"/>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807,559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960,786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1,096,998</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Amortization of capitalized internal-use software costs </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45,246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59,948</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Amortization of certain acquired intangibles</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16,168</w:t>
            </w:r>
          </w:p>
        </w:tc>
      </w:tr>
      <w:tr>
        <w:trPr>
          <w:trHeight w:val="279"/>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 and employer payroll taxes related</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74"/>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 stock releases and option exercises</w:t>
            </w:r>
            <w:r>
              <w:rPr>
                <w:rFonts w:ascii="Times New Roman" w:cs="Times New Roman" w:eastAsia="Times New Roman" w:hAnsi="Times New Roman"/>
                <w:sz w:val="20"/>
                <w:szCs w:val="20"/>
                <w:color w:val="AAA6A1"/>
                <w:w w:val="99"/>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19,314</w:t>
            </w: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items (1)</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1,365</w:t>
            </w:r>
          </w:p>
        </w:tc>
      </w:tr>
      <w:tr>
        <w:trPr>
          <w:trHeight w:val="26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Adjusted Gross Profit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864,878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1,034,758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1,193,793</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45" w:name="page46"/>
    <w:bookmarkEnd w:id="45"/>
    <w:tbl>
      <w:tblPr>
        <w:tblLayout w:type="fixed"/>
        <w:tblInd w:w="5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June 30,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Reconciliation from Net income to Adjusted EBITDA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income </w:t>
            </w:r>
            <w:r>
              <w:rPr>
                <w:rFonts w:ascii="Times New Roman" w:cs="Times New Roman" w:eastAsia="Times New Roman" w:hAnsi="Times New Roman"/>
                <w:sz w:val="20"/>
                <w:szCs w:val="20"/>
                <w:color w:val="AAA6A1"/>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5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Interest expense</w:t>
            </w:r>
            <w:r>
              <w:rPr>
                <w:rFonts w:ascii="Times New Roman" w:cs="Times New Roman" w:eastAsia="Times New Roman" w:hAnsi="Times New Roman"/>
                <w:sz w:val="20"/>
                <w:szCs w:val="20"/>
                <w:color w:val="AAA6A1"/>
                <w:w w:val="99"/>
              </w:rPr>
              <w:t>.........................................................................................</w:t>
            </w:r>
          </w:p>
        </w:tc>
        <w:tc>
          <w:tcPr>
            <w:tcW w:w="32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13,053</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expense </w:t>
            </w:r>
            <w:r>
              <w:rPr>
                <w:rFonts w:ascii="Times New Roman" w:cs="Times New Roman" w:eastAsia="Times New Roman" w:hAnsi="Times New Roman"/>
                <w:sz w:val="20"/>
                <w:szCs w:val="20"/>
                <w:color w:val="AAA6A1"/>
                <w:w w:val="99"/>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70,249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5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Depreciation and amortization expense </w:t>
            </w:r>
            <w:r>
              <w:rPr>
                <w:rFonts w:ascii="Times New Roman" w:cs="Times New Roman" w:eastAsia="Times New Roman" w:hAnsi="Times New Roman"/>
                <w:sz w:val="20"/>
                <w:szCs w:val="20"/>
                <w:color w:val="AAA6A1"/>
                <w:w w:val="99"/>
              </w:rPr>
              <w:t>....................................................</w:t>
            </w:r>
          </w:p>
        </w:tc>
        <w:tc>
          <w:tcPr>
            <w:tcW w:w="32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60,866</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76,426</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99,636</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5820" w:type="dxa"/>
            <w:vAlign w:val="bottom"/>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EBITDA </w:t>
            </w:r>
            <w:r>
              <w:rPr>
                <w:rFonts w:ascii="Times New Roman" w:cs="Times New Roman" w:eastAsia="Times New Roman" w:hAnsi="Times New Roman"/>
                <w:sz w:val="20"/>
                <w:szCs w:val="20"/>
                <w:color w:val="AAA6A1"/>
              </w:rPr>
              <w:t>................................................................................................</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220,232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354,199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421,752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Stock-based compensation expense and employer payroll taxes related</w:t>
            </w:r>
          </w:p>
        </w:tc>
        <w:tc>
          <w:tcPr>
            <w:tcW w:w="320" w:type="dxa"/>
            <w:vAlign w:val="bottom"/>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154,505</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152,446</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150,063</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8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 stock releases and option exercises</w:t>
            </w:r>
            <w:r>
              <w:rPr>
                <w:rFonts w:ascii="Times New Roman" w:cs="Times New Roman" w:eastAsia="Times New Roman" w:hAnsi="Times New Roman"/>
                <w:sz w:val="20"/>
                <w:szCs w:val="20"/>
                <w:color w:val="AAA6A1"/>
                <w:w w:val="99"/>
              </w:rPr>
              <w:t>.......................................................</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Other items (2) </w:t>
            </w:r>
            <w:r>
              <w:rPr>
                <w:rFonts w:ascii="Times New Roman" w:cs="Times New Roman" w:eastAsia="Times New Roman" w:hAnsi="Times New Roman"/>
                <w:sz w:val="20"/>
                <w:szCs w:val="20"/>
                <w:color w:val="AAA6A1"/>
                <w:w w:val="99"/>
              </w:rPr>
              <w: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11,182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375,183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505,554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582,997</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27" w:lineRule="exact"/>
        <w:rPr>
          <w:sz w:val="20"/>
          <w:szCs w:val="20"/>
          <w:color w:val="auto"/>
        </w:rPr>
      </w:pPr>
    </w:p>
    <w:p>
      <w:pPr>
        <w:ind w:left="10" w:right="540" w:hanging="10"/>
        <w:spacing w:after="0" w:line="310" w:lineRule="auto"/>
        <w:tabs>
          <w:tab w:leader="none" w:pos="73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acquisition-related costs and severance cost adjustments related to certain roles that have been eliminated. We exclude one-off severance costs that we incur as part of the normal course of our business operations.</w:t>
      </w:r>
    </w:p>
    <w:p>
      <w:pPr>
        <w:spacing w:after="0" w:line="35" w:lineRule="exact"/>
        <w:rPr>
          <w:rFonts w:ascii="Times New Roman" w:cs="Times New Roman" w:eastAsia="Times New Roman" w:hAnsi="Times New Roman"/>
          <w:sz w:val="19"/>
          <w:szCs w:val="19"/>
          <w:color w:val="auto"/>
        </w:rPr>
      </w:pPr>
    </w:p>
    <w:p>
      <w:pPr>
        <w:ind w:left="10" w:right="60" w:hanging="10"/>
        <w:spacing w:after="0" w:line="266" w:lineRule="auto"/>
        <w:tabs>
          <w:tab w:leader="none" w:pos="73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55"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Recurring and Other Revenue</w:t>
      </w:r>
    </w:p>
    <w:p>
      <w:pPr>
        <w:spacing w:after="0" w:line="253" w:lineRule="exact"/>
        <w:rPr>
          <w:sz w:val="20"/>
          <w:szCs w:val="20"/>
          <w:color w:val="auto"/>
        </w:rPr>
      </w:pPr>
    </w:p>
    <w:p>
      <w:pPr>
        <w:ind w:left="10" w:right="40" w:firstLine="720"/>
        <w:spacing w:after="0" w:line="255" w:lineRule="auto"/>
        <w:rPr>
          <w:sz w:val="20"/>
          <w:szCs w:val="20"/>
          <w:color w:val="auto"/>
        </w:rPr>
      </w:pPr>
      <w:r>
        <w:rPr>
          <w:rFonts w:ascii="Times New Roman" w:cs="Times New Roman" w:eastAsia="Times New Roman" w:hAnsi="Times New Roman"/>
          <w:sz w:val="20"/>
          <w:szCs w:val="20"/>
          <w:color w:val="auto"/>
        </w:rPr>
        <w:t>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software solutions. Implementations of our solutions typically require one to eight weeks, depending on the size and complexity of each client, at which point the new client’s payroll is first processed using our solution. Our average client size has continued to be over 150 employees.</w:t>
      </w:r>
    </w:p>
    <w:p>
      <w:pPr>
        <w:spacing w:after="0" w:line="210" w:lineRule="exact"/>
        <w:rPr>
          <w:sz w:val="20"/>
          <w:szCs w:val="20"/>
          <w:color w:val="auto"/>
        </w:rPr>
      </w:pPr>
    </w:p>
    <w:p>
      <w:pPr>
        <w:ind w:left="10" w:right="180" w:firstLine="720"/>
        <w:spacing w:after="0" w:line="255" w:lineRule="auto"/>
        <w:rPr>
          <w:sz w:val="20"/>
          <w:szCs w:val="20"/>
          <w:color w:val="auto"/>
        </w:rPr>
      </w:pPr>
      <w:r>
        <w:rPr>
          <w:rFonts w:ascii="Times New Roman" w:cs="Times New Roman" w:eastAsia="Times New Roman" w:hAnsi="Times New Roman"/>
          <w:sz w:val="20"/>
          <w:szCs w:val="20"/>
          <w:color w:val="auto"/>
        </w:rPr>
        <w:t>While the majority of our agreements with clients are generally cancellable by the client on 60 days’ notice or less, we also have entered into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 Recurring and other revenue accounted for approximately 93%, 91% and 92% of our total revenues during the years ended June 30, 2023, 2024 and 2025, respectively.</w:t>
      </w:r>
    </w:p>
    <w:p>
      <w:pPr>
        <w:spacing w:after="0" w:line="20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on Funds Held for Clients</w:t>
      </w:r>
    </w:p>
    <w:p>
      <w:pPr>
        <w:spacing w:after="0" w:line="253" w:lineRule="exact"/>
        <w:rPr>
          <w:sz w:val="20"/>
          <w:szCs w:val="20"/>
          <w:color w:val="auto"/>
        </w:rPr>
      </w:pPr>
    </w:p>
    <w:p>
      <w:pPr>
        <w:ind w:left="10" w:right="40" w:firstLine="720"/>
        <w:spacing w:after="0" w:line="258" w:lineRule="auto"/>
        <w:rPr>
          <w:sz w:val="20"/>
          <w:szCs w:val="20"/>
          <w:color w:val="auto"/>
        </w:rPr>
      </w:pPr>
      <w:r>
        <w:rPr>
          <w:rFonts w:ascii="Times New Roman" w:cs="Times New Roman" w:eastAsia="Times New Roman" w:hAnsi="Times New Roman"/>
          <w:sz w:val="20"/>
          <w:szCs w:val="20"/>
          <w:color w:val="auto"/>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258" w:lineRule="exact"/>
        <w:rPr>
          <w:sz w:val="20"/>
          <w:szCs w:val="20"/>
          <w:color w:val="auto"/>
        </w:rPr>
      </w:pPr>
    </w:p>
    <w:p>
      <w:pPr>
        <w:jc w:val="both"/>
        <w:ind w:left="10" w:right="260" w:firstLine="720"/>
        <w:spacing w:after="0" w:line="287" w:lineRule="auto"/>
        <w:rPr>
          <w:sz w:val="20"/>
          <w:szCs w:val="20"/>
          <w:color w:val="auto"/>
        </w:rPr>
      </w:pPr>
      <w:r>
        <w:rPr>
          <w:rFonts w:ascii="Times New Roman" w:cs="Times New Roman" w:eastAsia="Times New Roman" w:hAnsi="Times New Roman"/>
          <w:sz w:val="19"/>
          <w:szCs w:val="19"/>
          <w:color w:val="auto"/>
        </w:rPr>
        <w:t>Cost of revenues consists primarily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w:t>
      </w:r>
    </w:p>
    <w:p>
      <w:pPr>
        <w:sectPr>
          <w:pgSz w:w="11880" w:h="15481" w:orient="portrait"/>
          <w:cols w:equalWidth="0" w:num="1">
            <w:col w:w="9910"/>
          </w:cols>
          <w:pgMar w:left="990" w:top="487" w:right="981"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222885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6907530</wp:posOffset>
            </wp:positionH>
            <wp:positionV relativeFrom="paragraph">
              <wp:posOffset>222885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10"/>
          </w:cols>
          <w:pgMar w:left="990" w:top="487" w:right="981" w:bottom="0" w:gutter="0" w:footer="0" w:header="0"/>
          <w:type w:val="continuous"/>
        </w:sectPr>
      </w:pPr>
    </w:p>
    <w:bookmarkStart w:id="46" w:name="page47"/>
    <w:bookmarkEnd w:id="46"/>
    <w:p>
      <w:pPr>
        <w:ind w:right="20"/>
        <w:spacing w:after="0" w:line="258"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t>acquired intangibles and bank fees associated with client fund transfers. Costs related to recurring support are generally expensed as incurred. Implementation costs related to our proprietary products are capitalized and generally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204"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We also capitalize a portion of our internal-use software costs, which are then primarily amortized as Cost of revenues. We amortized $31.4 million, $45.2 million and $59.9 million of capitalized internal-use software costs in fiscal 2023, 2024 and 2025,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253"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generally amortize them over a period of 7 years.</w:t>
      </w:r>
    </w:p>
    <w:p>
      <w:pPr>
        <w:spacing w:after="0" w:line="20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253"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20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2023, 2024 and 2025.</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June 30,</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7"/>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Capitalized portion of research and development</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55,582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75,853</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Expensed portion of research and development</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163,994</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178,333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205,851</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research and development</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219,576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253,864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281,704</w:t>
            </w:r>
          </w:p>
        </w:tc>
      </w:tr>
    </w:tbl>
    <w:p>
      <w:pPr>
        <w:spacing w:after="0" w:line="290"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20"/>
          <w:szCs w:val="20"/>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53"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47" w:name="page48"/>
    <w:bookmarkEnd w:id="47"/>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t>Other Income (Expense)</w:t>
      </w:r>
    </w:p>
    <w:p>
      <w:pPr>
        <w:spacing w:after="0" w:line="253" w:lineRule="exact"/>
        <w:rPr>
          <w:sz w:val="20"/>
          <w:szCs w:val="20"/>
          <w:color w:val="auto"/>
        </w:rPr>
      </w:pPr>
    </w:p>
    <w:p>
      <w:pPr>
        <w:ind w:right="560" w:firstLine="720"/>
        <w:spacing w:after="0" w:line="283" w:lineRule="auto"/>
        <w:rPr>
          <w:sz w:val="20"/>
          <w:szCs w:val="20"/>
          <w:color w:val="auto"/>
        </w:rPr>
      </w:pPr>
      <w:r>
        <w:rPr>
          <w:rFonts w:ascii="Times New Roman" w:cs="Times New Roman" w:eastAsia="Times New Roman" w:hAnsi="Times New Roman"/>
          <w:sz w:val="20"/>
          <w:szCs w:val="20"/>
          <w:color w:val="auto"/>
        </w:rPr>
        <w:t>Other income (expense) generally consists of interest income related to interest earned on our cash and cash equivalents, net of interest expense related to our revolving credit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our statements of operations data for each of the periods indicated.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June 30,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5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Data:</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Recurring and other revenue</w:t>
            </w:r>
            <w:r>
              <w:rPr>
                <w:rFonts w:ascii="Times New Roman" w:cs="Times New Roman" w:eastAsia="Times New Roman" w:hAnsi="Times New Roman"/>
                <w:sz w:val="20"/>
                <w:szCs w:val="20"/>
                <w:color w:val="AAA6A1"/>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1,098,036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1,281,680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1,471,801</w:t>
            </w: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income on funds held for clients</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76,562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120,835</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123,420</w:t>
            </w: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revenues </w:t>
            </w:r>
            <w:r>
              <w:rPr>
                <w:rFonts w:ascii="Times New Roman" w:cs="Times New Roman" w:eastAsia="Times New Roman" w:hAnsi="Times New Roman"/>
                <w:sz w:val="20"/>
                <w:szCs w:val="20"/>
                <w:color w:val="AAA6A1"/>
                <w:w w:val="99"/>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1,174,598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1,595,221</w:t>
            </w: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Cost of revenues</w:t>
            </w:r>
            <w:r>
              <w:rPr>
                <w:rFonts w:ascii="Times New Roman" w:cs="Times New Roman" w:eastAsia="Times New Roman" w:hAnsi="Times New Roman"/>
                <w:sz w:val="20"/>
                <w:szCs w:val="20"/>
                <w:color w:val="AAA6A1"/>
                <w:w w:val="99"/>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367,039</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441,729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498,223</w:t>
            </w:r>
          </w:p>
        </w:tc>
      </w:tr>
      <w:tr>
        <w:trPr>
          <w:trHeight w:val="28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Gross profit </w:t>
            </w:r>
            <w:r>
              <w:rPr>
                <w:rFonts w:ascii="Times New Roman" w:cs="Times New Roman" w:eastAsia="Times New Roman" w:hAnsi="Times New Roman"/>
                <w:sz w:val="20"/>
                <w:szCs w:val="20"/>
                <w:color w:val="AAA6A1"/>
                <w:w w:val="99"/>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807,559</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960,786</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1,096,998</w:t>
            </w: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Operating expenses: </w:t>
            </w:r>
            <w:r>
              <w:rPr>
                <w:rFonts w:ascii="Times New Roman" w:cs="Times New Roman" w:eastAsia="Times New Roman" w:hAnsi="Times New Roman"/>
                <w:sz w:val="20"/>
                <w:szCs w:val="20"/>
                <w:color w:val="AAA6A1"/>
                <w:w w:val="99"/>
              </w:rPr>
              <w: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Sales and marketing </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296,716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334,954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374,216</w:t>
            </w: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163,994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205,851</w:t>
            </w: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191,823</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187,406</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212,907</w:t>
            </w:r>
          </w:p>
        </w:tc>
      </w:tr>
      <w:tr>
        <w:trPr>
          <w:trHeight w:val="28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operating expenses</w:t>
            </w:r>
            <w:r>
              <w:rPr>
                <w:rFonts w:ascii="Times New Roman" w:cs="Times New Roman" w:eastAsia="Times New Roman" w:hAnsi="Times New Roman"/>
                <w:sz w:val="20"/>
                <w:szCs w:val="20"/>
                <w:color w:val="AAA6A1"/>
                <w:w w:val="99"/>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652,533</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700,693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792,974</w:t>
            </w: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income</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155,026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304,024</w:t>
            </w: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Other income</w:t>
            </w:r>
            <w:r>
              <w:rPr>
                <w:rFonts w:ascii="Times New Roman" w:cs="Times New Roman" w:eastAsia="Times New Roman" w:hAnsi="Times New Roman"/>
                <w:sz w:val="20"/>
                <w:szCs w:val="20"/>
                <w:color w:val="AAA6A1"/>
                <w:w w:val="99"/>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16,922</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5,039</w:t>
            </w: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Income before income taxes </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277,015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309,063</w:t>
            </w: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expense </w:t>
            </w:r>
            <w:r>
              <w:rPr>
                <w:rFonts w:ascii="Times New Roman" w:cs="Times New Roman" w:eastAsia="Times New Roman" w:hAnsi="Times New Roman"/>
                <w:sz w:val="20"/>
                <w:szCs w:val="20"/>
                <w:color w:val="AAA6A1"/>
                <w:w w:val="99"/>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70,249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81,936</w:t>
            </w:r>
          </w:p>
        </w:tc>
      </w:tr>
      <w:tr>
        <w:trPr>
          <w:trHeight w:val="26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income </w:t>
            </w:r>
            <w:r>
              <w:rPr>
                <w:rFonts w:ascii="Times New Roman" w:cs="Times New Roman" w:eastAsia="Times New Roman" w:hAnsi="Times New Roman"/>
                <w:sz w:val="20"/>
                <w:szCs w:val="20"/>
                <w:color w:val="AAA6A1"/>
                <w:w w:val="99"/>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206,766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227,127</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1" w:orient="portrait"/>
          <w:cols w:equalWidth="0" w:num="1">
            <w:col w:w="9900"/>
          </w:cols>
          <w:pgMar w:left="1000" w:top="395"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5" w:right="981" w:bottom="0" w:gutter="0" w:footer="0" w:header="0"/>
          <w:type w:val="continuous"/>
        </w:sectPr>
      </w:pPr>
    </w:p>
    <w:bookmarkStart w:id="48" w:name="page49"/>
    <w:bookmarkEnd w:id="48"/>
    <w:p>
      <w:pPr>
        <w:ind w:right="360" w:firstLine="72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table sets forth our statements of operations data as a percentage of total revenue for each of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96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Data:</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Revenues: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2"/>
              </w:rPr>
              <w:t xml:space="preserve">Recurring and other revenue </w:t>
            </w:r>
            <w:r>
              <w:rPr>
                <w:rFonts w:ascii="Times New Roman" w:cs="Times New Roman" w:eastAsia="Times New Roman" w:hAnsi="Times New Roman"/>
                <w:sz w:val="15"/>
                <w:szCs w:val="15"/>
                <w:color w:val="AAA6A1"/>
                <w:w w:val="72"/>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20" w:type="dxa"/>
            <w:vAlign w:val="bottom"/>
            <w:gridSpan w:val="5"/>
          </w:tcPr>
          <w:p>
            <w:pPr>
              <w:ind w:left="280"/>
              <w:spacing w:after="0"/>
              <w:rPr>
                <w:sz w:val="20"/>
                <w:szCs w:val="20"/>
                <w:color w:val="auto"/>
              </w:rPr>
            </w:pPr>
            <w:r>
              <w:rPr>
                <w:rFonts w:ascii="Times New Roman" w:cs="Times New Roman" w:eastAsia="Times New Roman" w:hAnsi="Times New Roman"/>
                <w:sz w:val="20"/>
                <w:szCs w:val="20"/>
                <w:color w:val="AAA6A1"/>
                <w:w w:val="73"/>
              </w:rPr>
              <w:t>.............................................</w:t>
            </w:r>
            <w:r>
              <w:rPr>
                <w:rFonts w:ascii="Times New Roman" w:cs="Times New Roman" w:eastAsia="Times New Roman" w:hAnsi="Times New Roman"/>
                <w:sz w:val="20"/>
                <w:szCs w:val="20"/>
                <w:color w:val="000000"/>
                <w:w w:val="73"/>
              </w:rPr>
              <w:t>Interestincomeonfundsheldforclients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74"/>
              </w:rPr>
              <w:t xml:space="preserve">Total revenues </w:t>
            </w:r>
            <w:r>
              <w:rPr>
                <w:rFonts w:ascii="Times New Roman" w:cs="Times New Roman" w:eastAsia="Times New Roman" w:hAnsi="Times New Roman"/>
                <w:sz w:val="14"/>
                <w:szCs w:val="14"/>
                <w:color w:val="AAA6A1"/>
                <w:w w:val="74"/>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0"/>
              </w:rPr>
              <w:t>Cost of revenues</w:t>
            </w:r>
            <w:r>
              <w:rPr>
                <w:rFonts w:ascii="Times New Roman" w:cs="Times New Roman" w:eastAsia="Times New Roman" w:hAnsi="Times New Roman"/>
                <w:sz w:val="15"/>
                <w:szCs w:val="15"/>
                <w:color w:val="AAA6A1"/>
                <w:w w:val="70"/>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74"/>
              </w:rPr>
              <w:t xml:space="preserve">Gross profit </w:t>
            </w:r>
            <w:r>
              <w:rPr>
                <w:rFonts w:ascii="Times New Roman" w:cs="Times New Roman" w:eastAsia="Times New Roman" w:hAnsi="Times New Roman"/>
                <w:sz w:val="14"/>
                <w:szCs w:val="14"/>
                <w:color w:val="AAA6A1"/>
                <w:w w:val="74"/>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4"/>
              </w:rPr>
              <w:t xml:space="preserve">Operating expenses: </w:t>
            </w:r>
            <w:r>
              <w:rPr>
                <w:rFonts w:ascii="Times New Roman" w:cs="Times New Roman" w:eastAsia="Times New Roman" w:hAnsi="Times New Roman"/>
                <w:sz w:val="14"/>
                <w:szCs w:val="14"/>
                <w:color w:val="AAA6A1"/>
                <w:w w:val="74"/>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2"/>
              </w:rPr>
              <w:t xml:space="preserve">Sales and marketing </w:t>
            </w:r>
            <w:r>
              <w:rPr>
                <w:rFonts w:ascii="Times New Roman" w:cs="Times New Roman" w:eastAsia="Times New Roman" w:hAnsi="Times New Roman"/>
                <w:sz w:val="15"/>
                <w:szCs w:val="15"/>
                <w:color w:val="AAA6A1"/>
                <w:w w:val="72"/>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3"/>
              </w:rPr>
              <w:t>Research and development</w:t>
            </w:r>
            <w:r>
              <w:rPr>
                <w:rFonts w:ascii="Times New Roman" w:cs="Times New Roman" w:eastAsia="Times New Roman" w:hAnsi="Times New Roman"/>
                <w:sz w:val="15"/>
                <w:szCs w:val="15"/>
                <w:color w:val="AAA6A1"/>
                <w:w w:val="73"/>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2"/>
              </w:rPr>
              <w:t>General and administrative</w:t>
            </w:r>
            <w:r>
              <w:rPr>
                <w:rFonts w:ascii="Times New Roman" w:cs="Times New Roman" w:eastAsia="Times New Roman" w:hAnsi="Times New Roman"/>
                <w:sz w:val="15"/>
                <w:szCs w:val="15"/>
                <w:color w:val="AAA6A1"/>
                <w:w w:val="72"/>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0"/>
              </w:rPr>
              <w:t>Total operating expenses</w:t>
            </w:r>
            <w:r>
              <w:rPr>
                <w:rFonts w:ascii="Times New Roman" w:cs="Times New Roman" w:eastAsia="Times New Roman" w:hAnsi="Times New Roman"/>
                <w:sz w:val="15"/>
                <w:szCs w:val="15"/>
                <w:color w:val="AAA6A1"/>
                <w:w w:val="70"/>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2"/>
              </w:rPr>
              <w:t xml:space="preserve">Operating income </w:t>
            </w:r>
            <w:r>
              <w:rPr>
                <w:rFonts w:ascii="Times New Roman" w:cs="Times New Roman" w:eastAsia="Times New Roman" w:hAnsi="Times New Roman"/>
                <w:sz w:val="15"/>
                <w:szCs w:val="15"/>
                <w:color w:val="AAA6A1"/>
                <w:w w:val="72"/>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0"/>
              </w:rPr>
              <w:t>Other income</w:t>
            </w:r>
            <w:r>
              <w:rPr>
                <w:rFonts w:ascii="Times New Roman" w:cs="Times New Roman" w:eastAsia="Times New Roman" w:hAnsi="Times New Roman"/>
                <w:sz w:val="15"/>
                <w:szCs w:val="15"/>
                <w:color w:val="AAA6A1"/>
                <w:w w:val="70"/>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3"/>
              </w:rPr>
              <w:t>Income before income taxes</w:t>
            </w:r>
            <w:r>
              <w:rPr>
                <w:rFonts w:ascii="Times New Roman" w:cs="Times New Roman" w:eastAsia="Times New Roman" w:hAnsi="Times New Roman"/>
                <w:sz w:val="15"/>
                <w:szCs w:val="15"/>
                <w:color w:val="AAA6A1"/>
                <w:w w:val="73"/>
              </w:rPr>
              <w: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4"/>
              </w:rPr>
              <w:t xml:space="preserve">Income tax expense </w:t>
            </w:r>
            <w:r>
              <w:rPr>
                <w:rFonts w:ascii="Times New Roman" w:cs="Times New Roman" w:eastAsia="Times New Roman" w:hAnsi="Times New Roman"/>
                <w:sz w:val="14"/>
                <w:szCs w:val="14"/>
                <w:color w:val="AAA6A1"/>
                <w:w w:val="74"/>
              </w:rPr>
              <w:t>...................................................................................</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74"/>
              </w:rPr>
              <w:t xml:space="preserve">Net income </w:t>
            </w:r>
            <w:r>
              <w:rPr>
                <w:rFonts w:ascii="Times New Roman" w:cs="Times New Roman" w:eastAsia="Times New Roman" w:hAnsi="Times New Roman"/>
                <w:sz w:val="14"/>
                <w:szCs w:val="14"/>
                <w:color w:val="AAA6A1"/>
                <w:w w:val="74"/>
              </w:rPr>
              <w:t>................................................................................................</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b w:val="1"/>
                <w:bCs w:val="1"/>
                <w:color w:val="auto"/>
                <w:w w:val="99"/>
              </w:rPr>
              <w:t>Comparison of Fiscal Years Ended June 30, 2024 and 2025</w:t>
            </w: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02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 in thousands)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8"/>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Change from 2023 to</w:t>
            </w:r>
          </w:p>
        </w:tc>
        <w:tc>
          <w:tcPr>
            <w:tcW w:w="60" w:type="dxa"/>
            <w:vAlign w:val="bottom"/>
          </w:tcPr>
          <w:p>
            <w:pPr>
              <w:spacing w:after="0"/>
              <w:rPr>
                <w:sz w:val="24"/>
                <w:szCs w:val="24"/>
                <w:color w:val="auto"/>
              </w:rPr>
            </w:pPr>
          </w:p>
        </w:tc>
        <w:tc>
          <w:tcPr>
            <w:tcW w:w="192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Change from 2024 to</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Recurring and other revenue</w:t>
            </w:r>
            <w:r>
              <w:rPr>
                <w:rFonts w:ascii="Times New Roman" w:cs="Times New Roman" w:eastAsia="Times New Roman" w:hAnsi="Times New Roman"/>
                <w:sz w:val="20"/>
                <w:szCs w:val="20"/>
                <w:color w:val="AAA6A1"/>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1,098,036</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1,281,680</w:t>
            </w:r>
          </w:p>
        </w:tc>
        <w:tc>
          <w:tcPr>
            <w:tcW w:w="60" w:type="dxa"/>
            <w:vAlign w:val="bottom"/>
          </w:tcPr>
          <w:p>
            <w:pPr>
              <w:spacing w:after="0"/>
              <w:rPr>
                <w:sz w:val="24"/>
                <w:szCs w:val="24"/>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8"/>
              </w:rPr>
              <w:t>$ 1,471,801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$ 183,644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$ 190,121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 xml:space="preserve">Percentage of total revenues </w:t>
            </w:r>
            <w:r>
              <w:rPr>
                <w:rFonts w:ascii="Times New Roman" w:cs="Times New Roman" w:eastAsia="Times New Roman" w:hAnsi="Times New Roman"/>
                <w:sz w:val="20"/>
                <w:szCs w:val="20"/>
                <w:color w:val="AAA6A1"/>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92 %</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 on funds held for</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76,562</w:t>
            </w:r>
          </w:p>
        </w:tc>
        <w:tc>
          <w:tcPr>
            <w:tcW w:w="6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120,835</w:t>
            </w:r>
          </w:p>
        </w:tc>
        <w:tc>
          <w:tcPr>
            <w:tcW w:w="60" w:type="dxa"/>
            <w:vAlign w:val="bottom"/>
          </w:tcPr>
          <w:p>
            <w:pPr>
              <w:spacing w:after="0"/>
              <w:rPr>
                <w:sz w:val="22"/>
                <w:szCs w:val="2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123,420</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  44,273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9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   2,585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clients</w:t>
            </w:r>
            <w:r>
              <w:rPr>
                <w:rFonts w:ascii="Times New Roman" w:cs="Times New Roman" w:eastAsia="Times New Roman" w:hAnsi="Times New Roman"/>
                <w:sz w:val="20"/>
                <w:szCs w:val="20"/>
                <w:color w:val="AAA6A1"/>
              </w:rPr>
              <w:t>.............................................</w:t>
            </w:r>
          </w:p>
        </w:tc>
        <w:tc>
          <w:tcPr>
            <w:tcW w:w="16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960" w:type="dxa"/>
            <w:vAlign w:val="bottom"/>
            <w:gridSpan w:val="4"/>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8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 xml:space="preserve">Percentage of total revenues </w:t>
            </w:r>
            <w:r>
              <w:rPr>
                <w:rFonts w:ascii="Times New Roman" w:cs="Times New Roman" w:eastAsia="Times New Roman" w:hAnsi="Times New Roman"/>
                <w:sz w:val="20"/>
                <w:szCs w:val="20"/>
                <w:color w:val="AAA6A1"/>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8 %</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Recurring and Other Revenue</w:t>
      </w:r>
    </w:p>
    <w:p>
      <w:pPr>
        <w:spacing w:after="0" w:line="253"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19"/>
          <w:szCs w:val="19"/>
          <w:color w:val="auto"/>
        </w:rPr>
        <w:t>Recurring and other revenue for the year ended June 30, 2025 increased by $190.1 million, or 15%, to $1,471.8 million from $1,281.7 million for the year ended June 30, 2024. Recurring and other revenue increased primarily as a result of incremental revenues from new and existing clients due to the strong performance by our sales team and continued annual revenue retention in excess of 92%. Excluding clients acquired through acquisitions, the number of clients using our software solutions at June 30, 2025 increased by 7% to approximately 41,650 from approximately 39,050 at June 30, 2024.</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on Funds Held for Clients</w:t>
      </w:r>
    </w:p>
    <w:p>
      <w:pPr>
        <w:spacing w:after="0" w:line="253" w:lineRule="exact"/>
        <w:rPr>
          <w:sz w:val="20"/>
          <w:szCs w:val="20"/>
          <w:color w:val="auto"/>
        </w:rPr>
      </w:pPr>
    </w:p>
    <w:p>
      <w:pPr>
        <w:ind w:right="260" w:firstLine="720"/>
        <w:spacing w:after="0" w:line="261" w:lineRule="auto"/>
        <w:rPr>
          <w:sz w:val="20"/>
          <w:szCs w:val="20"/>
          <w:color w:val="auto"/>
        </w:rPr>
      </w:pPr>
      <w:r>
        <w:rPr>
          <w:rFonts w:ascii="Times New Roman" w:cs="Times New Roman" w:eastAsia="Times New Roman" w:hAnsi="Times New Roman"/>
          <w:sz w:val="20"/>
          <w:szCs w:val="20"/>
          <w:color w:val="auto"/>
        </w:rPr>
        <w:t>Interest income on funds held for clients for the year ended June 30, 2025 increased by $2.6 million, or 2%, to $123.4 million from $120.8 million for the year ended June 30, 2024. Interest income on funds held for clients increased slightly, as the positive impact from higher average daily balances of funds held for new and existing clients was mostly offset by lower interest rates as compared to the prior fiscal year.</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t>Cost of Revenues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 thousands)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Change from 2023 to</w:t>
            </w:r>
          </w:p>
        </w:tc>
        <w:tc>
          <w:tcPr>
            <w:tcW w:w="6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Change from 2024 to</w:t>
            </w:r>
          </w:p>
        </w:tc>
      </w:tr>
      <w:tr>
        <w:trPr>
          <w:trHeight w:val="219"/>
        </w:trPr>
        <w:tc>
          <w:tcPr>
            <w:tcW w:w="2840" w:type="dxa"/>
            <w:vAlign w:val="bottom"/>
          </w:tcPr>
          <w:p>
            <w:pPr>
              <w:spacing w:after="0"/>
              <w:rPr>
                <w:sz w:val="19"/>
                <w:szCs w:val="19"/>
                <w:color w:val="auto"/>
              </w:rPr>
            </w:pPr>
          </w:p>
        </w:tc>
        <w:tc>
          <w:tcPr>
            <w:tcW w:w="23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r>
      <w:tr>
        <w:trPr>
          <w:trHeight w:val="235"/>
        </w:trPr>
        <w:tc>
          <w:tcPr>
            <w:tcW w:w="2840" w:type="dxa"/>
            <w:vAlign w:val="bottom"/>
          </w:tcPr>
          <w:p>
            <w:pPr>
              <w:spacing w:after="0"/>
              <w:rPr>
                <w:sz w:val="20"/>
                <w:szCs w:val="20"/>
                <w:color w:val="auto"/>
              </w:rPr>
            </w:pPr>
          </w:p>
        </w:tc>
        <w:tc>
          <w:tcPr>
            <w:tcW w:w="10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xml:space="preserve">Cost of revenues </w:t>
            </w:r>
            <w:r>
              <w:rPr>
                <w:rFonts w:ascii="Times New Roman" w:cs="Times New Roman" w:eastAsia="Times New Roman" w:hAnsi="Times New Roman"/>
                <w:sz w:val="20"/>
                <w:szCs w:val="20"/>
                <w:color w:val="AAA6A1"/>
                <w:w w:val="9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367,039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441,729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498,223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56,494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00"/>
        </w:trPr>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Percentage of total revenues </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0"/>
        </w:trPr>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Gross profit margin</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90" w:lineRule="exact"/>
        <w:rPr>
          <w:sz w:val="20"/>
          <w:szCs w:val="20"/>
          <w:color w:val="auto"/>
        </w:rPr>
      </w:pPr>
    </w:p>
    <w:p>
      <w:pPr>
        <w:ind w:right="180" w:firstLine="720"/>
        <w:spacing w:after="0" w:line="257" w:lineRule="auto"/>
        <w:rPr>
          <w:sz w:val="20"/>
          <w:szCs w:val="20"/>
          <w:color w:val="auto"/>
        </w:rPr>
      </w:pPr>
      <w:r>
        <w:rPr>
          <w:rFonts w:ascii="Times New Roman" w:cs="Times New Roman" w:eastAsia="Times New Roman" w:hAnsi="Times New Roman"/>
          <w:sz w:val="20"/>
          <w:szCs w:val="20"/>
          <w:color w:val="auto"/>
        </w:rPr>
        <w:t>Cost of revenues for the year ended June 30, 2025 increased by $56.5 million, or 13%, to $498.2 million from $441.7 million for the year ended June 30, 2024. Cost of revenues increased primarily as a result of the continued growth of our business, in particular, $22.1 million in additional employee-related costs, $14.7 million in increased internal-use software amortization, $12.6 million in additional processing and delivery related costs and $8.3 million in increased amortization of certain acquired intangible assets. Gross profit margin was 69% for both years ended June 30, 2024 and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 thousands)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Change from 2023 to</w:t>
            </w:r>
          </w:p>
        </w:tc>
        <w:tc>
          <w:tcPr>
            <w:tcW w:w="6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Change from 2024 to</w:t>
            </w:r>
          </w:p>
        </w:tc>
      </w:tr>
      <w:tr>
        <w:trPr>
          <w:trHeight w:val="219"/>
        </w:trPr>
        <w:tc>
          <w:tcPr>
            <w:tcW w:w="2840" w:type="dxa"/>
            <w:vAlign w:val="bottom"/>
          </w:tcPr>
          <w:p>
            <w:pPr>
              <w:spacing w:after="0"/>
              <w:rPr>
                <w:sz w:val="19"/>
                <w:szCs w:val="19"/>
                <w:color w:val="auto"/>
              </w:rPr>
            </w:pPr>
          </w:p>
        </w:tc>
        <w:tc>
          <w:tcPr>
            <w:tcW w:w="23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r>
      <w:tr>
        <w:trPr>
          <w:trHeight w:val="235"/>
        </w:trPr>
        <w:tc>
          <w:tcPr>
            <w:tcW w:w="2840" w:type="dxa"/>
            <w:vAlign w:val="bottom"/>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296,716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334,954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374,216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38,238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39,262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Percentage of total revenues </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90"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20"/>
          <w:szCs w:val="20"/>
          <w:color w:val="auto"/>
        </w:rPr>
        <w:t>Sales and marketing expenses for the year ended June 30, 2025 increased by $39.3 million, or 12%, to $374.2 million from $335.0 million for the year ended June 30, 2024. The increase in sales and marketing expense was primarily due to $36.8 million of additional employee-related costs, including those incurred to expand our sales team.</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i w:val="1"/>
          <w:iCs w:val="1"/>
          <w:color w:val="auto"/>
        </w:rPr>
        <w:t>Research and Development</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Change from 2023 to</w:t>
            </w:r>
          </w:p>
        </w:tc>
        <w:tc>
          <w:tcPr>
            <w:tcW w:w="6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Change from 2024 to</w:t>
            </w:r>
          </w:p>
        </w:tc>
      </w:tr>
      <w:tr>
        <w:trPr>
          <w:trHeight w:val="219"/>
        </w:trPr>
        <w:tc>
          <w:tcPr>
            <w:tcW w:w="2840" w:type="dxa"/>
            <w:vAlign w:val="bottom"/>
          </w:tcPr>
          <w:p>
            <w:pPr>
              <w:spacing w:after="0"/>
              <w:rPr>
                <w:sz w:val="19"/>
                <w:szCs w:val="19"/>
                <w:color w:val="auto"/>
              </w:rPr>
            </w:pPr>
          </w:p>
        </w:tc>
        <w:tc>
          <w:tcPr>
            <w:tcW w:w="23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r>
      <w:tr>
        <w:trPr>
          <w:trHeight w:val="233"/>
        </w:trPr>
        <w:tc>
          <w:tcPr>
            <w:tcW w:w="2840" w:type="dxa"/>
            <w:vAlign w:val="bottom"/>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9"/>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Research and development </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163,994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178,333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205,851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27,518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Percentage of total revenues </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Research and development expenses for the year ended June 30, 2025 increased by $27.5 million, or 15%,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$205.9 million from $178.3 million for the year ended June 30, 2024. The increase in research and development expenses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 primarily due to $25.7 million of additional employee-related costs related to additional development personnel.</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Change from 2023 to</w:t>
            </w:r>
          </w:p>
        </w:tc>
        <w:tc>
          <w:tcPr>
            <w:tcW w:w="6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Change from 2024 to</w:t>
            </w:r>
          </w:p>
        </w:tc>
      </w:tr>
      <w:tr>
        <w:trPr>
          <w:trHeight w:val="219"/>
        </w:trPr>
        <w:tc>
          <w:tcPr>
            <w:tcW w:w="2840" w:type="dxa"/>
            <w:vAlign w:val="bottom"/>
          </w:tcPr>
          <w:p>
            <w:pPr>
              <w:spacing w:after="0"/>
              <w:rPr>
                <w:sz w:val="19"/>
                <w:szCs w:val="19"/>
                <w:color w:val="auto"/>
              </w:rPr>
            </w:pPr>
          </w:p>
        </w:tc>
        <w:tc>
          <w:tcPr>
            <w:tcW w:w="23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r>
      <w:tr>
        <w:trPr>
          <w:trHeight w:val="233"/>
        </w:trPr>
        <w:tc>
          <w:tcPr>
            <w:tcW w:w="2840" w:type="dxa"/>
            <w:vAlign w:val="bottom"/>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9"/>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191,823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187,406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212,907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(4,417)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25,501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Percentage of total revenues </w:t>
            </w:r>
            <w:r>
              <w:rPr>
                <w:rFonts w:ascii="Times New Roman" w:cs="Times New Roman" w:eastAsia="Times New Roman" w:hAnsi="Times New Roman"/>
                <w:sz w:val="20"/>
                <w:szCs w:val="20"/>
                <w:color w:val="AAA6A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General and administrative expenses for the year ended June 30, 2025 increased by $25.5 million, or 14%,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$212.9 million from $187.4 million for the year ended June 30, 2024. The increase in general and administrative expenses</w:t>
      </w:r>
    </w:p>
    <w:p>
      <w:pPr>
        <w:sectPr>
          <w:pgSz w:w="11880" w:h="15481" w:orient="portrait"/>
          <w:cols w:equalWidth="0" w:num="1">
            <w:col w:w="9860"/>
          </w:cols>
          <w:pgMar w:left="1000" w:top="390"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60"/>
          </w:cols>
          <w:pgMar w:left="1000" w:top="390" w:right="1021" w:bottom="0" w:gutter="0" w:footer="0" w:header="0"/>
          <w:type w:val="continuous"/>
        </w:sectPr>
      </w:pPr>
    </w:p>
    <w:bookmarkStart w:id="50" w:name="page51"/>
    <w:bookmarkEnd w:id="50"/>
    <w:p>
      <w:pPr>
        <w:ind w:right="20"/>
        <w:spacing w:after="0" w:line="283" w:lineRule="auto"/>
        <w:rPr>
          <w:sz w:val="20"/>
          <w:szCs w:val="20"/>
          <w:color w:val="auto"/>
        </w:rPr>
      </w:pPr>
      <w:r>
        <w:rPr>
          <w:rFonts w:ascii="Times New Roman" w:cs="Times New Roman" w:eastAsia="Times New Roman" w:hAnsi="Times New Roman"/>
          <w:sz w:val="20"/>
          <w:szCs w:val="20"/>
          <w:color w:val="auto"/>
        </w:rPr>
        <w:t>was primarily due to $14.3 million of additional employee-related costs and a $4.3 million gain related to lease exit activity during the year ended June 30, 2024.</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53"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Other income for the year ended June 30, 2025 decreased by $11.9 million as compared to the year ended June 30, 2024. The change in other income was primarily due to $12.3 million in additional interest expense related to borrowings under our revolving credit facility.</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 (Benefit)</w:t>
      </w:r>
    </w:p>
    <w:p>
      <w:pPr>
        <w:spacing w:after="0" w:line="253"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20"/>
          <w:szCs w:val="20"/>
          <w:color w:val="auto"/>
        </w:rPr>
        <w:t>Our effective tax rates were 25.4% and 26.5% for the years ended June 30, 2024 and 2025, respectively. Our effective tax rates for the years ended June 30, 2024 and 2025 were higher than the federal statutory rate of 21% primarily due to state income taxes.</w:t>
      </w:r>
    </w:p>
    <w:p>
      <w:pPr>
        <w:spacing w:after="0" w:line="195" w:lineRule="exact"/>
        <w:rPr>
          <w:sz w:val="20"/>
          <w:szCs w:val="20"/>
          <w:color w:val="auto"/>
        </w:rPr>
      </w:pPr>
    </w:p>
    <w:p>
      <w:pPr>
        <w:jc w:val="both"/>
        <w:ind w:right="160" w:firstLine="720"/>
        <w:spacing w:after="0" w:line="266" w:lineRule="auto"/>
        <w:rPr>
          <w:sz w:val="20"/>
          <w:szCs w:val="20"/>
          <w:color w:val="auto"/>
        </w:rPr>
      </w:pPr>
      <w:r>
        <w:rPr>
          <w:rFonts w:ascii="Times New Roman" w:cs="Times New Roman" w:eastAsia="Times New Roman" w:hAnsi="Times New Roman"/>
          <w:sz w:val="20"/>
          <w:szCs w:val="20"/>
          <w:color w:val="auto"/>
        </w:rPr>
        <w:t>See Note 14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57"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58"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We apply Accounting Standards Codification (“ASC”) 606, Revenue from Contracts with Customers (“Topic 606”), whereby we recognize revenue when we transfer control of goods or services to our customers in an amount that reflects the consideration to which we expect to be entitled to for those goods or services. We derive our revenue from contracts with clients substantially all from recurring service fees. Recurring fees are mostly derived from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spacing w:after="0" w:line="210"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20"/>
          <w:szCs w:val="20"/>
          <w:color w:val="auto"/>
        </w:rPr>
        <w:t>The performance obligations related to recurring services are generally satisfied monthly as services are provided, with fees charged and collected based on a per-employee-per-month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202" w:lineRule="exact"/>
        <w:rPr>
          <w:sz w:val="20"/>
          <w:szCs w:val="20"/>
          <w:color w:val="auto"/>
        </w:rPr>
      </w:pPr>
    </w:p>
    <w:p>
      <w:pPr>
        <w:ind w:right="240" w:firstLine="720"/>
        <w:spacing w:after="0" w:line="283" w:lineRule="auto"/>
        <w:rPr>
          <w:sz w:val="20"/>
          <w:szCs w:val="20"/>
          <w:color w:val="auto"/>
        </w:rPr>
      </w:pPr>
      <w:r>
        <w:rPr>
          <w:rFonts w:ascii="Times New Roman" w:cs="Times New Roman" w:eastAsia="Times New Roman" w:hAnsi="Times New Roman"/>
          <w:sz w:val="20"/>
          <w:szCs w:val="20"/>
          <w:color w:val="auto"/>
        </w:rPr>
        <w:t>We have certain optional performance obligations that are satisfied at a point in time including the sales of time clocks and W-2 preparation services.</w:t>
      </w:r>
    </w:p>
    <w:p>
      <w:pPr>
        <w:spacing w:after="0" w:line="178"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Implementation services and other consist mainly of nonrefundable implementation fees, which involve setting up the client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51" w:name="page52"/>
    <w:bookmarkEnd w:id="51"/>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Capitalized Internal-Use Software Costs</w:t>
      </w:r>
    </w:p>
    <w:p>
      <w:pPr>
        <w:spacing w:after="0" w:line="258"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We apply ASC 350-40, Intangibles—Goodwill and Other—Internal-Use Software,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205"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Internal-use software is amortized on a straight-line basis, generally over a two- to three-year period while certain projects that support our main processing activities are amortized over ten years. We evaluate the useful lives of these assets on an annual basis and test for impairment whenever events or changes in circumstances occur that could impact the recoverability of these assets. There was no impairment to capitalized internal-use software during the years ended June 30, 2023, 2024 or 2025. We capitalized $55.6 million, $75.5 million and $75.9 million of internal-use software costs for the years ended June 30, 2023, 2024 and 2025, respectively, including stock-based compensation costs of $11.9 million, $14.4 million and $13.0 million for the years ended June 30, 2023, 2024 and 2025, respectively. We amortized $31.4 million, $45.2 million and $59.9 million of capitalized internal-use software costs for the years ended June 30, 2023, 2024 and 2025, respectively.</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49" w:lineRule="exact"/>
        <w:rPr>
          <w:sz w:val="20"/>
          <w:szCs w:val="20"/>
          <w:color w:val="auto"/>
        </w:rPr>
      </w:pPr>
    </w:p>
    <w:p>
      <w:pPr>
        <w:ind w:right="20" w:firstLine="720"/>
        <w:spacing w:after="0" w:line="269" w:lineRule="auto"/>
        <w:rPr>
          <w:sz w:val="20"/>
          <w:szCs w:val="20"/>
          <w:color w:val="auto"/>
        </w:rPr>
      </w:pPr>
      <w:r>
        <w:rPr>
          <w:rFonts w:ascii="Times New Roman" w:cs="Times New Roman" w:eastAsia="Times New Roman" w:hAnsi="Times New Roman"/>
          <w:sz w:val="19"/>
          <w:szCs w:val="19"/>
          <w:color w:val="auto"/>
        </w:rPr>
        <w:t>We include the results of businesses acquired in our consolidated financial statements from the date of acquisition. We allocate the purchase price consideration associated with our acquisitions to the fair values of assets acquired and liabilities assumed at their respective acquisition dates, with the excess recorded to goodwill. The purchase price allocations require us to make significant judgments and estimates in determining such fair values, particularly related to the proprietary technology intangible asset. Such estimates used in valuation methodologies can include, but are not limited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forecasted revenue growth rates, royalty rates, technology migration rates and required rate of return. These estimates</w:t>
      </w:r>
    </w:p>
    <w:p>
      <w:pPr>
        <w:spacing w:after="0" w:line="3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are inherently uncertain and may be refined over the measurement period. Adjustments to the fair values of assets acquired and liabilities assumed may be recorded during the measurement period, which may be up to one year from the acquisition date, with the corresponding offset to goodwill.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ind w:right="80" w:firstLine="720"/>
        <w:spacing w:after="0" w:line="273" w:lineRule="auto"/>
        <w:rPr>
          <w:sz w:val="20"/>
          <w:szCs w:val="20"/>
          <w:color w:val="auto"/>
        </w:rPr>
      </w:pPr>
      <w:r>
        <w:rPr>
          <w:rFonts w:ascii="Times New Roman" w:cs="Times New Roman" w:eastAsia="Times New Roman" w:hAnsi="Times New Roman"/>
          <w:sz w:val="19"/>
          <w:szCs w:val="19"/>
          <w:color w:val="auto"/>
        </w:rPr>
        <w:t>Our primary liquidity needs are related to the funding of general business requirements, including working capital requirements, research and development, and capital expenditures. As of June 30, 2025, our principal sources of liquidity were $398.1 million of cash and cash equivalents. We maintain a credit agreement which provides for a $550.0 million revolving credit facility which may be increased up to $825.0 million. No amounts were drawn on the revolving credit</w:t>
      </w:r>
    </w:p>
    <w:p>
      <w:pPr>
        <w:spacing w:after="0" w:line="2" w:lineRule="exact"/>
        <w:rPr>
          <w:sz w:val="20"/>
          <w:szCs w:val="20"/>
          <w:color w:val="auto"/>
        </w:rPr>
      </w:pPr>
    </w:p>
    <w:p>
      <w:pPr>
        <w:ind w:right="160"/>
        <w:spacing w:after="0" w:line="316" w:lineRule="auto"/>
        <w:rPr>
          <w:sz w:val="20"/>
          <w:szCs w:val="20"/>
          <w:color w:val="auto"/>
        </w:rPr>
      </w:pPr>
      <w:r>
        <w:rPr>
          <w:rFonts w:ascii="Times New Roman" w:cs="Times New Roman" w:eastAsia="Times New Roman" w:hAnsi="Times New Roman"/>
          <w:sz w:val="19"/>
          <w:szCs w:val="19"/>
          <w:color w:val="auto"/>
        </w:rPr>
        <w:t>facility as of June 30, 2024. In September 2024, we borrowed $325.0 million under this credit facility to fund the October 2024 acquisition of Airbase Inc. We had $162.5 million in outstanding borrowings under this credit facility at June 30,</w:t>
      </w:r>
    </w:p>
    <w:p>
      <w:pPr>
        <w:spacing w:after="0" w:line="1"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20"/>
          <w:szCs w:val="20"/>
          <w:color w:val="auto"/>
        </w:rPr>
        <w:t>2025, as we repaid $162.5 million during the second half of fiscal 2025. Refer to Notes 7 and 12 of the Notes to the Consolidated Financial Statements included in Part II, Item 8: “Financial Statements and Supplementary Data” for additional details on the Airbase acquisition and credit agreement, respectively.</w:t>
      </w:r>
    </w:p>
    <w:p>
      <w:pPr>
        <w:spacing w:after="0" w:line="17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In April 2024, our board of directors authorized the repurchase of up to $500 million of our common stock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fiscal 2024, we repurchased an aggregate of 1.1 million shares for approximately $150.0 million at an average cost per share of $142.82 under the Repurchase Program. During fiscal 2025, we repurchased 0.8 million shares for approximately $149.6 million at an average cost per share of $190.16 under the Repurchase Program. In July 2025, our board of directors authorized an additional $500 million of our common stock for repurchase under the Repurchase Program. Refer to Notes 15 and 20 of the Notes to the Consolidated Financial Statements included in Part II, Item 8: “Financial Statements and Supplementary Data” for additional detail on our Repurchase Program.</w:t>
      </w:r>
    </w:p>
    <w:p>
      <w:pPr>
        <w:spacing w:after="0" w:line="206" w:lineRule="exact"/>
        <w:rPr>
          <w:sz w:val="20"/>
          <w:szCs w:val="20"/>
          <w:color w:val="auto"/>
        </w:rPr>
      </w:pPr>
    </w:p>
    <w:p>
      <w:pPr>
        <w:ind w:right="360" w:firstLine="720"/>
        <w:spacing w:after="0" w:line="310" w:lineRule="auto"/>
        <w:rPr>
          <w:sz w:val="20"/>
          <w:szCs w:val="20"/>
          <w:color w:val="auto"/>
        </w:rPr>
      </w:pPr>
      <w:r>
        <w:rPr>
          <w:rFonts w:ascii="Times New Roman" w:cs="Times New Roman" w:eastAsia="Times New Roman" w:hAnsi="Times New Roman"/>
          <w:sz w:val="19"/>
          <w:szCs w:val="19"/>
          <w:color w:val="auto"/>
        </w:rPr>
        <w:t>We may invest portions of our excess cash and cash equivalents in highly liquid, investment-grade marketable securities. These investments may consist of commercial paper, corporate debt issuances, asset-backed debt securities,</w:t>
      </w:r>
    </w:p>
    <w:p>
      <w:pPr>
        <w:sectPr>
          <w:pgSz w:w="11880" w:h="15481" w:orient="portrait"/>
          <w:cols w:equalWidth="0" w:num="1">
            <w:col w:w="9900"/>
          </w:cols>
          <w:pgMar w:left="1000" w:top="390" w:right="981" w:bottom="0" w:gutter="0" w:footer="0" w:header="0"/>
        </w:sect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p>
    <w:p>
      <w:pPr>
        <w:sectPr>
          <w:pgSz w:w="11880" w:h="15481" w:orient="portrait"/>
          <w:cols w:equalWidth="0" w:num="1">
            <w:col w:w="9900"/>
          </w:cols>
          <w:pgMar w:left="1000" w:top="390" w:right="981" w:bottom="0" w:gutter="0" w:footer="0" w:header="0"/>
          <w:type w:val="continuous"/>
        </w:sectPr>
      </w:pPr>
    </w:p>
    <w:bookmarkStart w:id="52" w:name="page53"/>
    <w:bookmarkEnd w:id="52"/>
    <w:p>
      <w:pPr>
        <w:ind w:right="200"/>
        <w:spacing w:after="0" w:line="266" w:lineRule="auto"/>
        <w:rPr>
          <w:sz w:val="20"/>
          <w:szCs w:val="20"/>
          <w:color w:val="auto"/>
        </w:rPr>
      </w:pPr>
      <w:r>
        <w:rPr>
          <w:rFonts w:ascii="Times New Roman" w:cs="Times New Roman" w:eastAsia="Times New Roman" w:hAnsi="Times New Roman"/>
          <w:sz w:val="20"/>
          <w:szCs w:val="20"/>
          <w:color w:val="auto"/>
        </w:rPr>
        <w:t>certificates of deposit, U.S. treasury securities, U.S. government agency securities and other securities with credit quality ratings of A-1 or higher and as well as in money market funds. As of June 30, 2025, we did not have any corporate investments classified as available-for-sale securities.</w:t>
      </w:r>
    </w:p>
    <w:p>
      <w:pPr>
        <w:spacing w:after="0" w:line="195"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25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HCM and payroll services via ACH transactions at the same time we debit the client’s account for payroll and payroll tax obligations and thus are able to reduce collectability and accounts receivable risks.</w:t>
      </w:r>
    </w:p>
    <w:p>
      <w:pPr>
        <w:spacing w:after="0" w:line="206"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20"/>
          <w:szCs w:val="20"/>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ectPr>
          <w:pgSz w:w="11880" w:h="15481" w:orient="portrait"/>
          <w:cols w:equalWidth="0" w:num="1">
            <w:col w:w="9860"/>
          </w:cols>
          <w:pgMar w:left="1000" w:top="398"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p>
    <w:p>
      <w:pPr>
        <w:sectPr>
          <w:pgSz w:w="11880" w:h="15481" w:orient="portrait"/>
          <w:cols w:equalWidth="0" w:num="1">
            <w:col w:w="9860"/>
          </w:cols>
          <w:pgMar w:left="1000" w:top="398" w:right="1021"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t>Cash Flows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data regarding cash flows for the periods indicated: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3"/>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2"/>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cash provided by operating activities </w:t>
            </w:r>
            <w:r>
              <w:rPr>
                <w:rFonts w:ascii="Times New Roman" w:cs="Times New Roman" w:eastAsia="Times New Roman" w:hAnsi="Times New Roman"/>
                <w:sz w:val="20"/>
                <w:szCs w:val="20"/>
                <w:color w:val="AAA6A1"/>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282,723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384,670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418,226</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flows from investing activities:</w:t>
            </w:r>
            <w:r>
              <w:rPr>
                <w:rFonts w:ascii="Times New Roman" w:cs="Times New Roman" w:eastAsia="Times New Roman" w:hAnsi="Times New Roman"/>
                <w:sz w:val="20"/>
                <w:szCs w:val="20"/>
                <w:color w:val="AAA6A1"/>
                <w:w w:val="99"/>
              </w:rPr>
              <w:t>........................................................</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Purchases of available-for-sale securities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(598,895)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(304,465)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(260,997)</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Proceeds from sales and maturities of available-for-sale securities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294,438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160,067</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Capitalized internal-use software costs</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(60,726)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(62,402)</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Purchases of property and equipment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(13,073)</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Acquisitions of businesses, net of cash acquired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(277,851)</w:t>
            </w: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investing activities </w:t>
            </w:r>
            <w:r>
              <w:rPr>
                <w:rFonts w:ascii="Times New Roman" w:cs="Times New Roman" w:eastAsia="Times New Roman" w:hAnsi="Times New Roman"/>
                <w:sz w:val="20"/>
                <w:szCs w:val="20"/>
                <w:color w:val="AAA6A1"/>
              </w:rPr>
              <w: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(1,292)</w:t>
            </w: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cash used in investing activities</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(101,891)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(455,548)</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Cash flows from financing activities: </w:t>
            </w:r>
            <w:r>
              <w:rPr>
                <w:rFonts w:ascii="Times New Roman" w:cs="Times New Roman" w:eastAsia="Times New Roman" w:hAnsi="Times New Roman"/>
                <w:sz w:val="20"/>
                <w:szCs w:val="20"/>
                <w:color w:val="AAA6A1"/>
                <w:w w:val="99"/>
              </w:rPr>
              <w:t>.......................................................</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change in client fund obligations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(1,362,421)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(297,923)</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Borrowings under credit facility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325,000</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credit facility</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(162,500)</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Repurchases of common shares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(149,638)</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Proceeds from employee stock purchase plan </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19,143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19,682</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Taxes paid related to net share settlement of equity awards</w:t>
            </w:r>
            <w:r>
              <w:rPr>
                <w:rFonts w:ascii="Times New Roman" w:cs="Times New Roman" w:eastAsia="Times New Roman" w:hAnsi="Times New Roman"/>
                <w:sz w:val="20"/>
                <w:szCs w:val="20"/>
                <w:color w:val="AAA6A1"/>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(52,549)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(60,034)</w:t>
            </w: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financing activities</w:t>
            </w:r>
            <w:r>
              <w:rPr>
                <w:rFonts w:ascii="Times New Roman" w:cs="Times New Roman" w:eastAsia="Times New Roman" w:hAnsi="Times New Roman"/>
                <w:sz w:val="20"/>
                <w:szCs w:val="20"/>
                <w:color w:val="AAA6A1"/>
              </w:rPr>
              <w: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w:t>
            </w:r>
          </w:p>
        </w:tc>
      </w:tr>
      <w:tr>
        <w:trPr>
          <w:trHeight w:val="28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cash provided by (used in) financing activities </w:t>
            </w:r>
            <w:r>
              <w:rPr>
                <w:rFonts w:ascii="Times New Roman" w:cs="Times New Roman" w:eastAsia="Times New Roman" w:hAnsi="Times New Roman"/>
                <w:sz w:val="20"/>
                <w:szCs w:val="20"/>
                <w:color w:val="AAA6A1"/>
              </w:rPr>
              <w: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(1,434,702)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141,578</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(325,821)</w:t>
            </w:r>
          </w:p>
        </w:tc>
      </w:tr>
      <w:tr>
        <w:trPr>
          <w:trHeight w:val="241"/>
        </w:trPr>
        <w:tc>
          <w:tcPr>
            <w:tcW w:w="58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9"/>
              </w:rPr>
              <w:t>Net change in cash, cash equivalents and funds held for clients' cash</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44"/>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and cash equivalents</w:t>
            </w:r>
            <w:r>
              <w:rPr>
                <w:rFonts w:ascii="Times New Roman" w:cs="Times New Roman" w:eastAsia="Times New Roman" w:hAnsi="Times New Roman"/>
                <w:sz w:val="20"/>
                <w:szCs w:val="20"/>
                <w:color w:val="AAA6A1"/>
                <w:w w:val="99"/>
              </w:rPr>
              <w:t>..................................................................................</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(1,372,141)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424,357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(363,143)</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53" w:lineRule="exact"/>
        <w:rPr>
          <w:sz w:val="20"/>
          <w:szCs w:val="20"/>
          <w:color w:val="auto"/>
        </w:rPr>
      </w:pPr>
    </w:p>
    <w:p>
      <w:pPr>
        <w:ind w:right="440" w:firstLine="720"/>
        <w:spacing w:after="0" w:line="283" w:lineRule="auto"/>
        <w:rPr>
          <w:sz w:val="20"/>
          <w:szCs w:val="20"/>
          <w:color w:val="auto"/>
        </w:rPr>
      </w:pPr>
      <w:r>
        <w:rPr>
          <w:rFonts w:ascii="Times New Roman" w:cs="Times New Roman" w:eastAsia="Times New Roman" w:hAnsi="Times New Roman"/>
          <w:sz w:val="20"/>
          <w:szCs w:val="20"/>
          <w:color w:val="auto"/>
        </w:rPr>
        <w:t>Net cash provided by operating activities was $282.7 million, $384.7 million and $418.2 million for the years ended June 30, 2023, 2024 and 2025, respectively.</w:t>
      </w:r>
    </w:p>
    <w:p>
      <w:pPr>
        <w:spacing w:after="0" w:line="178" w:lineRule="exact"/>
        <w:rPr>
          <w:sz w:val="20"/>
          <w:szCs w:val="20"/>
          <w:color w:val="auto"/>
        </w:rPr>
      </w:pPr>
    </w:p>
    <w:p>
      <w:pPr>
        <w:ind w:right="280" w:firstLine="720"/>
        <w:spacing w:after="0" w:line="261" w:lineRule="auto"/>
        <w:rPr>
          <w:sz w:val="20"/>
          <w:szCs w:val="20"/>
          <w:color w:val="auto"/>
        </w:rPr>
      </w:pPr>
      <w:r>
        <w:rPr>
          <w:rFonts w:ascii="Times New Roman" w:cs="Times New Roman" w:eastAsia="Times New Roman" w:hAnsi="Times New Roman"/>
          <w:sz w:val="20"/>
          <w:szCs w:val="20"/>
          <w:color w:val="auto"/>
        </w:rPr>
        <w:t>The change in net cash provided by operating activities from fiscal 2024 to fiscal 2025 was primarily due to improved operating results after adjusting for non-cash items including stock-based compensation expense, depreciation and amortization expense and deferred income tax expense during the year ended June 30, 2025 as compared to the year ended June 30, 2024.</w:t>
      </w:r>
    </w:p>
    <w:p>
      <w:pPr>
        <w:spacing w:after="0" w:line="200" w:lineRule="exact"/>
        <w:rPr>
          <w:sz w:val="20"/>
          <w:szCs w:val="20"/>
          <w:color w:val="auto"/>
        </w:rPr>
      </w:pP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53" w:lineRule="exact"/>
        <w:rPr>
          <w:sz w:val="20"/>
          <w:szCs w:val="20"/>
          <w:color w:val="auto"/>
        </w:rPr>
      </w:pPr>
    </w:p>
    <w:p>
      <w:pPr>
        <w:ind w:right="120" w:firstLine="720"/>
        <w:spacing w:after="0" w:line="257" w:lineRule="auto"/>
        <w:rPr>
          <w:sz w:val="20"/>
          <w:szCs w:val="20"/>
          <w:color w:val="auto"/>
        </w:rPr>
      </w:pPr>
      <w:r>
        <w:rPr>
          <w:rFonts w:ascii="Times New Roman" w:cs="Times New Roman" w:eastAsia="Times New Roman" w:hAnsi="Times New Roman"/>
          <w:sz w:val="20"/>
          <w:szCs w:val="20"/>
          <w:color w:val="auto"/>
        </w:rPr>
        <w:t>Net cash used in investing activities was $220.2 million, $101.9 million and $455.5 million, for the years ended June 30, 2023, 2024 and 2025, respectively. Net cash used in investing activities is significantly impacted by the timing of purchases and sales and maturities of investments as we may invest a portion of our excess cash and cash equivalents and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202"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change in net cash used in investing activities from fiscal 2024 to fiscal 2025 was primarily due to $265.8 million in additional amounts paid for acquisitions, net of cash acquired, associated with the fiscal 2025 acquisition of Airbase. It was also attributable to $134.4 million in less proceeds from sales and maturities of available-for-sale securities, partially offset by $43.5 million in less purchases of available-for-sale securities as compared to the year ended June 30, 2024.</w:t>
      </w:r>
    </w:p>
    <w:p>
      <w:pPr>
        <w:sectPr>
          <w:pgSz w:w="11880" w:h="15481" w:orient="portrait"/>
          <w:cols w:equalWidth="0" w:num="1">
            <w:col w:w="9900"/>
          </w:cols>
          <w:pgMar w:left="1000" w:top="39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1" w:right="981" w:bottom="0" w:gutter="0" w:footer="0" w:header="0"/>
          <w:type w:val="continuous"/>
        </w:sectPr>
      </w:pPr>
    </w:p>
    <w:bookmarkStart w:id="54" w:name="page55"/>
    <w:bookmarkEnd w:id="54"/>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53" w:lineRule="exact"/>
        <w:rPr>
          <w:sz w:val="20"/>
          <w:szCs w:val="20"/>
          <w:color w:val="auto"/>
        </w:rPr>
      </w:pPr>
    </w:p>
    <w:p>
      <w:pPr>
        <w:ind w:firstLine="720"/>
        <w:spacing w:after="0" w:line="271" w:lineRule="auto"/>
        <w:rPr>
          <w:sz w:val="20"/>
          <w:szCs w:val="20"/>
          <w:color w:val="auto"/>
        </w:rPr>
      </w:pPr>
      <w:r>
        <w:rPr>
          <w:rFonts w:ascii="Times New Roman" w:cs="Times New Roman" w:eastAsia="Times New Roman" w:hAnsi="Times New Roman"/>
          <w:sz w:val="19"/>
          <w:szCs w:val="19"/>
          <w:color w:val="auto"/>
        </w:rPr>
        <w:t>Net cash provided by (used in) financing activities was $(1,434.7) million, $141.6 million and $(325.8) million for the years ended June 30, 2023, 2024 and 2025, respectively. The change in net cash provided by (used in) financing activities from fiscal 2024 to fiscal 2025 was primarily due to the change in client fund obligations of $623.0 million due to the timing of client funds collected and related remittance of those funds to client employees, taxing and other regulatory authorities and vendors during the year ended June 30, 2025 as compared to the year ended June 30, 2024. The change in client fund obligations was offset by $162.5 million in net borrowings on our credit facility as we borrowed $325.0 million in September 2024 to acquire Airbase of which we repaid $162.5 million during the year ended June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257" w:lineRule="exact"/>
        <w:rPr>
          <w:sz w:val="20"/>
          <w:szCs w:val="20"/>
          <w:color w:val="auto"/>
        </w:rPr>
      </w:pPr>
    </w:p>
    <w:p>
      <w:pPr>
        <w:ind w:right="20" w:firstLine="720"/>
        <w:spacing w:after="0" w:line="273" w:lineRule="auto"/>
        <w:rPr>
          <w:sz w:val="20"/>
          <w:szCs w:val="20"/>
          <w:color w:val="auto"/>
        </w:rPr>
      </w:pPr>
      <w:r>
        <w:rPr>
          <w:rFonts w:ascii="Times New Roman" w:cs="Times New Roman" w:eastAsia="Times New Roman" w:hAnsi="Times New Roman"/>
          <w:sz w:val="19"/>
          <w:szCs w:val="19"/>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$21.9 million, $18.0 million and $13.1 million for the years ended June 30, 2023, 2024 and 2025, respectively, exclusive of capitalized internal-use software costs of $45.0 million, $60.7 million, and $62.4 million for the same periods,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305"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20"/>
          <w:szCs w:val="20"/>
          <w:color w:val="auto"/>
        </w:rPr>
        <w:t>At June 30, 2025, our principal commitments consist of $162.5 million in borrowings on our revolving credit facility, which is contractually not due in the next twelve months, and related interest payments, as well as $64.6 million in operating lease obligations, of which $11.0 million is due in the next twelve months. Refer to Note 13 of the Notes to the Consolidated Financial Statements included in Part II, Item 8: “Financial Statements and Supplementary Data” for additional details on our lease activity. We also have $95.5 million in purchase obligations, of which $57.6 million is due in the next twelve months.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257" w:lineRule="exact"/>
        <w:rPr>
          <w:sz w:val="20"/>
          <w:szCs w:val="20"/>
          <w:color w:val="auto"/>
        </w:rPr>
      </w:pPr>
    </w:p>
    <w:p>
      <w:pPr>
        <w:ind w:right="540" w:firstLine="720"/>
        <w:spacing w:after="0" w:line="283" w:lineRule="auto"/>
        <w:rPr>
          <w:sz w:val="20"/>
          <w:szCs w:val="20"/>
          <w:color w:val="auto"/>
        </w:rPr>
      </w:pPr>
      <w:r>
        <w:rPr>
          <w:rFonts w:ascii="Times New Roman" w:cs="Times New Roman" w:eastAsia="Times New Roman" w:hAnsi="Times New Roman"/>
          <w:sz w:val="20"/>
          <w:szCs w:val="20"/>
          <w:color w:val="auto"/>
        </w:rPr>
        <w:t>Refer to Note 2 of the Notes to the Consolidated Financial Statements included in Part II, Item 8: “Financial Statements and Supplementary Data” for a discussion of recently issued accounting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20"/>
          <w:szCs w:val="20"/>
          <w:color w:val="auto"/>
        </w:rPr>
        <w:t>Substantially all of our operations take place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57"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As of June 30, 2025, we had cash and cash equivalents of $398.1 million and funds held for clients of $2,704.1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money market funds, commercial paper, corporate debt issuances, asset-backed debt securities, U.S. treasury securities, and other securities.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210"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credit impairment losses on our portfolio to date.</w:t>
      </w:r>
    </w:p>
    <w:p>
      <w:pPr>
        <w:sectPr>
          <w:pgSz w:w="11880" w:h="15481" w:orient="portrait"/>
          <w:cols w:equalWidth="0" w:num="1">
            <w:col w:w="9880"/>
          </w:cols>
          <w:pgMar w:left="1000" w:top="395"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p>
    <w:p>
      <w:pPr>
        <w:sectPr>
          <w:pgSz w:w="11880" w:h="15481" w:orient="portrait"/>
          <w:cols w:equalWidth="0" w:num="1">
            <w:col w:w="9880"/>
          </w:cols>
          <w:pgMar w:left="1000" w:top="395" w:right="1001" w:bottom="0" w:gutter="0" w:footer="0" w:header="0"/>
          <w:type w:val="continuous"/>
        </w:sectPr>
      </w:pPr>
    </w:p>
    <w:bookmarkStart w:id="55" w:name="page56"/>
    <w:bookmarkEnd w:id="55"/>
    <w:p>
      <w:pPr>
        <w:ind w:firstLine="770"/>
        <w:spacing w:after="0" w:line="257" w:lineRule="auto"/>
        <w:rPr>
          <w:sz w:val="20"/>
          <w:szCs w:val="20"/>
          <w:color w:val="auto"/>
        </w:rPr>
      </w:pPr>
      <w:r>
        <w:rPr>
          <w:rFonts w:ascii="Times New Roman" w:cs="Times New Roman" w:eastAsia="Times New Roman" w:hAnsi="Times New Roman"/>
          <w:sz w:val="20"/>
          <w:szCs w:val="20"/>
          <w:color w:val="auto"/>
        </w:rPr>
        <w:t>Based upon a sensitivity model that measures market value changes caused by interest rate fluctuations, an immediate 100-basis point increase in interest rates would have resulted in a decrease in the market value of our available-for-sale securities by $12.0 million as of June 30, 2025. An immediate 100-basis point decrease in interest rates would have resulted in an increase in the market value of our available-for-sale securities by $12.0 million as of June 30, 2025. Fluctuations in the value of our available-for-sale securities caused by changes in interest rates are recorded in other comprehensive income and are only realized if we sell the underlying securities.</w:t>
      </w:r>
    </w:p>
    <w:p>
      <w:pPr>
        <w:spacing w:after="0" w:line="202" w:lineRule="exact"/>
        <w:rPr>
          <w:sz w:val="20"/>
          <w:szCs w:val="20"/>
          <w:color w:val="auto"/>
        </w:rPr>
      </w:pPr>
    </w:p>
    <w:p>
      <w:pPr>
        <w:ind w:right="20" w:firstLine="720"/>
        <w:spacing w:after="0" w:line="271" w:lineRule="auto"/>
        <w:rPr>
          <w:sz w:val="20"/>
          <w:szCs w:val="20"/>
          <w:color w:val="auto"/>
        </w:rPr>
      </w:pPr>
      <w:r>
        <w:rPr>
          <w:rFonts w:ascii="Times New Roman" w:cs="Times New Roman" w:eastAsia="Times New Roman" w:hAnsi="Times New Roman"/>
          <w:sz w:val="19"/>
          <w:szCs w:val="19"/>
          <w:color w:val="auto"/>
        </w:rPr>
        <w:t>Additionally, as described in Note 12 of the Notes to the Consolidated Financial Statements included in Part II, Item 8: “Financial Statements and Supplementary Data”, we entered into a first amendment to our credit agreement that provides for a revolving credit facility (“credit facility”) in the aggregate amount of $550.0 million, which may be increased up to $825.0 million. Borrowings under the credit facility generally bear interest at a rate based upon the Term Secured Overnight Financing Rate (“SOFR”) plus the SOFR Adjustment or an adjusted base rate plus an applicable margin</w:t>
      </w:r>
    </w:p>
    <w:p>
      <w:pPr>
        <w:spacing w:after="0" w:line="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color w:val="auto"/>
        </w:rPr>
        <w:t>based on our then-applicable net total leverage ratio. As of June 30, 2025, we had $162.5 million in borrowings outstanding under our credit facility. Because interest rates applicable to the credit facility are variable, we are exposed to market risk from changes in the underlying index rates, which affects our interest expense. A hypothetical change of 100 basis points in interest rates would not have had a significant impact on our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 Risk</w:t>
      </w:r>
    </w:p>
    <w:p>
      <w:pPr>
        <w:spacing w:after="0" w:line="257" w:lineRule="exact"/>
        <w:rPr>
          <w:sz w:val="20"/>
          <w:szCs w:val="20"/>
          <w:color w:val="auto"/>
        </w:rPr>
      </w:pPr>
    </w:p>
    <w:p>
      <w:pPr>
        <w:ind w:right="280" w:firstLine="720"/>
        <w:spacing w:after="0" w:line="261" w:lineRule="auto"/>
        <w:rPr>
          <w:sz w:val="20"/>
          <w:szCs w:val="20"/>
          <w:color w:val="auto"/>
        </w:rPr>
      </w:pPr>
      <w:r>
        <w:rPr>
          <w:rFonts w:ascii="Times New Roman" w:cs="Times New Roman" w:eastAsia="Times New Roman" w:hAnsi="Times New Roman"/>
          <w:sz w:val="20"/>
          <w:szCs w:val="2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7" w:lineRule="exact"/>
        <w:rPr>
          <w:sz w:val="20"/>
          <w:szCs w:val="20"/>
          <w:color w:val="auto"/>
        </w:rPr>
      </w:pPr>
    </w:p>
    <w:p>
      <w:pPr>
        <w:ind w:right="340" w:firstLine="720"/>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consolidated financial statements and accompanying notes set forth starting on page F-1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258"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10"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has evaluated the effectiveness of our disclosure controls and procedures as of June 30, 2025, the end of the period covered by this Annual Report on Form 10-K. Based upon such evaluation, our Chief Executive Officer and Chief Financial Officer have concluded that our disclosure controls and procedures were effective as of such date.</w:t>
      </w:r>
    </w:p>
    <w:p>
      <w:pPr>
        <w:spacing w:after="0" w:line="191"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 and Attestation Report of the Registered Public Accounting Firm</w:t>
      </w:r>
    </w:p>
    <w:p>
      <w:pPr>
        <w:spacing w:after="0" w:line="176"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19"/>
          <w:szCs w:val="19"/>
          <w:color w:val="auto"/>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56" w:name="page57"/>
    <w:bookmarkEnd w:id="56"/>
    <w:p>
      <w:pPr>
        <w:spacing w:after="0" w:line="257" w:lineRule="auto"/>
        <w:rPr>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02" w:lineRule="exact"/>
        <w:rPr>
          <w:sz w:val="20"/>
          <w:szCs w:val="20"/>
          <w:color w:val="auto"/>
        </w:rPr>
      </w:pPr>
    </w:p>
    <w:p>
      <w:pPr>
        <w:ind w:right="60" w:firstLine="720"/>
        <w:spacing w:after="0" w:line="257"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and Chief Financial Officer, we conducted an evaluation of the effectiveness of our internal control over financial reporting as of June 30, 2025, based on the framework in Internal Control—Integrated Framework issued by the Committee of Sponsoring Organizations of the Treadway Commission (COSO) (2013 framework). Based on this evaluation under the Internal Control—Integrated Framework, our Chief Executive Officer and Chief Financial Officer have concluded that our internal control over financial reporting was effective as of June 30, 2025.</w:t>
      </w:r>
    </w:p>
    <w:p>
      <w:pPr>
        <w:spacing w:after="0" w:line="202" w:lineRule="exact"/>
        <w:rPr>
          <w:sz w:val="20"/>
          <w:szCs w:val="20"/>
          <w:color w:val="auto"/>
        </w:rPr>
      </w:pPr>
    </w:p>
    <w:p>
      <w:pPr>
        <w:ind w:right="260" w:firstLine="720"/>
        <w:spacing w:after="0" w:line="261" w:lineRule="auto"/>
        <w:rPr>
          <w:sz w:val="20"/>
          <w:szCs w:val="20"/>
          <w:color w:val="auto"/>
        </w:rPr>
      </w:pPr>
      <w:r>
        <w:rPr>
          <w:rFonts w:ascii="Times New Roman" w:cs="Times New Roman" w:eastAsia="Times New Roman" w:hAnsi="Times New Roman"/>
          <w:sz w:val="20"/>
          <w:szCs w:val="20"/>
          <w:color w:val="auto"/>
        </w:rPr>
        <w:t>The Company acquired Airbase Inc. (“Airbase”) in October 2024. Management excluded Airbase from its assessment of the effectiveness of the Company’s internal control over financial reporting as of June 30, 2025. Airbase represented 9% of the Company’s Total assets and less than 2% of the Company’s Total revenues, as of and for the year ended June 30, 2025.</w:t>
      </w:r>
    </w:p>
    <w:p>
      <w:pPr>
        <w:spacing w:after="0" w:line="200"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20"/>
          <w:szCs w:val="20"/>
          <w:color w:val="auto"/>
        </w:rPr>
        <w:t>Our independent registered public accounting firm, which has audited our financial statements, has also audited the effectiveness of our internal control over financial reporting as of June 30, 2025, as stated in their report, which is included in Item 15(a)(1) of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58" w:lineRule="exact"/>
        <w:rPr>
          <w:sz w:val="20"/>
          <w:szCs w:val="20"/>
          <w:color w:val="auto"/>
        </w:rPr>
      </w:pPr>
    </w:p>
    <w:p>
      <w:pPr>
        <w:ind w:right="360" w:firstLine="720"/>
        <w:spacing w:after="0" w:line="26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fiscal quarter ended June 30, 2025,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on Controls</w:t>
      </w:r>
    </w:p>
    <w:p>
      <w:pPr>
        <w:spacing w:after="0" w:line="258"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1880" w:h="15481" w:orient="portrait"/>
          <w:cols w:equalWidth="0" w:num="1">
            <w:col w:w="9860"/>
          </w:cols>
          <w:pgMar w:left="1000" w:top="398" w:right="10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p>
    <w:p>
      <w:pPr>
        <w:sectPr>
          <w:pgSz w:w="11880" w:h="15481" w:orient="portrait"/>
          <w:cols w:equalWidth="0" w:num="1">
            <w:col w:w="9860"/>
          </w:cols>
          <w:pgMar w:left="1000" w:top="398" w:right="1021" w:bottom="0" w:gutter="0" w:footer="0" w:header="0"/>
          <w:type w:val="continuous"/>
        </w:sectPr>
      </w:pPr>
    </w:p>
    <w:bookmarkStart w:id="57" w:name="page58"/>
    <w:bookmarkEnd w:id="57"/>
    <w:p>
      <w:pPr>
        <w:ind w:left="45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Information required by Part III, Item 10, will be included in our Proxy Statement relating to our 2026 annual meeting of stockholders to be filed with the SEC within 120 days after the end of our fiscal year ended June 30, 2025,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Information required by Part III, Item 11, will be included in our Proxy Statement relating to our 2026 annual meeting of stockholders to be filed with the SEC within 120 days after the end of our fiscal year ended June 30, 2025,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57"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Information required by Part III, Item 12, will be included in our Proxy Statement relating to our 2026 annual meeting of stockholders to be filed with the SEC within 120 days after the end of our fiscal year ended June 30, 2025, and is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317"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Information required by Part III, Item 13, will be included in our Proxy Statement relating to our 2026 annual meeting of stockholders to be filed with the SEC within 120 days after the end of our fiscal year ended June 30, 2025,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independent registered public accounting firm is KPMG LLP, Chicago, IL, Audit Firm ID: 185.</w:t>
      </w:r>
    </w:p>
    <w:p>
      <w:pPr>
        <w:spacing w:after="0" w:line="25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Information required by Part III, Item 14, will be included in our Proxy Statement relating to our 2026 annual meeting of stockholders to be filed with the SEC within 120 days after the end of our fiscal year ended June 30, 2025, and is incorporated herein by reference.</w:t>
      </w:r>
    </w:p>
    <w:p>
      <w:pPr>
        <w:sectPr>
          <w:pgSz w:w="11880" w:h="15481" w:orient="portrait"/>
          <w:cols w:equalWidth="0" w:num="1">
            <w:col w:w="9760"/>
          </w:cols>
          <w:pgMar w:left="1000" w:top="391" w:right="11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p>
    <w:p>
      <w:pPr>
        <w:sectPr>
          <w:pgSz w:w="11880" w:h="15481" w:orient="portrait"/>
          <w:cols w:equalWidth="0" w:num="1">
            <w:col w:w="9760"/>
          </w:cols>
          <w:pgMar w:left="1000" w:top="391" w:right="1121" w:bottom="0" w:gutter="0" w:footer="0" w:header="0"/>
          <w:type w:val="continuous"/>
        </w:sectPr>
      </w:pPr>
    </w:p>
    <w:bookmarkStart w:id="58" w:name="page59"/>
    <w:bookmarkEnd w:id="58"/>
    <w:p>
      <w:pPr>
        <w:jc w:val="center"/>
        <w:ind w:left="93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7" w:lineRule="exact"/>
        <w:rPr>
          <w:sz w:val="20"/>
          <w:szCs w:val="20"/>
          <w:color w:val="auto"/>
        </w:rPr>
      </w:pPr>
    </w:p>
    <w:p>
      <w:pPr>
        <w:ind w:left="370" w:hanging="370"/>
        <w:spacing w:after="0"/>
        <w:tabs>
          <w:tab w:leader="none" w:pos="37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with Report</w:t>
      </w:r>
    </w:p>
    <w:p>
      <w:pPr>
        <w:spacing w:after="0" w:line="247"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Statements.</w:t>
      </w:r>
    </w:p>
    <w:p>
      <w:pPr>
        <w:spacing w:after="0" w:line="32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Report of Independent Registered Public Accounting Firm </w:t>
      </w:r>
      <w:r>
        <w:rPr>
          <w:rFonts w:ascii="Times New Roman" w:cs="Times New Roman" w:eastAsia="Times New Roman" w:hAnsi="Times New Roman"/>
          <w:sz w:val="19"/>
          <w:szCs w:val="19"/>
          <w:color w:val="AAA6A1"/>
        </w:rPr>
        <w:t>....................................................................................</w:t>
      </w:r>
    </w:p>
    <w:p>
      <w:pPr>
        <w:spacing w:after="0" w:line="15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Consolidated Balance Sheets as of June 30, 2024 and 2025</w:t>
      </w:r>
      <w:r>
        <w:rPr>
          <w:rFonts w:ascii="Times New Roman" w:cs="Times New Roman" w:eastAsia="Times New Roman" w:hAnsi="Times New Roman"/>
          <w:sz w:val="20"/>
          <w:szCs w:val="20"/>
          <w:color w:val="AAA6A1"/>
        </w:rPr>
        <w:t>....................................................................................</w:t>
      </w:r>
    </w:p>
    <w:p>
      <w:pPr>
        <w:spacing w:after="0" w:line="143"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Income for the years ended June 30, 2023, 2024</w:t>
      </w:r>
    </w:p>
    <w:p>
      <w:pPr>
        <w:ind w:left="190"/>
        <w:spacing w:after="0"/>
        <w:rPr>
          <w:sz w:val="20"/>
          <w:szCs w:val="20"/>
          <w:color w:val="auto"/>
        </w:rPr>
      </w:pPr>
      <w:r>
        <w:rPr>
          <w:rFonts w:ascii="Times New Roman" w:cs="Times New Roman" w:eastAsia="Times New Roman" w:hAnsi="Times New Roman"/>
          <w:sz w:val="19"/>
          <w:szCs w:val="19"/>
          <w:color w:val="auto"/>
        </w:rPr>
        <w:t xml:space="preserve">and 2025 </w:t>
      </w:r>
      <w:r>
        <w:rPr>
          <w:rFonts w:ascii="Times New Roman" w:cs="Times New Roman" w:eastAsia="Times New Roman" w:hAnsi="Times New Roman"/>
          <w:sz w:val="19"/>
          <w:szCs w:val="19"/>
          <w:color w:val="AAA6A1"/>
        </w:rPr>
        <w:t>................................................................................................................................................................</w:t>
      </w:r>
    </w:p>
    <w:p>
      <w:pPr>
        <w:spacing w:after="0" w:line="15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 for the years ended June 30, 2023, 2024 and</w:t>
      </w:r>
    </w:p>
    <w:p>
      <w:pPr>
        <w:ind w:left="190"/>
        <w:spacing w:after="0"/>
        <w:rPr>
          <w:sz w:val="20"/>
          <w:szCs w:val="20"/>
          <w:color w:val="auto"/>
        </w:rPr>
      </w:pPr>
      <w:r>
        <w:rPr>
          <w:rFonts w:ascii="Times New Roman" w:cs="Times New Roman" w:eastAsia="Times New Roman" w:hAnsi="Times New Roman"/>
          <w:sz w:val="20"/>
          <w:szCs w:val="20"/>
          <w:color w:val="auto"/>
        </w:rPr>
        <w:t>2025</w:t>
      </w:r>
      <w:r>
        <w:rPr>
          <w:rFonts w:ascii="Times New Roman" w:cs="Times New Roman" w:eastAsia="Times New Roman" w:hAnsi="Times New Roman"/>
          <w:sz w:val="20"/>
          <w:szCs w:val="20"/>
          <w:color w:val="AAA6A1"/>
        </w:rPr>
        <w:t>.......................................................................................................................................................................</w:t>
      </w:r>
    </w:p>
    <w:p>
      <w:pPr>
        <w:spacing w:after="0" w:line="14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Consolidated Statements of Cash Flows for the years ended June 30, 2023, 2024 and 2025 </w:t>
      </w:r>
      <w:r>
        <w:rPr>
          <w:rFonts w:ascii="Times New Roman" w:cs="Times New Roman" w:eastAsia="Times New Roman" w:hAnsi="Times New Roman"/>
          <w:sz w:val="19"/>
          <w:szCs w:val="19"/>
          <w:color w:val="AAA6A1"/>
        </w:rPr>
        <w:t>.................................</w:t>
      </w:r>
    </w:p>
    <w:p>
      <w:pPr>
        <w:spacing w:after="0" w:line="15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Notes to the Consolidated Financial Statements</w:t>
      </w:r>
      <w:r>
        <w:rPr>
          <w:rFonts w:ascii="Times New Roman" w:cs="Times New Roman" w:eastAsia="Times New Roman" w:hAnsi="Times New Roman"/>
          <w:sz w:val="20"/>
          <w:szCs w:val="20"/>
          <w:color w:val="AAA6A1"/>
        </w:rPr>
        <w:t>......................................................................................................</w:t>
      </w:r>
    </w:p>
    <w:p>
      <w:pPr>
        <w:spacing w:after="0" w:line="332" w:lineRule="exact"/>
        <w:rPr>
          <w:sz w:val="20"/>
          <w:szCs w:val="20"/>
          <w:color w:val="auto"/>
        </w:rPr>
      </w:pPr>
    </w:p>
    <w:p>
      <w:pPr>
        <w:ind w:left="730" w:hanging="370"/>
        <w:spacing w:after="0"/>
        <w:tabs>
          <w:tab w:leader="none" w:pos="73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Exhibits.</w:t>
      </w:r>
    </w:p>
    <w:p>
      <w:pPr>
        <w:spacing w:after="0" w:line="253"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The information required by this Item is set forth on the Exhibit Index immediately following this page.</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F-2</w:t>
      </w:r>
    </w:p>
    <w:p>
      <w:pPr>
        <w:spacing w:after="0" w:line="20" w:lineRule="exact"/>
        <w:rPr>
          <w:sz w:val="20"/>
          <w:szCs w:val="20"/>
          <w:color w:val="auto"/>
        </w:r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F-5</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F-6</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F-9</w:t>
      </w:r>
    </w:p>
    <w:p>
      <w:pPr>
        <w:spacing w:after="0" w:line="2191" w:lineRule="exact"/>
        <w:rPr>
          <w:sz w:val="20"/>
          <w:szCs w:val="20"/>
          <w:color w:val="auto"/>
        </w:rPr>
      </w:pPr>
    </w:p>
    <w:p>
      <w:pPr>
        <w:sectPr>
          <w:pgSz w:w="11880" w:h="15481" w:orient="portrait"/>
          <w:cols w:equalWidth="0" w:num="2">
            <w:col w:w="8970" w:space="580"/>
            <w:col w:w="280"/>
          </w:cols>
          <w:pgMar w:left="990" w:top="391" w:right="10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p>
    <w:p>
      <w:pPr>
        <w:sectPr>
          <w:pgSz w:w="11880" w:h="15481" w:orient="portrait"/>
          <w:cols w:equalWidth="0" w:num="1">
            <w:col w:w="9830"/>
          </w:cols>
          <w:pgMar w:left="990" w:top="391" w:right="1061" w:bottom="0" w:gutter="0" w:footer="0" w:header="0"/>
          <w:type w:val="continuous"/>
        </w:sectPr>
      </w:pPr>
    </w:p>
    <w:bookmarkStart w:id="59" w:name="page60"/>
    <w:bookmarkEnd w:id="59"/>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t>EXHIBIT INDEX</w:t>
      </w:r>
    </w:p>
    <w:p>
      <w:pPr>
        <w:sectPr>
          <w:pgSz w:w="11880" w:h="15481" w:orient="portrait"/>
          <w:cols w:equalWidth="0" w:num="1">
            <w:col w:w="9860"/>
          </w:cols>
          <w:pgMar w:left="1040" w:top="391" w:right="981"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63817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1">
                      <a:extLst>
                        <a:ext uri="{28A0092B-C50C-407E-A947-70E740481C1C}"/>
                      </a:extLst>
                    </a:blip>
                    <a:srcRect/>
                    <a:stretch>
                      <a:fillRect/>
                    </a:stretch>
                  </pic:blipFill>
                  <pic:spPr bwMode="auto">
                    <a:xfrm>
                      <a:off x="0" y="0"/>
                      <a:ext cx="638175" cy="1270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10.2.2†</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10.3.7†</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r>
        <w:rPr>
          <w:rFonts w:ascii="Times New Roman" w:cs="Times New Roman" w:eastAsia="Times New Roman" w:hAnsi="Times New Roman"/>
          <w:sz w:val="13"/>
          <w:szCs w:val="13"/>
          <w:color w:val="auto"/>
        </w:rPr>
        <w: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22225</wp:posOffset>
            </wp:positionV>
            <wp:extent cx="254317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2">
                      <a:extLst>
                        <a:ext uri="{28A0092B-C50C-407E-A947-70E740481C1C}"/>
                      </a:extLst>
                    </a:blip>
                    <a:srcRect/>
                    <a:stretch>
                      <a:fillRect/>
                    </a:stretch>
                  </pic:blipFill>
                  <pic:spPr bwMode="auto">
                    <a:xfrm>
                      <a:off x="0" y="0"/>
                      <a:ext cx="2543175" cy="1270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Amended and Restated Certificate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Incorporation of the Registrant. </w:t>
      </w:r>
      <w:r>
        <w:rPr>
          <w:rFonts w:ascii="Times New Roman" w:cs="Times New Roman" w:eastAsia="Times New Roman" w:hAnsi="Times New Roman"/>
          <w:sz w:val="19"/>
          <w:szCs w:val="19"/>
          <w:color w:val="AAA6A1"/>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Amended and Restated By-Laws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Registrant. </w:t>
      </w:r>
      <w:r>
        <w:rPr>
          <w:rFonts w:ascii="Times New Roman" w:cs="Times New Roman" w:eastAsia="Times New Roman" w:hAnsi="Times New Roman"/>
          <w:sz w:val="19"/>
          <w:szCs w:val="19"/>
          <w:color w:val="AAA6A1"/>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Amended and Restated Investor Rights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dated June 29, 2012.</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Description of Securities.</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Indemnification Agreement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and officers.</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 Equity Incentive Plan and forms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thereunder.</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color w:val="auto"/>
        </w:rPr>
        <w:t>Form of Market Stock Units Notice of Grant and Award Agreement under the 2014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Incentive Plan.</w:t>
      </w:r>
      <w:r>
        <w:rPr>
          <w:rFonts w:ascii="Times New Roman" w:cs="Times New Roman" w:eastAsia="Times New Roman" w:hAnsi="Times New Roman"/>
          <w:sz w:val="19"/>
          <w:szCs w:val="19"/>
          <w:color w:val="AAA6A1"/>
        </w:rPr>
        <w:t>......................................................</w:t>
      </w:r>
    </w:p>
    <w:p>
      <w:pPr>
        <w:spacing w:after="0" w:line="14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Form of Executive Restricted Stock Unit Notice of Grant and Award Agreement under 2014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Incentive Plan.</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 Equity Incentive Plan.</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U.S. Executive Restricted Stock Unit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of Grant and Award Agreement under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 Equity Incentive Plan.</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Market Stock Unit Notice of Grant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 Agreement under 2023 Equity Incentive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Plan. </w:t>
      </w:r>
      <w:r>
        <w:rPr>
          <w:rFonts w:ascii="Times New Roman" w:cs="Times New Roman" w:eastAsia="Times New Roman" w:hAnsi="Times New Roman"/>
          <w:sz w:val="19"/>
          <w:szCs w:val="19"/>
          <w:color w:val="AAA6A1"/>
        </w:rPr>
        <w:t>.....................................................................</w:t>
      </w:r>
    </w:p>
    <w:p>
      <w:pPr>
        <w:spacing w:after="0" w:line="14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Form of Restricted Stock Unit Notice of Grant and Award Agreement (For California Participants Executive and Board) under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Incentive Plan.</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Form of Performance Stock Unit Notice of Grant and Award Agreement under 2023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Incentive Plan.</w:t>
      </w:r>
      <w:r>
        <w:rPr>
          <w:rFonts w:ascii="Times New Roman" w:cs="Times New Roman" w:eastAsia="Times New Roman" w:hAnsi="Times New Roman"/>
          <w:sz w:val="19"/>
          <w:szCs w:val="19"/>
          <w:color w:val="AAA6A1"/>
        </w:rPr>
        <w:t>......................................................</w:t>
      </w:r>
    </w:p>
    <w:p>
      <w:pPr>
        <w:spacing w:after="0" w:line="14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Form of Performance Stock Unit Notice of Grant and Award Agreement (California)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 Equity Incentive Plan.</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Market Stock Unit Notice of Grant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 Agreement under 2023 Equity Incentive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Plan. </w:t>
      </w:r>
      <w:r>
        <w:rPr>
          <w:rFonts w:ascii="Times New Roman" w:cs="Times New Roman" w:eastAsia="Times New Roman" w:hAnsi="Times New Roman"/>
          <w:sz w:val="19"/>
          <w:szCs w:val="19"/>
          <w:color w:val="AAA6A1"/>
        </w:rPr>
        <w:t>.....................................................................</w:t>
      </w:r>
    </w:p>
    <w:p>
      <w:pPr>
        <w:spacing w:after="0" w:line="14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Form of Market Stock Unit Notice of Grant and Award Agreement (California) under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Equity Incentive Plan.</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 Employee Stock Purchase Plan.</w:t>
      </w:r>
      <w:r>
        <w:rPr>
          <w:rFonts w:ascii="Times New Roman" w:cs="Times New Roman" w:eastAsia="Times New Roman" w:hAnsi="Times New Roman"/>
          <w:sz w:val="20"/>
          <w:szCs w:val="20"/>
          <w:color w:val="AAA6A1"/>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Second Amendment to Executive Employment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between Paylocity Corporation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Steven R. Beauchamp, dated August 5, 2024.</w:t>
      </w:r>
      <w:r>
        <w:rPr>
          <w:rFonts w:ascii="Times New Roman" w:cs="Times New Roman" w:eastAsia="Times New Roman" w:hAnsi="Times New Roman"/>
          <w:sz w:val="20"/>
          <w:szCs w:val="20"/>
          <w:color w:val="AAA6A1"/>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Borders>
              <w:top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Borders>
              <w:top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Borders>
              <w:top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9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4, 2023</w:t>
            </w:r>
          </w:p>
        </w:tc>
      </w:tr>
      <w:tr>
        <w:trPr>
          <w:trHeight w:val="60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4, 2023</w:t>
            </w:r>
          </w:p>
        </w:tc>
      </w:tr>
      <w:tr>
        <w:trPr>
          <w:trHeight w:val="60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333-193661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30, 2014</w:t>
            </w:r>
          </w:p>
        </w:tc>
      </w:tr>
      <w:tr>
        <w:trPr>
          <w:trHeight w:val="48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 2024</w:t>
            </w:r>
          </w:p>
        </w:tc>
      </w:tr>
      <w:tr>
        <w:trPr>
          <w:trHeight w:val="48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333-193661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30, 2014</w:t>
            </w:r>
          </w:p>
        </w:tc>
      </w:tr>
      <w:tr>
        <w:trPr>
          <w:trHeight w:val="60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333-193661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14, 2014</w:t>
            </w:r>
          </w:p>
        </w:tc>
      </w:tr>
      <w:tr>
        <w:trPr>
          <w:trHeight w:val="72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18, 2020</w:t>
            </w:r>
          </w:p>
        </w:tc>
      </w:tr>
      <w:tr>
        <w:trPr>
          <w:trHeight w:val="8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May 6, 2022</w:t>
            </w:r>
          </w:p>
        </w:tc>
      </w:tr>
      <w:tr>
        <w:trPr>
          <w:trHeight w:val="60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4, 2023</w:t>
            </w:r>
          </w:p>
        </w:tc>
      </w:tr>
      <w:tr>
        <w:trPr>
          <w:trHeight w:val="60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4, 2023</w:t>
            </w:r>
          </w:p>
        </w:tc>
      </w:tr>
      <w:tr>
        <w:trPr>
          <w:trHeight w:val="8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4, 2023</w:t>
            </w:r>
          </w:p>
        </w:tc>
      </w:tr>
      <w:tr>
        <w:trPr>
          <w:trHeight w:val="96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2024</w:t>
            </w:r>
          </w:p>
        </w:tc>
      </w:tr>
      <w:tr>
        <w:trPr>
          <w:trHeight w:val="96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2024</w:t>
            </w:r>
          </w:p>
        </w:tc>
      </w:tr>
      <w:tr>
        <w:trPr>
          <w:trHeight w:val="8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2024</w:t>
            </w:r>
          </w:p>
        </w:tc>
      </w:tr>
      <w:tr>
        <w:trPr>
          <w:trHeight w:val="8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2024</w:t>
            </w:r>
          </w:p>
        </w:tc>
      </w:tr>
      <w:tr>
        <w:trPr>
          <w:trHeight w:val="8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2024</w:t>
            </w:r>
          </w:p>
        </w:tc>
      </w:tr>
      <w:tr>
        <w:trPr>
          <w:trHeight w:val="60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333-193661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14, 2014</w:t>
            </w:r>
          </w:p>
        </w:tc>
      </w:tr>
      <w:tr>
        <w:trPr>
          <w:trHeight w:val="63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2024</w:t>
            </w:r>
          </w:p>
        </w:tc>
      </w:tr>
    </w:tbl>
    <w:p>
      <w:pPr>
        <w:spacing w:after="0" w:line="439" w:lineRule="exact"/>
        <w:rPr>
          <w:sz w:val="20"/>
          <w:szCs w:val="20"/>
          <w:color w:val="auto"/>
        </w:rPr>
      </w:pPr>
    </w:p>
    <w:p>
      <w:pPr>
        <w:sectPr>
          <w:pgSz w:w="11880" w:h="15481" w:orient="portrait"/>
          <w:cols w:equalWidth="0" w:num="3">
            <w:col w:w="600" w:space="460"/>
            <w:col w:w="3900" w:space="120"/>
            <w:col w:w="4780"/>
          </w:cols>
          <w:pgMar w:left="1040" w:top="391" w:right="981" w:bottom="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222885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222885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60"/>
          </w:cols>
          <w:pgMar w:left="1040" w:top="391" w:right="981" w:bottom="0" w:gutter="0" w:footer="0" w:header="0"/>
          <w:type w:val="continuous"/>
        </w:sectPr>
      </w:pPr>
    </w:p>
    <w:bookmarkStart w:id="60" w:name="page61"/>
    <w:bookmarkEnd w:id="60"/>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9"/>
                <w:szCs w:val="19"/>
                <w:color w:val="auto"/>
              </w:rPr>
            </w:pPr>
          </w:p>
        </w:tc>
        <w:tc>
          <w:tcPr>
            <w:tcW w:w="40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to Executive Employment</w:t>
            </w:r>
          </w:p>
        </w:tc>
        <w:tc>
          <w:tcPr>
            <w:tcW w:w="0" w:type="dxa"/>
            <w:vAlign w:val="bottom"/>
          </w:tcPr>
          <w:p>
            <w:pPr>
              <w:spacing w:after="0"/>
              <w:rPr>
                <w:sz w:val="1"/>
                <w:szCs w:val="1"/>
                <w:color w:val="auto"/>
              </w:rPr>
            </w:pPr>
          </w:p>
        </w:tc>
      </w:tr>
      <w:tr>
        <w:trPr>
          <w:trHeight w:val="277"/>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Agreement between Paylocity Corporation and</w:t>
            </w:r>
          </w:p>
        </w:tc>
        <w:tc>
          <w:tcPr>
            <w:tcW w:w="0" w:type="dxa"/>
            <w:vAlign w:val="bottom"/>
          </w:tcPr>
          <w:p>
            <w:pPr>
              <w:spacing w:after="0"/>
              <w:rPr>
                <w:sz w:val="1"/>
                <w:szCs w:val="1"/>
                <w:color w:val="auto"/>
              </w:rPr>
            </w:pPr>
          </w:p>
        </w:tc>
      </w:tr>
      <w:tr>
        <w:trPr>
          <w:trHeight w:val="271"/>
        </w:trPr>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Toby J. Williams, dated August 5, 2024.</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5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Amended and Restated Executive Employment</w:t>
            </w:r>
          </w:p>
        </w:tc>
        <w:tc>
          <w:tcPr>
            <w:tcW w:w="0" w:type="dxa"/>
            <w:vAlign w:val="bottom"/>
          </w:tcPr>
          <w:p>
            <w:pPr>
              <w:spacing w:after="0"/>
              <w:rPr>
                <w:sz w:val="1"/>
                <w:szCs w:val="1"/>
                <w:color w:val="auto"/>
              </w:rPr>
            </w:pPr>
          </w:p>
        </w:tc>
      </w:tr>
      <w:tr>
        <w:trPr>
          <w:trHeight w:val="277"/>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Agreement between Paylocity Corporation and</w:t>
            </w:r>
          </w:p>
        </w:tc>
        <w:tc>
          <w:tcPr>
            <w:tcW w:w="0" w:type="dxa"/>
            <w:vAlign w:val="bottom"/>
          </w:tcPr>
          <w:p>
            <w:pPr>
              <w:spacing w:after="0"/>
              <w:rPr>
                <w:sz w:val="1"/>
                <w:szCs w:val="1"/>
                <w:color w:val="auto"/>
              </w:rPr>
            </w:pPr>
          </w:p>
        </w:tc>
      </w:tr>
      <w:tr>
        <w:trPr>
          <w:trHeight w:val="271"/>
        </w:trPr>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Ryan Glenn, dated March 11, 2022.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31"/>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Employment Agreement between</w:t>
            </w:r>
          </w:p>
        </w:tc>
        <w:tc>
          <w:tcPr>
            <w:tcW w:w="0" w:type="dxa"/>
            <w:vAlign w:val="bottom"/>
          </w:tcPr>
          <w:p>
            <w:pPr>
              <w:spacing w:after="0"/>
              <w:rPr>
                <w:sz w:val="1"/>
                <w:szCs w:val="1"/>
                <w:color w:val="auto"/>
              </w:rPr>
            </w:pPr>
          </w:p>
        </w:tc>
      </w:tr>
      <w:tr>
        <w:trPr>
          <w:trHeight w:val="24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10.8†</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Paylocity Corporation and Joshua Scutt, dated</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August 16, 2021.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39"/>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Employment Agreement between</w:t>
            </w:r>
          </w:p>
        </w:tc>
        <w:tc>
          <w:tcPr>
            <w:tcW w:w="0" w:type="dxa"/>
            <w:vAlign w:val="bottom"/>
          </w:tcPr>
          <w:p>
            <w:pPr>
              <w:spacing w:after="0"/>
              <w:rPr>
                <w:sz w:val="1"/>
                <w:szCs w:val="1"/>
                <w:color w:val="auto"/>
              </w:rPr>
            </w:pPr>
          </w:p>
        </w:tc>
      </w:tr>
      <w:tr>
        <w:trPr>
          <w:trHeight w:val="24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10.9†</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Paylocity Corporation and Andrew Cappotelli,</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dated May 13, 2024.</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39"/>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Employment Agreement between</w:t>
            </w:r>
          </w:p>
        </w:tc>
        <w:tc>
          <w:tcPr>
            <w:tcW w:w="0" w:type="dxa"/>
            <w:vAlign w:val="bottom"/>
          </w:tcPr>
          <w:p>
            <w:pPr>
              <w:spacing w:after="0"/>
              <w:rPr>
                <w:sz w:val="1"/>
                <w:szCs w:val="1"/>
                <w:color w:val="auto"/>
              </w:rPr>
            </w:pPr>
          </w:p>
        </w:tc>
      </w:tr>
      <w:tr>
        <w:trPr>
          <w:trHeight w:val="24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Paylocity Corporation and Melissa King, dated</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December 16, 2024.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39"/>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Multi-Tenant Office Lease Agreement, dated</w:t>
            </w:r>
          </w:p>
        </w:tc>
        <w:tc>
          <w:tcPr>
            <w:tcW w:w="0" w:type="dxa"/>
            <w:vAlign w:val="bottom"/>
          </w:tcPr>
          <w:p>
            <w:pPr>
              <w:spacing w:after="0"/>
              <w:rPr>
                <w:sz w:val="1"/>
                <w:szCs w:val="1"/>
                <w:color w:val="auto"/>
              </w:rPr>
            </w:pPr>
          </w:p>
        </w:tc>
      </w:tr>
      <w:tr>
        <w:trPr>
          <w:trHeight w:val="240"/>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1, 2016, by and between Paylocity</w:t>
            </w:r>
          </w:p>
        </w:tc>
        <w:tc>
          <w:tcPr>
            <w:tcW w:w="0" w:type="dxa"/>
            <w:vAlign w:val="bottom"/>
          </w:tcPr>
          <w:p>
            <w:pPr>
              <w:spacing w:after="0"/>
              <w:rPr>
                <w:sz w:val="1"/>
                <w:szCs w:val="1"/>
                <w:color w:val="auto"/>
              </w:rPr>
            </w:pPr>
          </w:p>
        </w:tc>
      </w:tr>
      <w:tr>
        <w:trPr>
          <w:trHeight w:val="148"/>
        </w:trPr>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Corporation and RPAI Schaumburg American</w:t>
            </w:r>
          </w:p>
        </w:tc>
        <w:tc>
          <w:tcPr>
            <w:tcW w:w="0" w:type="dxa"/>
            <w:vAlign w:val="bottom"/>
          </w:tcPr>
          <w:p>
            <w:pPr>
              <w:spacing w:after="0"/>
              <w:rPr>
                <w:sz w:val="1"/>
                <w:szCs w:val="1"/>
                <w:color w:val="auto"/>
              </w:rPr>
            </w:pPr>
          </w:p>
        </w:tc>
      </w:tr>
      <w:tr>
        <w:trPr>
          <w:trHeight w:val="92"/>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Lane, L.L.C.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2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Amendments to Multi-Tenant Office Lease</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Agreement dated June 1, 2016 by and between</w:t>
            </w:r>
          </w:p>
        </w:tc>
        <w:tc>
          <w:tcPr>
            <w:tcW w:w="0" w:type="dxa"/>
            <w:vAlign w:val="bottom"/>
          </w:tcPr>
          <w:p>
            <w:pPr>
              <w:spacing w:after="0"/>
              <w:rPr>
                <w:sz w:val="1"/>
                <w:szCs w:val="1"/>
                <w:color w:val="auto"/>
              </w:rPr>
            </w:pPr>
          </w:p>
        </w:tc>
      </w:tr>
      <w:tr>
        <w:trPr>
          <w:trHeight w:val="224"/>
        </w:trPr>
        <w:tc>
          <w:tcPr>
            <w:tcW w:w="100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19"/>
                <w:szCs w:val="19"/>
                <w:color w:val="auto"/>
              </w:rPr>
            </w:pPr>
          </w:p>
        </w:tc>
        <w:tc>
          <w:tcPr>
            <w:tcW w:w="400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Paylocity Corporation and RPAI Schaumburg</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0" w:type="dxa"/>
            <w:vAlign w:val="bottom"/>
          </w:tcPr>
          <w:p>
            <w:pPr>
              <w:ind w:left="40"/>
              <w:spacing w:after="0" w:line="224" w:lineRule="exact"/>
              <w:rPr>
                <w:sz w:val="20"/>
                <w:szCs w:val="20"/>
                <w:color w:val="auto"/>
              </w:rPr>
            </w:pPr>
            <w:r>
              <w:rPr>
                <w:rFonts w:ascii="Times New Roman" w:cs="Times New Roman" w:eastAsia="Times New Roman" w:hAnsi="Times New Roman"/>
                <w:sz w:val="20"/>
                <w:szCs w:val="20"/>
                <w:color w:val="auto"/>
              </w:rPr>
              <w:t>American Lane, L.L.C. and Landmark</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Schaumburg Towers LP.</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28"/>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Credit Agreement by and among Paylocity</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Holding Corporation, the Guarantor party</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thereto, the Lenders party thereto, PNC Bank,</w:t>
            </w:r>
          </w:p>
        </w:tc>
        <w:tc>
          <w:tcPr>
            <w:tcW w:w="0" w:type="dxa"/>
            <w:vAlign w:val="bottom"/>
          </w:tcPr>
          <w:p>
            <w:pPr>
              <w:spacing w:after="0"/>
              <w:rPr>
                <w:sz w:val="1"/>
                <w:szCs w:val="1"/>
                <w:color w:val="auto"/>
              </w:rPr>
            </w:pPr>
          </w:p>
        </w:tc>
      </w:tr>
      <w:tr>
        <w:trPr>
          <w:trHeight w:val="24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National Association, as Administrative Agent,</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and PNC Capital Markets, LLC, as sole lead</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arranger and sole bookrunner, dated July 17,</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40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 xml:space="preserve">2019.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5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First Amendment to Credit Agreement and</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Security Agreement, dated as of August 19,</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2022, by and among Paylocity Holding</w:t>
            </w:r>
          </w:p>
        </w:tc>
        <w:tc>
          <w:tcPr>
            <w:tcW w:w="0" w:type="dxa"/>
            <w:vAlign w:val="bottom"/>
          </w:tcPr>
          <w:p>
            <w:pPr>
              <w:spacing w:after="0"/>
              <w:rPr>
                <w:sz w:val="1"/>
                <w:szCs w:val="1"/>
                <w:color w:val="auto"/>
              </w:rPr>
            </w:pPr>
          </w:p>
        </w:tc>
      </w:tr>
      <w:tr>
        <w:trPr>
          <w:trHeight w:val="240"/>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Corporation, the Guarantor party thereto, the</w:t>
            </w:r>
          </w:p>
        </w:tc>
        <w:tc>
          <w:tcPr>
            <w:tcW w:w="0" w:type="dxa"/>
            <w:vAlign w:val="bottom"/>
          </w:tcPr>
          <w:p>
            <w:pPr>
              <w:spacing w:after="0"/>
              <w:rPr>
                <w:sz w:val="1"/>
                <w:szCs w:val="1"/>
                <w:color w:val="auto"/>
              </w:rPr>
            </w:pPr>
          </w:p>
        </w:tc>
      </w:tr>
      <w:tr>
        <w:trPr>
          <w:trHeight w:val="240"/>
        </w:trPr>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Lenders party thereto, PNC Bank, National</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Association, as Administrative Agent, and PNC</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Markets, LLC and JPMorgan Chase</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Bank, N.A., as joint lead arrangers and joint</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bookrunners.</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bl>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760" w:type="dxa"/>
            <w:vAlign w:val="bottom"/>
          </w:tcPr>
          <w:p>
            <w:pPr>
              <w:spacing w:after="0"/>
              <w:rPr>
                <w:sz w:val="20"/>
                <w:szCs w:val="20"/>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Second Amendment to Credit Agreement, dated</w:t>
            </w:r>
          </w:p>
        </w:tc>
        <w:tc>
          <w:tcPr>
            <w:tcW w:w="0" w:type="dxa"/>
            <w:vAlign w:val="bottom"/>
          </w:tcPr>
          <w:p>
            <w:pPr>
              <w:spacing w:after="0"/>
              <w:rPr>
                <w:sz w:val="1"/>
                <w:szCs w:val="1"/>
                <w:color w:val="auto"/>
              </w:rPr>
            </w:pPr>
          </w:p>
        </w:tc>
      </w:tr>
      <w:tr>
        <w:trPr>
          <w:trHeight w:val="240"/>
        </w:trPr>
        <w:tc>
          <w:tcPr>
            <w:tcW w:w="760" w:type="dxa"/>
            <w:vAlign w:val="bottom"/>
          </w:tcPr>
          <w:p>
            <w:pPr>
              <w:spacing w:after="0"/>
              <w:rPr>
                <w:sz w:val="20"/>
                <w:szCs w:val="20"/>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as of October 1, 2024, by and among Paylocity</w:t>
            </w:r>
          </w:p>
        </w:tc>
        <w:tc>
          <w:tcPr>
            <w:tcW w:w="0" w:type="dxa"/>
            <w:vAlign w:val="bottom"/>
          </w:tcPr>
          <w:p>
            <w:pPr>
              <w:spacing w:after="0"/>
              <w:rPr>
                <w:sz w:val="1"/>
                <w:szCs w:val="1"/>
                <w:color w:val="auto"/>
              </w:rPr>
            </w:pPr>
          </w:p>
        </w:tc>
      </w:tr>
      <w:tr>
        <w:trPr>
          <w:trHeight w:val="240"/>
        </w:trPr>
        <w:tc>
          <w:tcPr>
            <w:tcW w:w="76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w w:val="97"/>
              </w:rPr>
              <w:t>10.15</w:t>
            </w: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Holding Corporation, the Guarantor party</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42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thereto, the Lenders party thereto, and PNC</w:t>
            </w:r>
          </w:p>
        </w:tc>
        <w:tc>
          <w:tcPr>
            <w:tcW w:w="0" w:type="dxa"/>
            <w:vAlign w:val="bottom"/>
          </w:tcPr>
          <w:p>
            <w:pPr>
              <w:spacing w:after="0"/>
              <w:rPr>
                <w:sz w:val="1"/>
                <w:szCs w:val="1"/>
                <w:color w:val="auto"/>
              </w:rPr>
            </w:pPr>
          </w:p>
        </w:tc>
      </w:tr>
      <w:tr>
        <w:trPr>
          <w:trHeight w:val="92"/>
        </w:trPr>
        <w:tc>
          <w:tcPr>
            <w:tcW w:w="760" w:type="dxa"/>
            <w:vAlign w:val="bottom"/>
          </w:tcPr>
          <w:p>
            <w:pPr>
              <w:spacing w:after="0"/>
              <w:rPr>
                <w:sz w:val="8"/>
                <w:szCs w:val="8"/>
                <w:color w:val="auto"/>
              </w:rPr>
            </w:pPr>
          </w:p>
        </w:tc>
        <w:tc>
          <w:tcPr>
            <w:tcW w:w="4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760" w:type="dxa"/>
            <w:vAlign w:val="bottom"/>
          </w:tcPr>
          <w:p>
            <w:pPr>
              <w:spacing w:after="0"/>
              <w:rPr>
                <w:sz w:val="20"/>
                <w:szCs w:val="20"/>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Bank, National Association, as Administrative</w:t>
            </w: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Agent.</w:t>
            </w:r>
            <w:r>
              <w:rPr>
                <w:rFonts w:ascii="Times New Roman" w:cs="Times New Roman" w:eastAsia="Times New Roman" w:hAnsi="Times New Roman"/>
                <w:sz w:val="20"/>
                <w:szCs w:val="20"/>
                <w:color w:val="AAA6A1"/>
                <w:w w:val="99"/>
              </w:rPr>
              <w:t>...................................................................</w:t>
            </w:r>
          </w:p>
        </w:tc>
        <w:tc>
          <w:tcPr>
            <w:tcW w:w="0" w:type="dxa"/>
            <w:vAlign w:val="bottom"/>
          </w:tcPr>
          <w:p>
            <w:pPr>
              <w:spacing w:after="0"/>
              <w:rPr>
                <w:sz w:val="1"/>
                <w:szCs w:val="1"/>
                <w:color w:val="auto"/>
              </w:rPr>
            </w:pPr>
          </w:p>
        </w:tc>
      </w:tr>
      <w:tr>
        <w:trPr>
          <w:trHeight w:val="339"/>
        </w:trPr>
        <w:tc>
          <w:tcPr>
            <w:tcW w:w="760" w:type="dxa"/>
            <w:vAlign w:val="bottom"/>
          </w:tcPr>
          <w:p>
            <w:pPr>
              <w:spacing w:after="0"/>
              <w:rPr>
                <w:sz w:val="24"/>
                <w:szCs w:val="24"/>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Agreement and Plan of Merger, dated August</w:t>
            </w:r>
          </w:p>
        </w:tc>
        <w:tc>
          <w:tcPr>
            <w:tcW w:w="0" w:type="dxa"/>
            <w:vAlign w:val="bottom"/>
          </w:tcPr>
          <w:p>
            <w:pPr>
              <w:spacing w:after="0"/>
              <w:rPr>
                <w:sz w:val="1"/>
                <w:szCs w:val="1"/>
                <w:color w:val="auto"/>
              </w:rPr>
            </w:pPr>
          </w:p>
        </w:tc>
      </w:tr>
      <w:tr>
        <w:trPr>
          <w:trHeight w:val="240"/>
        </w:trPr>
        <w:tc>
          <w:tcPr>
            <w:tcW w:w="76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w w:val="97"/>
              </w:rPr>
              <w:t>10.16</w:t>
            </w: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29, 2024, by and among Paylocity Corporation,</w:t>
            </w: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42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w w:val="99"/>
              </w:rPr>
              <w:t>Project Alpine Merger Sub, Inc. Airbase Inc and</w:t>
            </w:r>
          </w:p>
        </w:tc>
        <w:tc>
          <w:tcPr>
            <w:tcW w:w="0" w:type="dxa"/>
            <w:vAlign w:val="bottom"/>
          </w:tcPr>
          <w:p>
            <w:pPr>
              <w:spacing w:after="0"/>
              <w:rPr>
                <w:sz w:val="1"/>
                <w:szCs w:val="1"/>
                <w:color w:val="auto"/>
              </w:rPr>
            </w:pPr>
          </w:p>
        </w:tc>
      </w:tr>
      <w:tr>
        <w:trPr>
          <w:trHeight w:val="92"/>
        </w:trPr>
        <w:tc>
          <w:tcPr>
            <w:tcW w:w="760" w:type="dxa"/>
            <w:vAlign w:val="bottom"/>
          </w:tcPr>
          <w:p>
            <w:pPr>
              <w:spacing w:after="0"/>
              <w:rPr>
                <w:sz w:val="8"/>
                <w:szCs w:val="8"/>
                <w:color w:val="auto"/>
              </w:rPr>
            </w:pPr>
          </w:p>
        </w:tc>
        <w:tc>
          <w:tcPr>
            <w:tcW w:w="4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760" w:type="dxa"/>
            <w:vAlign w:val="bottom"/>
          </w:tcPr>
          <w:p>
            <w:pPr>
              <w:spacing w:after="0"/>
              <w:rPr>
                <w:sz w:val="22"/>
                <w:szCs w:val="22"/>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 xml:space="preserve">Shareholder Representative Services LLC. </w:t>
            </w:r>
            <w:r>
              <w:rPr>
                <w:rFonts w:ascii="Times New Roman" w:cs="Times New Roman" w:eastAsia="Times New Roman" w:hAnsi="Times New Roman"/>
                <w:sz w:val="20"/>
                <w:szCs w:val="20"/>
                <w:color w:val="AAA6A1"/>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-421005</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Borders>
              <w:top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Borders>
              <w:top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Borders>
              <w:top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5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10-Q</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2024</w:t>
            </w:r>
          </w:p>
        </w:tc>
      </w:tr>
      <w:tr>
        <w:trPr>
          <w:trHeight w:val="90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14, 2022</w:t>
            </w:r>
          </w:p>
        </w:tc>
      </w:tr>
      <w:tr>
        <w:trPr>
          <w:trHeight w:val="87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10.15</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4, 2023</w:t>
            </w:r>
          </w:p>
        </w:tc>
      </w:tr>
      <w:tr>
        <w:trPr>
          <w:trHeight w:val="840"/>
        </w:trPr>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001-36348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10.10</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
        <w:spacing w:after="0"/>
        <w:tabs>
          <w:tab w:leader="none" w:pos="1000" w:val="left"/>
          <w:tab w:leader="none" w:pos="2340" w:val="left"/>
          <w:tab w:leader="none" w:pos="338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001-36348</w:t>
      </w:r>
      <w:r>
        <w:rPr>
          <w:sz w:val="20"/>
          <w:szCs w:val="20"/>
          <w:color w:val="auto"/>
        </w:rPr>
        <w:tab/>
      </w: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June 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0"/>
        <w:spacing w:after="0"/>
        <w:tabs>
          <w:tab w:leader="none" w:pos="1000" w:val="left"/>
          <w:tab w:leader="none" w:pos="2340" w:val="left"/>
          <w:tab w:leader="none" w:pos="320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20"/>
          <w:szCs w:val="20"/>
          <w:color w:val="auto"/>
        </w:rPr>
        <w:t>001-36348</w:t>
      </w:r>
      <w:r>
        <w:rPr>
          <w:sz w:val="20"/>
          <w:szCs w:val="20"/>
          <w:color w:val="auto"/>
        </w:rPr>
        <w:tab/>
      </w: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February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0"/>
        <w:spacing w:after="0"/>
        <w:tabs>
          <w:tab w:leader="none" w:pos="1000" w:val="left"/>
          <w:tab w:leader="none" w:pos="2340" w:val="left"/>
          <w:tab w:leader="none" w:pos="33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001-36348</w:t>
      </w:r>
      <w:r>
        <w:rPr>
          <w:sz w:val="20"/>
          <w:szCs w:val="20"/>
          <w:color w:val="auto"/>
        </w:rPr>
        <w:tab/>
      </w: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July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tabs>
          <w:tab w:leader="none" w:pos="1000" w:val="left"/>
          <w:tab w:leader="none" w:pos="2340" w:val="left"/>
          <w:tab w:leader="none" w:pos="32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001-36348</w:t>
      </w:r>
      <w:r>
        <w:rPr>
          <w:sz w:val="20"/>
          <w:szCs w:val="20"/>
          <w:color w:val="auto"/>
        </w:rPr>
        <w:tab/>
      </w: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August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0"/>
        <w:spacing w:after="0"/>
        <w:tabs>
          <w:tab w:leader="none" w:pos="1000" w:val="left"/>
          <w:tab w:leader="none" w:pos="2400" w:val="left"/>
          <w:tab w:leader="none" w:pos="320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001-36348</w:t>
      </w:r>
      <w:r>
        <w:rPr>
          <w:sz w:val="20"/>
          <w:szCs w:val="20"/>
          <w:color w:val="auto"/>
        </w:rPr>
        <w:tab/>
      </w: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February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0"/>
        <w:spacing w:after="0"/>
        <w:tabs>
          <w:tab w:leader="none" w:pos="1000" w:val="left"/>
          <w:tab w:leader="none" w:pos="2400" w:val="left"/>
          <w:tab w:leader="none" w:pos="31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001-36348</w:t>
      </w:r>
      <w:r>
        <w:rPr>
          <w:sz w:val="20"/>
          <w:szCs w:val="20"/>
          <w:color w:val="auto"/>
        </w:rPr>
        <w:tab/>
      </w: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September 4, 2024</w:t>
      </w:r>
    </w:p>
    <w:p>
      <w:pPr>
        <w:spacing w:after="0" w:line="584" w:lineRule="exact"/>
        <w:rPr>
          <w:sz w:val="20"/>
          <w:szCs w:val="20"/>
          <w:color w:val="auto"/>
        </w:rPr>
      </w:pPr>
    </w:p>
    <w:p>
      <w:pPr>
        <w:sectPr>
          <w:pgSz w:w="11880" w:h="15481" w:orient="portrait"/>
          <w:cols w:equalWidth="0" w:num="2">
            <w:col w:w="5060" w:space="60"/>
            <w:col w:w="4780"/>
          </w:cols>
          <w:pgMar w:left="1000" w:top="480" w:right="981"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480" w:right="981" w:bottom="0" w:gutter="0" w:footer="0" w:header="0"/>
          <w:type w:val="continuous"/>
        </w:sectPr>
      </w:pPr>
    </w:p>
    <w:bookmarkStart w:id="61" w:name="page62"/>
    <w:bookmarkEnd w:id="61"/>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0" w:type="dxa"/>
            <w:vAlign w:val="bottom"/>
          </w:tcPr>
          <w:p>
            <w:pPr>
              <w:spacing w:after="0"/>
              <w:rPr>
                <w:sz w:val="19"/>
                <w:szCs w:val="19"/>
                <w:color w:val="auto"/>
              </w:rPr>
            </w:pPr>
          </w:p>
        </w:tc>
        <w:tc>
          <w:tcPr>
            <w:tcW w:w="40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56"/>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Paylocity Holding Corporation Insider Trading</w:t>
            </w: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 xml:space="preserve">Policy.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List of Subsidiaries of the Registrant.</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84"/>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23.1*</w:t>
            </w: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Consent of KPMG LLP, Independent Registered</w:t>
            </w:r>
          </w:p>
        </w:tc>
        <w:tc>
          <w:tcPr>
            <w:tcW w:w="0" w:type="dxa"/>
            <w:vAlign w:val="bottom"/>
          </w:tcPr>
          <w:p>
            <w:pPr>
              <w:spacing w:after="0"/>
              <w:rPr>
                <w:sz w:val="1"/>
                <w:szCs w:val="1"/>
                <w:color w:val="auto"/>
              </w:rPr>
            </w:pPr>
          </w:p>
        </w:tc>
      </w:tr>
      <w:tr>
        <w:trPr>
          <w:trHeight w:val="112"/>
        </w:trPr>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Public Accounting Firm.</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Power of Attorney (included on the signature</w:t>
            </w:r>
          </w:p>
        </w:tc>
        <w:tc>
          <w:tcPr>
            <w:tcW w:w="0" w:type="dxa"/>
            <w:vAlign w:val="bottom"/>
          </w:tcPr>
          <w:p>
            <w:pPr>
              <w:spacing w:after="0"/>
              <w:rPr>
                <w:sz w:val="1"/>
                <w:szCs w:val="1"/>
                <w:color w:val="auto"/>
              </w:rPr>
            </w:pPr>
          </w:p>
        </w:tc>
      </w:tr>
      <w:tr>
        <w:trPr>
          <w:trHeight w:val="149"/>
        </w:trPr>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page of this Report on Form 10-K).</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3"/>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Chief Executive Officer</w:t>
            </w:r>
          </w:p>
        </w:tc>
        <w:tc>
          <w:tcPr>
            <w:tcW w:w="0" w:type="dxa"/>
            <w:vAlign w:val="bottom"/>
          </w:tcPr>
          <w:p>
            <w:pPr>
              <w:spacing w:after="0"/>
              <w:rPr>
                <w:sz w:val="1"/>
                <w:szCs w:val="1"/>
                <w:color w:val="auto"/>
              </w:rPr>
            </w:pPr>
          </w:p>
        </w:tc>
      </w:tr>
      <w:tr>
        <w:trPr>
          <w:trHeight w:val="240"/>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Required Under Rule 13a-14(a) and 15d-14(a)</w:t>
            </w: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of the Securities Exchange Act of 1934, as</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amended.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39"/>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Chief Financial Officer</w:t>
            </w:r>
          </w:p>
        </w:tc>
        <w:tc>
          <w:tcPr>
            <w:tcW w:w="0" w:type="dxa"/>
            <w:vAlign w:val="bottom"/>
          </w:tcPr>
          <w:p>
            <w:pPr>
              <w:spacing w:after="0"/>
              <w:rPr>
                <w:sz w:val="1"/>
                <w:szCs w:val="1"/>
                <w:color w:val="auto"/>
              </w:rPr>
            </w:pPr>
          </w:p>
        </w:tc>
      </w:tr>
      <w:tr>
        <w:trPr>
          <w:trHeight w:val="240"/>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Required Under Rule 13a-14(a) and 15d-14(a)</w:t>
            </w: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of the Securities Exchange Act of 1934, as</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amended.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39"/>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Chief Executive Officer</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Required Under Rule 13a-14(a) and 15d-14(a)</w:t>
            </w:r>
          </w:p>
        </w:tc>
        <w:tc>
          <w:tcPr>
            <w:tcW w:w="0" w:type="dxa"/>
            <w:vAlign w:val="bottom"/>
          </w:tcPr>
          <w:p>
            <w:pPr>
              <w:spacing w:after="0"/>
              <w:rPr>
                <w:sz w:val="1"/>
                <w:szCs w:val="1"/>
                <w:color w:val="auto"/>
              </w:rPr>
            </w:pPr>
          </w:p>
        </w:tc>
      </w:tr>
      <w:tr>
        <w:trPr>
          <w:trHeight w:val="240"/>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the Securities Exchange Act of 1934, as</w:t>
            </w: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amended, and 18 U.S.C. §1350 as adopted</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pursuant to Section 906 of The Sarbanes-Oxley</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Act of 2002.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39"/>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Certification of Chief Financial Officer</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Required Under Rule 13a-14(a) and 15d-14(a)</w:t>
            </w:r>
          </w:p>
        </w:tc>
        <w:tc>
          <w:tcPr>
            <w:tcW w:w="0" w:type="dxa"/>
            <w:vAlign w:val="bottom"/>
          </w:tcPr>
          <w:p>
            <w:pPr>
              <w:spacing w:after="0"/>
              <w:rPr>
                <w:sz w:val="1"/>
                <w:szCs w:val="1"/>
                <w:color w:val="auto"/>
              </w:rPr>
            </w:pPr>
          </w:p>
        </w:tc>
      </w:tr>
      <w:tr>
        <w:trPr>
          <w:trHeight w:val="240"/>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of the Securities Exchange Act of 1934, as</w:t>
            </w: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amended, and 18 U.S.C. §1350 as adopted</w:t>
            </w:r>
          </w:p>
        </w:tc>
        <w:tc>
          <w:tcPr>
            <w:tcW w:w="0" w:type="dxa"/>
            <w:vAlign w:val="bottom"/>
          </w:tcPr>
          <w:p>
            <w:pPr>
              <w:spacing w:after="0"/>
              <w:rPr>
                <w:sz w:val="1"/>
                <w:szCs w:val="1"/>
                <w:color w:val="auto"/>
              </w:rPr>
            </w:pPr>
          </w:p>
        </w:tc>
      </w:tr>
      <w:tr>
        <w:trPr>
          <w:trHeight w:val="105"/>
        </w:trPr>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pursuant to Section 906 of The Sarbanes-Oxley</w:t>
            </w: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Act of 2002.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47"/>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Paylocity Holding Corporation Policy for</w:t>
            </w:r>
          </w:p>
        </w:tc>
        <w:tc>
          <w:tcPr>
            <w:tcW w:w="0" w:type="dxa"/>
            <w:vAlign w:val="bottom"/>
          </w:tcPr>
          <w:p>
            <w:pPr>
              <w:spacing w:after="0"/>
              <w:rPr>
                <w:sz w:val="1"/>
                <w:szCs w:val="1"/>
                <w:color w:val="auto"/>
              </w:rPr>
            </w:pPr>
          </w:p>
        </w:tc>
      </w:tr>
      <w:tr>
        <w:trPr>
          <w:trHeight w:val="277"/>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97.1</w:t>
            </w: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Recovery of Erroneously Awarded Incentive</w:t>
            </w:r>
          </w:p>
        </w:tc>
        <w:tc>
          <w:tcPr>
            <w:tcW w:w="0" w:type="dxa"/>
            <w:vAlign w:val="bottom"/>
          </w:tcPr>
          <w:p>
            <w:pPr>
              <w:spacing w:after="0"/>
              <w:rPr>
                <w:sz w:val="1"/>
                <w:szCs w:val="1"/>
                <w:color w:val="auto"/>
              </w:rPr>
            </w:pPr>
          </w:p>
        </w:tc>
      </w:tr>
      <w:tr>
        <w:trPr>
          <w:trHeight w:val="271"/>
        </w:trPr>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Compensation.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52"/>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Instance Document (the instance</w:t>
            </w:r>
          </w:p>
        </w:tc>
        <w:tc>
          <w:tcPr>
            <w:tcW w:w="0" w:type="dxa"/>
            <w:vAlign w:val="bottom"/>
          </w:tcPr>
          <w:p>
            <w:pPr>
              <w:spacing w:after="0"/>
              <w:rPr>
                <w:sz w:val="1"/>
                <w:szCs w:val="1"/>
                <w:color w:val="auto"/>
              </w:rPr>
            </w:pPr>
          </w:p>
        </w:tc>
      </w:tr>
      <w:tr>
        <w:trPr>
          <w:trHeight w:val="274"/>
        </w:trPr>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6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document does not appear in the Interactive</w:t>
            </w:r>
          </w:p>
        </w:tc>
        <w:tc>
          <w:tcPr>
            <w:tcW w:w="0" w:type="dxa"/>
            <w:vAlign w:val="bottom"/>
          </w:tcPr>
          <w:p>
            <w:pPr>
              <w:spacing w:after="0"/>
              <w:rPr>
                <w:sz w:val="1"/>
                <w:szCs w:val="1"/>
                <w:color w:val="auto"/>
              </w:rPr>
            </w:pPr>
          </w:p>
        </w:tc>
      </w:tr>
      <w:tr>
        <w:trPr>
          <w:trHeight w:val="145"/>
        </w:trPr>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Data File because its XBRL tags are embedded</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within the Inline XBRL document). </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370"/>
        </w:trPr>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101.SCH*</w:t>
            </w:r>
          </w:p>
        </w:tc>
        <w:tc>
          <w:tcPr>
            <w:tcW w:w="6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Taxonomy Extension Schema.</w:t>
            </w:r>
            <w:r>
              <w:rPr>
                <w:rFonts w:ascii="Times New Roman" w:cs="Times New Roman" w:eastAsia="Times New Roman" w:hAnsi="Times New Roman"/>
                <w:sz w:val="20"/>
                <w:szCs w:val="20"/>
                <w:color w:val="AAA6A1"/>
              </w:rPr>
              <w:t>.......</w:t>
            </w: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Inline XBRL Taxonomy Extension Calculation</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4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Linkbase.</w:t>
            </w:r>
            <w:r>
              <w:rPr>
                <w:rFonts w:ascii="Times New Roman" w:cs="Times New Roman" w:eastAsia="Times New Roman" w:hAnsi="Times New Roman"/>
                <w:sz w:val="20"/>
                <w:szCs w:val="20"/>
                <w:color w:val="AAA6A1"/>
                <w:w w:val="99"/>
              </w:rPr>
              <w:t>..............................................................</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101.LAB*</w:t>
            </w:r>
          </w:p>
        </w:tc>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Label</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4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Linkbase.</w:t>
            </w:r>
            <w:r>
              <w:rPr>
                <w:rFonts w:ascii="Times New Roman" w:cs="Times New Roman" w:eastAsia="Times New Roman" w:hAnsi="Times New Roman"/>
                <w:sz w:val="20"/>
                <w:szCs w:val="20"/>
                <w:color w:val="AAA6A1"/>
                <w:w w:val="99"/>
              </w:rPr>
              <w:t>..............................................................</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101.PRE*</w:t>
            </w:r>
          </w:p>
        </w:tc>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Presentation</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4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Linkbase.</w:t>
            </w:r>
            <w:r>
              <w:rPr>
                <w:rFonts w:ascii="Times New Roman" w:cs="Times New Roman" w:eastAsia="Times New Roman" w:hAnsi="Times New Roman"/>
                <w:sz w:val="20"/>
                <w:szCs w:val="20"/>
                <w:color w:val="AAA6A1"/>
                <w:w w:val="99"/>
              </w:rPr>
              <w:t>..............................................................</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101.DEF*</w:t>
            </w:r>
          </w:p>
        </w:tc>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Definition</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4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9"/>
              </w:rPr>
              <w:t>Linkbase.</w:t>
            </w:r>
            <w:r>
              <w:rPr>
                <w:rFonts w:ascii="Times New Roman" w:cs="Times New Roman" w:eastAsia="Times New Roman" w:hAnsi="Times New Roman"/>
                <w:sz w:val="20"/>
                <w:szCs w:val="20"/>
                <w:color w:val="AAA6A1"/>
                <w:w w:val="99"/>
              </w:rPr>
              <w:t>..............................................................</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104*</w:t>
            </w:r>
          </w:p>
        </w:tc>
        <w:tc>
          <w:tcPr>
            <w:tcW w:w="4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Cover Page Interactive Data File (Formatted as</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40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8"/>
              </w:rPr>
              <w:t xml:space="preserve">Inline XBRL and contained in Exhibit 101). </w:t>
            </w:r>
            <w:r>
              <w:rPr>
                <w:rFonts w:ascii="Times New Roman" w:cs="Times New Roman" w:eastAsia="Times New Roman" w:hAnsi="Times New Roman"/>
                <w:sz w:val="20"/>
                <w:szCs w:val="20"/>
                <w:color w:val="AAA6A1"/>
                <w:w w:val="98"/>
              </w:rPr>
              <w:t>.......</w:t>
            </w: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4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-421005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60" w:type="dxa"/>
            <w:vAlign w:val="bottom"/>
            <w:tcBorders>
              <w:top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Borders>
              <w:top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 w:type="dxa"/>
            <w:vAlign w:val="bottom"/>
            <w:tcBorders>
              <w:top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90"/>
        </w:trPr>
        <w:tc>
          <w:tcPr>
            <w:tcW w:w="8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10-K</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001-36348</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tabs>
          <w:tab w:leader="none" w:pos="1000" w:val="left"/>
          <w:tab w:leader="none" w:pos="2340" w:val="left"/>
          <w:tab w:leader="none" w:pos="328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001-36348</w:t>
      </w:r>
      <w:r>
        <w:rPr>
          <w:sz w:val="20"/>
          <w:szCs w:val="20"/>
          <w:color w:val="auto"/>
        </w:rPr>
        <w:tab/>
      </w: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19"/>
          <w:szCs w:val="19"/>
          <w:color w:val="auto"/>
        </w:rPr>
        <w:t>August 2, 2024</w:t>
      </w:r>
    </w:p>
    <w:p>
      <w:pPr>
        <w:spacing w:after="0" w:line="5253" w:lineRule="exact"/>
        <w:rPr>
          <w:sz w:val="20"/>
          <w:szCs w:val="20"/>
          <w:color w:val="auto"/>
        </w:rPr>
      </w:pPr>
    </w:p>
    <w:p>
      <w:pPr>
        <w:sectPr>
          <w:pgSz w:w="11880" w:h="15481" w:orient="portrait"/>
          <w:cols w:equalWidth="0" w:num="2">
            <w:col w:w="5060" w:space="60"/>
            <w:col w:w="4780"/>
          </w:cols>
          <w:pgMar w:left="1000" w:top="480"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480" w:right="981" w:bottom="0" w:gutter="0" w:footer="0" w:header="0"/>
          <w:type w:val="continuous"/>
        </w:sectPr>
      </w:pPr>
    </w:p>
    <w:bookmarkStart w:id="62" w:name="page63"/>
    <w:bookmarkEnd w:id="62"/>
    <w:p>
      <w:pPr>
        <w:ind w:left="10"/>
        <w:spacing w:after="0"/>
        <w:rPr>
          <w:sz w:val="20"/>
          <w:szCs w:val="20"/>
          <w:color w:val="auto"/>
        </w:rPr>
      </w:pPr>
      <w:r>
        <w:rPr>
          <w:rFonts w:ascii="Times New Roman" w:cs="Times New Roman" w:eastAsia="Times New Roman" w:hAnsi="Times New Roman"/>
          <w:sz w:val="20"/>
          <w:szCs w:val="20"/>
          <w:color w:val="auto"/>
        </w:rPr>
        <w:t>_________________________________________</w:t>
      </w:r>
    </w:p>
    <w:p>
      <w:pPr>
        <w:spacing w:after="0" w:line="10" w:lineRule="exact"/>
        <w:rPr>
          <w:sz w:val="20"/>
          <w:szCs w:val="20"/>
          <w:color w:val="auto"/>
        </w:rPr>
      </w:pPr>
    </w:p>
    <w:p>
      <w:pPr>
        <w:ind w:left="10" w:right="4421" w:hanging="10"/>
        <w:spacing w:after="0" w:line="250" w:lineRule="auto"/>
        <w:tabs>
          <w:tab w:leader="none" w:pos="37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compensatory plan or arrangement. * Filed herewith.</w:t>
      </w: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Furnished herewith.</w:t>
      </w:r>
    </w:p>
    <w:p>
      <w:pPr>
        <w:sectPr>
          <w:pgSz w:w="11880" w:h="15481" w:orient="portrait"/>
          <w:cols w:equalWidth="0" w:num="1">
            <w:col w:w="9451"/>
          </w:cols>
          <w:pgMar w:left="990" w:top="3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48"/>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p>
    <w:p>
      <w:pPr>
        <w:sectPr>
          <w:pgSz w:w="11880" w:h="15481" w:orient="portrait"/>
          <w:cols w:equalWidth="0" w:num="1">
            <w:col w:w="9451"/>
          </w:cols>
          <w:pgMar w:left="990" w:top="398" w:right="144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t>SIGNATURES</w:t>
      </w:r>
    </w:p>
    <w:p>
      <w:pPr>
        <w:spacing w:after="0" w:line="257" w:lineRule="exact"/>
        <w:rPr>
          <w:sz w:val="20"/>
          <w:szCs w:val="20"/>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spacing w:after="0" w:line="347" w:lineRule="exact"/>
        <w:rPr>
          <w:sz w:val="20"/>
          <w:szCs w:val="20"/>
          <w:color w:val="auto"/>
        </w:rPr>
      </w:pPr>
    </w:p>
    <w:p>
      <w:pPr>
        <w:ind w:left="40"/>
        <w:spacing w:after="0"/>
        <w:tabs>
          <w:tab w:leader="none" w:pos="4760" w:val="left"/>
          <w:tab w:leader="none" w:pos="5320" w:val="left"/>
        </w:tabs>
        <w:rPr>
          <w:sz w:val="20"/>
          <w:szCs w:val="20"/>
          <w:color w:val="auto"/>
        </w:rPr>
      </w:pPr>
      <w:r>
        <w:rPr>
          <w:rFonts w:ascii="Times New Roman" w:cs="Times New Roman" w:eastAsia="Times New Roman" w:hAnsi="Times New Roman"/>
          <w:sz w:val="20"/>
          <w:szCs w:val="20"/>
          <w:color w:val="auto"/>
        </w:rPr>
        <w:t>Date: August 6,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31750</wp:posOffset>
            </wp:positionV>
            <wp:extent cx="3000375" cy="9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5">
                      <a:extLst>
                        <a:ext uri="{28A0092B-C50C-407E-A947-70E740481C1C}"/>
                      </a:extLst>
                    </a:blip>
                    <a:srcRect/>
                    <a:stretch>
                      <a:fillRect/>
                    </a:stretch>
                  </pic:blipFill>
                  <pic:spPr bwMode="auto">
                    <a:xfrm>
                      <a:off x="0" y="0"/>
                      <a:ext cx="3000375" cy="9525"/>
                    </a:xfrm>
                    <a:prstGeom prst="rect">
                      <a:avLst/>
                    </a:prstGeom>
                    <a:noFill/>
                  </pic:spPr>
                </pic:pic>
              </a:graphicData>
            </a:graphic>
          </wp:anchor>
        </w:drawing>
      </w:r>
    </w:p>
    <w:p>
      <w:pPr>
        <w:spacing w:after="0" w:line="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Toby J. Williams</w:t>
      </w:r>
    </w:p>
    <w:p>
      <w:pPr>
        <w:spacing w:after="0" w:line="7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President, Chief Executive Officer (Principal Executive</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Officer) and Director</w:t>
      </w:r>
    </w:p>
    <w:p>
      <w:pPr>
        <w:sectPr>
          <w:pgSz w:w="11880" w:h="15481" w:orient="portrait"/>
          <w:cols w:equalWidth="0" w:num="1">
            <w:col w:w="9880"/>
          </w:cols>
          <w:pgMar w:left="1000" w:top="391"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80"/>
          </w:cols>
          <w:pgMar w:left="1000" w:top="391" w:right="1001" w:bottom="0" w:gutter="0" w:footer="0" w:header="0"/>
          <w:type w:val="continuous"/>
        </w:sectPr>
      </w:pPr>
    </w:p>
    <w:bookmarkStart w:id="64" w:name="page65"/>
    <w:bookmarkEnd w:id="6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t>SIGNATURES AND POWER OF ATTORNEY</w:t>
      </w:r>
    </w:p>
    <w:p>
      <w:pPr>
        <w:spacing w:after="0" w:line="2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Each person whose individual signature appears below hereby authorizes and appoints Steven R. Beauchamp, Toby J. Williams and Ryan Glenn,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4"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w:t>
      </w:r>
    </w:p>
    <w:p>
      <w:pPr>
        <w:spacing w:after="0" w:line="259" w:lineRule="exact"/>
        <w:rPr>
          <w:sz w:val="20"/>
          <w:szCs w:val="20"/>
          <w:color w:val="auto"/>
        </w:rPr>
      </w:pPr>
    </w:p>
    <w:p>
      <w:pPr>
        <w:ind w:left="1140"/>
        <w:spacing w:after="0"/>
        <w:tabs>
          <w:tab w:leader="none" w:pos="5460" w:val="left"/>
          <w:tab w:leader="none" w:pos="890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6286500" cy="9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0">
                      <a:extLst>
                        <a:ext uri="{28A0092B-C50C-407E-A947-70E740481C1C}"/>
                      </a:extLst>
                    </a:blip>
                    <a:srcRect/>
                    <a:stretch>
                      <a:fillRect/>
                    </a:stretch>
                  </pic:blipFill>
                  <pic:spPr bwMode="auto">
                    <a:xfrm>
                      <a:off x="0" y="0"/>
                      <a:ext cx="6286500" cy="9525"/>
                    </a:xfrm>
                    <a:prstGeom prst="rect">
                      <a:avLst/>
                    </a:prstGeom>
                    <a:noFill/>
                  </pic:spPr>
                </pic:pic>
              </a:graphicData>
            </a:graphic>
          </wp:anchor>
        </w:drawing>
      </w:r>
    </w:p>
    <w:p>
      <w:pPr>
        <w:sectPr>
          <w:pgSz w:w="11880" w:h="15481" w:orient="portrait"/>
          <w:cols w:equalWidth="0" w:num="1">
            <w:col w:w="9820"/>
          </w:cols>
          <w:pgMar w:left="1000" w:top="391" w:right="106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right="720"/>
        <w:spacing w:after="0" w:line="376" w:lineRule="auto"/>
        <w:rPr>
          <w:sz w:val="20"/>
          <w:szCs w:val="20"/>
          <w:color w:val="auto"/>
        </w:rPr>
      </w:pPr>
      <w:r>
        <w:rPr>
          <w:rFonts w:ascii="Times New Roman" w:cs="Times New Roman" w:eastAsia="Times New Roman" w:hAnsi="Times New Roman"/>
          <w:sz w:val="19"/>
          <w:szCs w:val="19"/>
          <w:color w:val="auto"/>
        </w:rPr>
        <w:t xml:space="preserve">/s/ Toby J. Williams </w:t>
      </w:r>
      <w:r>
        <w:rPr>
          <w:rFonts w:ascii="Times New Roman" w:cs="Times New Roman" w:eastAsia="Times New Roman" w:hAnsi="Times New Roman"/>
          <w:sz w:val="19"/>
          <w:szCs w:val="19"/>
          <w:b w:val="1"/>
          <w:bCs w:val="1"/>
          <w:i w:val="1"/>
          <w:iCs w:val="1"/>
          <w:color w:val="auto"/>
        </w:rPr>
        <w:t>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-266065</wp:posOffset>
            </wp:positionV>
            <wp:extent cx="189547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1">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Ryan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189547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2">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Ryan Glenn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Nicholas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189547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3">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Nicholas Rost</w:t>
      </w:r>
    </w:p>
    <w:p>
      <w:pPr>
        <w:spacing w:after="0" w:line="358" w:lineRule="exact"/>
        <w:rPr>
          <w:sz w:val="20"/>
          <w:szCs w:val="20"/>
          <w:color w:val="auto"/>
        </w:rPr>
      </w:pPr>
    </w:p>
    <w:p>
      <w:pPr>
        <w:ind w:left="40" w:right="320"/>
        <w:spacing w:after="0" w:line="345" w:lineRule="auto"/>
        <w:rPr>
          <w:sz w:val="20"/>
          <w:szCs w:val="20"/>
          <w:color w:val="auto"/>
        </w:rPr>
      </w:pPr>
      <w:r>
        <w:rPr>
          <w:rFonts w:ascii="Times New Roman" w:cs="Times New Roman" w:eastAsia="Times New Roman" w:hAnsi="Times New Roman"/>
          <w:sz w:val="20"/>
          <w:szCs w:val="20"/>
          <w:color w:val="auto"/>
        </w:rPr>
        <w:t xml:space="preserve">/s/ Steven R. Beauchamp </w:t>
      </w:r>
      <w:r>
        <w:rPr>
          <w:rFonts w:ascii="Times New Roman" w:cs="Times New Roman" w:eastAsia="Times New Roman" w:hAnsi="Times New Roman"/>
          <w:sz w:val="20"/>
          <w:szCs w:val="20"/>
          <w:b w:val="1"/>
          <w:bCs w:val="1"/>
          <w:i w:val="1"/>
          <w:iCs w:val="1"/>
          <w:color w:val="auto"/>
        </w:rPr>
        <w:t>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189547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4">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204" w:lineRule="exact"/>
        <w:rPr>
          <w:sz w:val="20"/>
          <w:szCs w:val="20"/>
          <w:color w:val="auto"/>
        </w:rPr>
      </w:pPr>
    </w:p>
    <w:p>
      <w:pPr>
        <w:ind w:left="40" w:right="760"/>
        <w:spacing w:after="0" w:line="345" w:lineRule="auto"/>
        <w:rPr>
          <w:sz w:val="20"/>
          <w:szCs w:val="20"/>
          <w:color w:val="auto"/>
        </w:rPr>
      </w:pPr>
      <w:r>
        <w:rPr>
          <w:rFonts w:ascii="Times New Roman" w:cs="Times New Roman" w:eastAsia="Times New Roman" w:hAnsi="Times New Roman"/>
          <w:sz w:val="20"/>
          <w:szCs w:val="20"/>
          <w:color w:val="auto"/>
        </w:rPr>
        <w:t xml:space="preserve">/s/ Linda M. Breard </w:t>
      </w:r>
      <w:r>
        <w:rPr>
          <w:rFonts w:ascii="Times New Roman" w:cs="Times New Roman" w:eastAsia="Times New Roman" w:hAnsi="Times New Roman"/>
          <w:sz w:val="20"/>
          <w:szCs w:val="20"/>
          <w:b w:val="1"/>
          <w:bCs w:val="1"/>
          <w:i w:val="1"/>
          <w:iCs w:val="1"/>
          <w:color w:val="auto"/>
        </w:rPr>
        <w:t>Linda M. Breard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189547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5">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204" w:lineRule="exact"/>
        <w:rPr>
          <w:sz w:val="20"/>
          <w:szCs w:val="20"/>
          <w:color w:val="auto"/>
        </w:rPr>
      </w:pPr>
    </w:p>
    <w:p>
      <w:pPr>
        <w:ind w:left="40" w:right="660"/>
        <w:spacing w:after="0" w:line="345" w:lineRule="auto"/>
        <w:rPr>
          <w:sz w:val="20"/>
          <w:szCs w:val="20"/>
          <w:color w:val="auto"/>
        </w:rPr>
      </w:pPr>
      <w:r>
        <w:rPr>
          <w:rFonts w:ascii="Times New Roman" w:cs="Times New Roman" w:eastAsia="Times New Roman" w:hAnsi="Times New Roman"/>
          <w:sz w:val="20"/>
          <w:szCs w:val="20"/>
          <w:color w:val="auto"/>
        </w:rPr>
        <w:t xml:space="preserve">/s/ Virginia G. Breen </w:t>
      </w:r>
      <w:r>
        <w:rPr>
          <w:rFonts w:ascii="Times New Roman" w:cs="Times New Roman" w:eastAsia="Times New Roman" w:hAnsi="Times New Roman"/>
          <w:sz w:val="20"/>
          <w:szCs w:val="20"/>
          <w:b w:val="1"/>
          <w:bCs w:val="1"/>
          <w:i w:val="1"/>
          <w:iCs w:val="1"/>
          <w:color w:val="auto"/>
        </w:rPr>
        <w:t>Virginia G.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189547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6">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Craig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189547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7">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Craig Conway</w:t>
      </w:r>
    </w:p>
    <w:p>
      <w:pPr>
        <w:spacing w:after="0" w:line="373" w:lineRule="exact"/>
        <w:rPr>
          <w:sz w:val="20"/>
          <w:szCs w:val="20"/>
          <w:color w:val="auto"/>
        </w:rPr>
      </w:pPr>
    </w:p>
    <w:p>
      <w:pPr>
        <w:ind w:left="40" w:right="600"/>
        <w:spacing w:after="0" w:line="345" w:lineRule="auto"/>
        <w:rPr>
          <w:sz w:val="20"/>
          <w:szCs w:val="20"/>
          <w:color w:val="auto"/>
        </w:rPr>
      </w:pPr>
      <w:r>
        <w:rPr>
          <w:rFonts w:ascii="Times New Roman" w:cs="Times New Roman" w:eastAsia="Times New Roman" w:hAnsi="Times New Roman"/>
          <w:sz w:val="20"/>
          <w:szCs w:val="20"/>
          <w:color w:val="auto"/>
        </w:rPr>
        <w:t xml:space="preserve">/s/ Robin L. Pederson </w:t>
      </w:r>
      <w:r>
        <w:rPr>
          <w:rFonts w:ascii="Times New Roman" w:cs="Times New Roman" w:eastAsia="Times New Roman" w:hAnsi="Times New Roman"/>
          <w:sz w:val="20"/>
          <w:szCs w:val="20"/>
          <w:b w:val="1"/>
          <w:bCs w:val="1"/>
          <w:i w:val="1"/>
          <w:iCs w:val="1"/>
          <w:color w:val="auto"/>
        </w:rPr>
        <w:t>Robin L. Pederson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189547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8">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204" w:lineRule="exact"/>
        <w:rPr>
          <w:sz w:val="20"/>
          <w:szCs w:val="20"/>
          <w:color w:val="auto"/>
        </w:rPr>
      </w:pPr>
    </w:p>
    <w:p>
      <w:pPr>
        <w:ind w:left="40" w:right="700"/>
        <w:spacing w:after="0" w:line="376" w:lineRule="auto"/>
        <w:rPr>
          <w:sz w:val="20"/>
          <w:szCs w:val="20"/>
          <w:color w:val="auto"/>
        </w:rPr>
      </w:pPr>
      <w:r>
        <w:rPr>
          <w:rFonts w:ascii="Times New Roman" w:cs="Times New Roman" w:eastAsia="Times New Roman" w:hAnsi="Times New Roman"/>
          <w:sz w:val="19"/>
          <w:szCs w:val="19"/>
          <w:color w:val="auto"/>
        </w:rPr>
        <w:t xml:space="preserve">/s/ Andres D. Reiner </w:t>
      </w:r>
      <w:r>
        <w:rPr>
          <w:rFonts w:ascii="Times New Roman" w:cs="Times New Roman" w:eastAsia="Times New Roman" w:hAnsi="Times New Roman"/>
          <w:sz w:val="19"/>
          <w:szCs w:val="19"/>
          <w:b w:val="1"/>
          <w:bCs w:val="1"/>
          <w:i w:val="1"/>
          <w:iCs w:val="1"/>
          <w:color w:val="auto"/>
        </w:rPr>
        <w:t>Andres D. 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-266065</wp:posOffset>
            </wp:positionV>
            <wp:extent cx="189547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9">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180" w:lineRule="exact"/>
        <w:rPr>
          <w:sz w:val="20"/>
          <w:szCs w:val="20"/>
          <w:color w:val="auto"/>
        </w:rPr>
      </w:pPr>
    </w:p>
    <w:p>
      <w:pPr>
        <w:ind w:left="40" w:right="380"/>
        <w:spacing w:after="0" w:line="376" w:lineRule="auto"/>
        <w:rPr>
          <w:sz w:val="20"/>
          <w:szCs w:val="20"/>
          <w:color w:val="auto"/>
        </w:rPr>
      </w:pPr>
      <w:r>
        <w:rPr>
          <w:rFonts w:ascii="Times New Roman" w:cs="Times New Roman" w:eastAsia="Times New Roman" w:hAnsi="Times New Roman"/>
          <w:sz w:val="19"/>
          <w:szCs w:val="19"/>
          <w:color w:val="auto"/>
        </w:rPr>
        <w:t xml:space="preserve">/s/ Kenneth B. Robinson </w:t>
      </w:r>
      <w:r>
        <w:rPr>
          <w:rFonts w:ascii="Times New Roman" w:cs="Times New Roman" w:eastAsia="Times New Roman" w:hAnsi="Times New Roman"/>
          <w:sz w:val="19"/>
          <w:szCs w:val="19"/>
          <w:b w:val="1"/>
          <w:bCs w:val="1"/>
          <w:i w:val="1"/>
          <w:iCs w:val="1"/>
          <w:color w:val="auto"/>
        </w:rPr>
        <w:t>Kenneth B.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-266065</wp:posOffset>
            </wp:positionV>
            <wp:extent cx="189547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0">
                      <a:extLst>
                        <a:ext uri="{28A0092B-C50C-407E-A947-70E740481C1C}"/>
                      </a:extLst>
                    </a:blip>
                    <a:srcRect/>
                    <a:stretch>
                      <a:fillRect/>
                    </a:stretch>
                  </pic:blipFill>
                  <pic:spPr bwMode="auto">
                    <a:xfrm>
                      <a:off x="0" y="0"/>
                      <a:ext cx="189547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20"/>
          <w:szCs w:val="20"/>
          <w:color w:val="auto"/>
        </w:rPr>
        <w:t>President, Chief Executive Officer (Principal Executive</w:t>
      </w:r>
      <w:r>
        <w:rPr>
          <w:sz w:val="20"/>
          <w:szCs w:val="20"/>
          <w:color w:val="auto"/>
        </w:rPr>
        <w:tab/>
      </w:r>
      <w:r>
        <w:rPr>
          <w:rFonts w:ascii="Times New Roman" w:cs="Times New Roman" w:eastAsia="Times New Roman" w:hAnsi="Times New Roman"/>
          <w:sz w:val="19"/>
          <w:szCs w:val="19"/>
          <w:color w:val="auto"/>
        </w:rPr>
        <w:t>August 6,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 and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20"/>
          <w:szCs w:val="20"/>
          <w:color w:val="auto"/>
        </w:rPr>
        <w:t>Chief Financial Officer (Principal Financial Officer)</w:t>
      </w:r>
      <w:r>
        <w:rPr>
          <w:sz w:val="20"/>
          <w:szCs w:val="20"/>
          <w:color w:val="auto"/>
        </w:rPr>
        <w:tab/>
      </w:r>
      <w:r>
        <w:rPr>
          <w:rFonts w:ascii="Times New Roman" w:cs="Times New Roman" w:eastAsia="Times New Roman" w:hAnsi="Times New Roman"/>
          <w:sz w:val="19"/>
          <w:szCs w:val="19"/>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20"/>
          <w:szCs w:val="20"/>
          <w:color w:val="auto"/>
        </w:rPr>
        <w:t>Vice President, Chief Accounting Officer and Treasurer</w:t>
      </w:r>
      <w:r>
        <w:rPr>
          <w:sz w:val="20"/>
          <w:szCs w:val="20"/>
          <w:color w:val="auto"/>
        </w:rPr>
        <w:tab/>
      </w:r>
      <w:r>
        <w:rPr>
          <w:rFonts w:ascii="Times New Roman" w:cs="Times New Roman" w:eastAsia="Times New Roman" w:hAnsi="Times New Roman"/>
          <w:sz w:val="19"/>
          <w:szCs w:val="19"/>
          <w:color w:val="auto"/>
        </w:rPr>
        <w:t>August 6,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20"/>
          <w:szCs w:val="20"/>
          <w:color w:val="auto"/>
        </w:rPr>
        <w:t>Executive Chairman of the Board and Director</w:t>
      </w:r>
      <w:r>
        <w:rPr>
          <w:sz w:val="20"/>
          <w:szCs w:val="20"/>
          <w:color w:val="auto"/>
        </w:rPr>
        <w:tab/>
      </w:r>
      <w:r>
        <w:rPr>
          <w:rFonts w:ascii="Times New Roman" w:cs="Times New Roman" w:eastAsia="Times New Roman" w:hAnsi="Times New Roman"/>
          <w:sz w:val="19"/>
          <w:szCs w:val="19"/>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9"/>
          <w:szCs w:val="19"/>
          <w:color w:val="auto"/>
        </w:rPr>
        <w:t>Director</w:t>
      </w:r>
      <w:r>
        <w:rPr>
          <w:sz w:val="20"/>
          <w:szCs w:val="20"/>
          <w:color w:val="auto"/>
        </w:rPr>
        <w:tab/>
      </w:r>
      <w:r>
        <w:rPr>
          <w:rFonts w:ascii="Times New Roman" w:cs="Times New Roman" w:eastAsia="Times New Roman" w:hAnsi="Times New Roman"/>
          <w:sz w:val="19"/>
          <w:szCs w:val="19"/>
          <w:color w:val="auto"/>
        </w:rPr>
        <w:t>August 6, 2025</w:t>
      </w:r>
    </w:p>
    <w:p>
      <w:pPr>
        <w:spacing w:after="0" w:line="679" w:lineRule="exact"/>
        <w:rPr>
          <w:sz w:val="20"/>
          <w:szCs w:val="20"/>
          <w:color w:val="auto"/>
        </w:rPr>
      </w:pPr>
    </w:p>
    <w:p>
      <w:pPr>
        <w:sectPr>
          <w:pgSz w:w="11880" w:h="15481" w:orient="portrait"/>
          <w:cols w:equalWidth="0" w:num="2">
            <w:col w:w="2380" w:space="720"/>
            <w:col w:w="6720"/>
          </w:cols>
          <w:pgMar w:left="1000" w:top="391" w:right="10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20"/>
          </w:cols>
          <w:pgMar w:left="1000" w:top="391" w:right="1061"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78"/>
        </w:trPr>
        <w:tc>
          <w:tcPr>
            <w:tcW w:w="2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Steven I. Sarowitz</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3580" w:type="dxa"/>
            <w:vAlign w:val="bottom"/>
          </w:tcPr>
          <w:p>
            <w:pPr>
              <w:ind w:left="2360"/>
              <w:spacing w:after="0"/>
              <w:rPr>
                <w:sz w:val="20"/>
                <w:szCs w:val="20"/>
                <w:color w:val="auto"/>
              </w:rPr>
            </w:pPr>
            <w:r>
              <w:rPr>
                <w:rFonts w:ascii="Times New Roman" w:cs="Times New Roman" w:eastAsia="Times New Roman" w:hAnsi="Times New Roman"/>
                <w:sz w:val="20"/>
                <w:szCs w:val="20"/>
                <w:color w:val="auto"/>
                <w:w w:val="97"/>
              </w:rPr>
              <w:t>August 6, 2025</w:t>
            </w:r>
          </w:p>
        </w:tc>
      </w:tr>
      <w:tr>
        <w:trPr>
          <w:trHeight w:val="277"/>
        </w:trPr>
        <w:tc>
          <w:tcPr>
            <w:tcW w:w="2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Steven I. Sarowitz</w:t>
            </w:r>
          </w:p>
        </w:tc>
        <w:tc>
          <w:tcPr>
            <w:tcW w:w="31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8"/>
        </w:trPr>
        <w:tc>
          <w:tcPr>
            <w:tcW w:w="2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Ronald V. Waters, III</w:t>
            </w:r>
          </w:p>
        </w:tc>
        <w:tc>
          <w:tcPr>
            <w:tcW w:w="31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3580" w:type="dxa"/>
            <w:vAlign w:val="bottom"/>
          </w:tcPr>
          <w:p>
            <w:pPr>
              <w:ind w:left="2360"/>
              <w:spacing w:after="0"/>
              <w:rPr>
                <w:sz w:val="20"/>
                <w:szCs w:val="20"/>
                <w:color w:val="auto"/>
              </w:rPr>
            </w:pPr>
            <w:r>
              <w:rPr>
                <w:rFonts w:ascii="Times New Roman" w:cs="Times New Roman" w:eastAsia="Times New Roman" w:hAnsi="Times New Roman"/>
                <w:sz w:val="20"/>
                <w:szCs w:val="20"/>
                <w:color w:val="auto"/>
                <w:w w:val="97"/>
              </w:rPr>
              <w:t>August 6, 2025</w:t>
            </w:r>
          </w:p>
        </w:tc>
      </w:tr>
      <w:tr>
        <w:trPr>
          <w:trHeight w:val="277"/>
        </w:trPr>
        <w:tc>
          <w:tcPr>
            <w:tcW w:w="298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Ronald V. Waters, III</w:t>
            </w:r>
          </w:p>
        </w:tc>
        <w:tc>
          <w:tcPr>
            <w:tcW w:w="314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rPr>
          <w:sz w:val="20"/>
          <w:szCs w:val="20"/>
          <w:color w:val="auto"/>
        </w:rPr>
        <w:sectPr>
          <w:pgSz w:w="11880" w:h="15481" w:orient="portrait"/>
          <w:cols w:equalWidth="0" w:num="1">
            <w:col w:w="9700"/>
          </w:cols>
          <w:pgMar w:left="1000" w:top="473" w:right="1181"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700"/>
          </w:cols>
          <w:pgMar w:left="1000" w:top="473" w:right="1181" w:bottom="0" w:gutter="0" w:footer="0" w:header="0"/>
          <w:type w:val="continuous"/>
        </w:sectPr>
      </w:pPr>
    </w:p>
    <w:bookmarkStart w:id="66" w:name="page67"/>
    <w:bookmarkEnd w:id="66"/>
    <w:p>
      <w:pPr>
        <w:ind w:left="22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t>INDEX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r>
        <w:rPr>
          <w:rFonts w:ascii="Times New Roman" w:cs="Times New Roman" w:eastAsia="Times New Roman" w:hAnsi="Times New Roman"/>
          <w:sz w:val="20"/>
          <w:szCs w:val="20"/>
          <w:color w:val="AAA6A1"/>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Consolidated Balance Sheets as of June 30, 2024 and 2025 </w:t>
      </w:r>
      <w:r>
        <w:rPr>
          <w:rFonts w:ascii="Times New Roman" w:cs="Times New Roman" w:eastAsia="Times New Roman" w:hAnsi="Times New Roman"/>
          <w:sz w:val="19"/>
          <w:szCs w:val="19"/>
          <w:color w:val="AAA6A1"/>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Income for the years ended June 30, 2023, 2024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2025 </w:t>
      </w:r>
      <w:r>
        <w:rPr>
          <w:rFonts w:ascii="Times New Roman" w:cs="Times New Roman" w:eastAsia="Times New Roman" w:hAnsi="Times New Roman"/>
          <w:sz w:val="19"/>
          <w:szCs w:val="19"/>
          <w:color w:val="AAA6A1"/>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Consolidated Statements of Changes in Stockholders’ Equity for the years ended June 30, 2023, 2024 and 2025 </w:t>
      </w:r>
      <w:r>
        <w:rPr>
          <w:rFonts w:ascii="Times New Roman" w:cs="Times New Roman" w:eastAsia="Times New Roman" w:hAnsi="Times New Roman"/>
          <w:sz w:val="19"/>
          <w:szCs w:val="19"/>
          <w:color w:val="AAA6A1"/>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Consolidated Statements of Cash Flows for the years ended June 30, 2023, 2024 and 2025 </w:t>
      </w:r>
      <w:r>
        <w:rPr>
          <w:rFonts w:ascii="Times New Roman" w:cs="Times New Roman" w:eastAsia="Times New Roman" w:hAnsi="Times New Roman"/>
          <w:sz w:val="19"/>
          <w:szCs w:val="19"/>
          <w:color w:val="AAA6A1"/>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r>
        <w:rPr>
          <w:rFonts w:ascii="Times New Roman" w:cs="Times New Roman" w:eastAsia="Times New Roman" w:hAnsi="Times New Roman"/>
          <w:sz w:val="20"/>
          <w:szCs w:val="20"/>
          <w:color w:val="AAA6A1"/>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23495</wp:posOffset>
            </wp:positionV>
            <wp:extent cx="381000" cy="9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8">
                      <a:extLst>
                        <a:ext uri="{28A0092B-C50C-407E-A947-70E740481C1C}"/>
                      </a:extLst>
                    </a:blip>
                    <a:srcRect/>
                    <a:stretch>
                      <a:fillRect/>
                    </a:stretch>
                  </pic:blipFill>
                  <pic:spPr bwMode="auto">
                    <a:xfrm>
                      <a:off x="0" y="0"/>
                      <a:ext cx="381000" cy="9525"/>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-730885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35" w:lineRule="exact"/>
        <w:rPr>
          <w:sz w:val="20"/>
          <w:szCs w:val="20"/>
          <w:color w:val="auto"/>
        </w:rPr>
      </w:pPr>
    </w:p>
    <w:p>
      <w:pPr>
        <w:jc w:val="both"/>
        <w:ind w:left="40" w:right="40"/>
        <w:spacing w:after="0" w:line="410" w:lineRule="auto"/>
        <w:rPr>
          <w:sz w:val="20"/>
          <w:szCs w:val="20"/>
          <w:color w:val="auto"/>
        </w:rPr>
      </w:pPr>
      <w:r>
        <w:rPr>
          <w:rFonts w:ascii="Times New Roman" w:cs="Times New Roman" w:eastAsia="Times New Roman" w:hAnsi="Times New Roman"/>
          <w:sz w:val="18"/>
          <w:szCs w:val="18"/>
          <w:color w:val="auto"/>
        </w:rPr>
        <w:t>F-2 F-5</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F-6</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F-7</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F-8</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F-9</w:t>
      </w:r>
    </w:p>
    <w:p>
      <w:pPr>
        <w:spacing w:after="0" w:line="200" w:lineRule="exact"/>
        <w:rPr>
          <w:sz w:val="20"/>
          <w:szCs w:val="20"/>
          <w:color w:val="auto"/>
        </w:rPr>
      </w:pPr>
    </w:p>
    <w:p>
      <w:pPr>
        <w:sectPr>
          <w:pgSz w:w="11880" w:h="15481" w:orient="portrait"/>
          <w:cols w:equalWidth="0" w:num="2">
            <w:col w:w="9200" w:space="180"/>
            <w:col w:w="340"/>
          </w:cols>
          <w:pgMar w:left="1040" w:top="391" w:right="112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222885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222885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720"/>
          </w:cols>
          <w:pgMar w:left="1040" w:top="391" w:right="1121" w:bottom="0" w:gutter="0" w:footer="0" w:header="0"/>
          <w:type w:val="continuous"/>
        </w:sectPr>
      </w:pPr>
    </w:p>
    <w:bookmarkStart w:id="67" w:name="page68"/>
    <w:bookmarkEnd w:id="67"/>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Paylocity Holding Corporation: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Consolidated Financial Statements and Internal Control Over Financial Reporting</w:t>
      </w:r>
    </w:p>
    <w:p>
      <w:pPr>
        <w:spacing w:after="0" w:line="25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Paylocity Holding Corporation and subsidiaries (the Company) as of June 30, 2025 and 2024, the related consolidated statements of operations and comprehensive income, changes in stockholders’ equity, and cash flows for each of the years in the three-year period ended June 30, 2025, and the related notes (collectively, the consolidated financial statements). We also have audited the Company’s internal control over financial reporting as of June 30, 2025, based on criteria established in </w:t>
      </w:r>
      <w:r>
        <w:rPr>
          <w:rFonts w:ascii="Times New Roman" w:cs="Times New Roman" w:eastAsia="Times New Roman" w:hAnsi="Times New Roman"/>
          <w:sz w:val="20"/>
          <w:szCs w:val="20"/>
          <w:b w:val="1"/>
          <w:bCs w:val="1"/>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(2013) </w:t>
      </w:r>
      <w:r>
        <w:rPr>
          <w:rFonts w:ascii="Times New Roman" w:cs="Times New Roman" w:eastAsia="Times New Roman" w:hAnsi="Times New Roman"/>
          <w:sz w:val="20"/>
          <w:szCs w:val="20"/>
          <w:color w:val="auto"/>
        </w:rPr>
        <w:t>issued by the Committee of Sponsoring Organizations of the Treadway Commission.</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June 30, 2025 and 2024, and the results of its operations and its cash flows for each of the years in the three-year period ended June 30, 2025, in conformity with U.S. generally accepted accounting principles. Also in our opinion, the Company maintained, in all material respects, effective internal control over financial reporting as of June 30, 2025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The Company acquired Airbase Inc. during October 2024, and management excluded from its assessment of the effectiveness of the Company’s internal control over financial reporting as of June 30, 2025, Airbase Inc.’s internal control over financial reporting associated with 9% of the Company’s Total assets and less than 2% of the Company’s Total revenues included in the consolidated financial statements of the Company as of and for the year ended June 30, 2025. Our audit of internal control over financial reporting of the Company also excluded an evaluation of the internal control over financial reporting of Airbase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3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880" w:h="15481" w:orient="portrait"/>
          <w:cols w:equalWidth="0" w:num="1">
            <w:col w:w="9840"/>
          </w:cols>
          <w:pgMar w:left="1000" w:top="391" w:right="10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w:t>
      </w:r>
    </w:p>
    <w:p>
      <w:pPr>
        <w:spacing w:after="0" w:line="20" w:lineRule="exact"/>
        <w:rPr>
          <w:sz w:val="20"/>
          <w:szCs w:val="20"/>
          <w:color w:val="auto"/>
        </w:rPr>
      </w:pPr>
    </w:p>
    <w:p>
      <w:pPr>
        <w:sectPr>
          <w:pgSz w:w="11880" w:h="15481" w:orient="portrait"/>
          <w:cols w:equalWidth="0" w:num="1">
            <w:col w:w="9840"/>
          </w:cols>
          <w:pgMar w:left="1000" w:top="391" w:right="1041"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Capitalized internal-use software development costs</w:t>
      </w:r>
    </w:p>
    <w:p>
      <w:pPr>
        <w:spacing w:after="0" w:line="243" w:lineRule="exact"/>
        <w:rPr>
          <w:sz w:val="20"/>
          <w:szCs w:val="20"/>
          <w:color w:val="auto"/>
        </w:rPr>
      </w:pPr>
    </w:p>
    <w:p>
      <w:pPr>
        <w:ind w:left="360" w:right="20"/>
        <w:spacing w:after="0" w:line="258" w:lineRule="auto"/>
        <w:rPr>
          <w:sz w:val="20"/>
          <w:szCs w:val="20"/>
          <w:color w:val="auto"/>
        </w:rPr>
      </w:pPr>
      <w:r>
        <w:rPr>
          <w:rFonts w:ascii="Times New Roman" w:cs="Times New Roman" w:eastAsia="Times New Roman" w:hAnsi="Times New Roman"/>
          <w:sz w:val="20"/>
          <w:szCs w:val="20"/>
          <w:color w:val="auto"/>
        </w:rPr>
        <w:t>As discussed in Notes 2 and 8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 was $132.3 million as of June 30, 2025. The Company capitalized approximately $75.9 million of internal-use software costs during the year ended June 30, 2025.</w:t>
      </w:r>
    </w:p>
    <w:p>
      <w:pPr>
        <w:spacing w:after="0" w:line="204" w:lineRule="exact"/>
        <w:rPr>
          <w:sz w:val="20"/>
          <w:szCs w:val="20"/>
          <w:color w:val="auto"/>
        </w:rPr>
      </w:pPr>
    </w:p>
    <w:p>
      <w:pPr>
        <w:ind w:left="360" w:right="620"/>
        <w:spacing w:after="0" w:line="283" w:lineRule="auto"/>
        <w:rPr>
          <w:sz w:val="20"/>
          <w:szCs w:val="20"/>
          <w:color w:val="auto"/>
        </w:rPr>
      </w:pPr>
      <w:r>
        <w:rPr>
          <w:rFonts w:ascii="Times New Roman" w:cs="Times New Roman" w:eastAsia="Times New Roman" w:hAnsi="Times New Roman"/>
          <w:sz w:val="20"/>
          <w:szCs w:val="20"/>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78" w:lineRule="exact"/>
        <w:rPr>
          <w:sz w:val="20"/>
          <w:szCs w:val="20"/>
          <w:color w:val="auto"/>
        </w:rPr>
      </w:pPr>
    </w:p>
    <w:p>
      <w:pPr>
        <w:ind w:left="360" w:right="120"/>
        <w:spacing w:after="0" w:line="255" w:lineRule="auto"/>
        <w:rPr>
          <w:sz w:val="20"/>
          <w:szCs w:val="20"/>
          <w:color w:val="auto"/>
        </w:rPr>
      </w:pPr>
      <w:r>
        <w:rPr>
          <w:rFonts w:ascii="Times New Roman" w:cs="Times New Roman" w:eastAsia="Times New Roman" w:hAnsi="Times New Roman"/>
          <w:sz w:val="20"/>
          <w:szCs w:val="20"/>
          <w:color w:val="auto"/>
        </w:rPr>
        <w:t>The following are primary procedures we performed to address this critical audit matter. We evaluated the design and tested the operating effectiveness of an internal control related to the critical audit matter. This control related to the determination of which software development projects met the capitalization criteria. For a selection of current year capitalized software costs, we evaluated the Company’s determination to capitalize the costs by reading the Company’s analysis and discussing the objective and status of the projects with IT department management. We also assessed a sample of the Company’s capitalized costs by confirming the nature of the activities performed with individual software developers.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Fair value of proprietary technology intangible asset</w:t>
      </w:r>
    </w:p>
    <w:p>
      <w:pPr>
        <w:spacing w:after="0" w:line="253" w:lineRule="exact"/>
        <w:rPr>
          <w:sz w:val="20"/>
          <w:szCs w:val="20"/>
          <w:color w:val="auto"/>
        </w:rPr>
      </w:pPr>
    </w:p>
    <w:p>
      <w:pPr>
        <w:jc w:val="both"/>
        <w:ind w:left="360" w:right="120"/>
        <w:spacing w:after="0" w:line="266" w:lineRule="auto"/>
        <w:rPr>
          <w:sz w:val="20"/>
          <w:szCs w:val="20"/>
          <w:color w:val="auto"/>
        </w:rPr>
      </w:pPr>
      <w:r>
        <w:rPr>
          <w:rFonts w:ascii="Times New Roman" w:cs="Times New Roman" w:eastAsia="Times New Roman" w:hAnsi="Times New Roman"/>
          <w:sz w:val="20"/>
          <w:szCs w:val="20"/>
          <w:color w:val="auto"/>
        </w:rPr>
        <w:t>As discussed in Notes 2 and 7 to the consolidated financial statements, on October 1, 2024, the Company acquired all of the outstanding shares of Airbase Inc. (Airbase). As a result of the transaction, the Company acquired a proprietary technology intangible asset with an acquisition-date fair value of $75.2 million.</w:t>
      </w:r>
    </w:p>
    <w:p>
      <w:pPr>
        <w:spacing w:after="0" w:line="195" w:lineRule="exact"/>
        <w:rPr>
          <w:sz w:val="20"/>
          <w:szCs w:val="20"/>
          <w:color w:val="auto"/>
        </w:rPr>
      </w:pPr>
    </w:p>
    <w:p>
      <w:pPr>
        <w:ind w:left="360"/>
        <w:spacing w:after="0" w:line="258" w:lineRule="auto"/>
        <w:rPr>
          <w:sz w:val="20"/>
          <w:szCs w:val="20"/>
          <w:color w:val="auto"/>
        </w:rPr>
      </w:pPr>
      <w:r>
        <w:rPr>
          <w:rFonts w:ascii="Times New Roman" w:cs="Times New Roman" w:eastAsia="Times New Roman" w:hAnsi="Times New Roman"/>
          <w:sz w:val="20"/>
          <w:szCs w:val="20"/>
          <w:color w:val="auto"/>
        </w:rPr>
        <w:t>We identified the evaluation of the acquisition-date fair value of the proprietary technology intangible asset acquired in the Airbase acquisition as a critical audit matter. A high degree of subjective auditor judgment was required to assess certain assumptions used to estimate fair value, specifically the forecasted revenue growth rates and the royalty rate. Changes in these assumptions could have had a significant impact on the fair value of the proprietary technology intangible asset. Additionally, the audit effort associated with this estimate required specialized skills and knowledge.</w:t>
      </w:r>
    </w:p>
    <w:p>
      <w:pPr>
        <w:sectPr>
          <w:pgSz w:w="11880" w:h="15481" w:orient="portrait"/>
          <w:cols w:equalWidth="0" w:num="1">
            <w:col w:w="9880"/>
          </w:cols>
          <w:pgMar w:left="1000" w:top="395"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pacing w:after="0" w:line="20" w:lineRule="exact"/>
        <w:rPr>
          <w:sz w:val="20"/>
          <w:szCs w:val="20"/>
          <w:color w:val="auto"/>
        </w:rPr>
      </w:pPr>
    </w:p>
    <w:p>
      <w:pPr>
        <w:sectPr>
          <w:pgSz w:w="11880" w:h="15481" w:orient="portrait"/>
          <w:cols w:equalWidth="0" w:num="1">
            <w:col w:w="9880"/>
          </w:cols>
          <w:pgMar w:left="1000" w:top="395" w:right="1001" w:bottom="0" w:gutter="0" w:footer="0" w:header="0"/>
          <w:type w:val="continuous"/>
        </w:sectPr>
      </w:pPr>
    </w:p>
    <w:bookmarkStart w:id="69" w:name="page70"/>
    <w:bookmarkEnd w:id="69"/>
    <w:p>
      <w:pPr>
        <w:ind w:left="360"/>
        <w:spacing w:after="0" w:line="255"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related to the Company’s fair value measurement process for the Airbase acquisition, including controls related to the determination of the assumptions noted above. We evaluated the forecasted revenue growth rates used by the Company by comparing them to the growth rates of peer companies and industry data. We involved valuation professionals with specialized skills and knowledge, who assisted us in evaluating the Company’s selected royalty rate by comparing it to the royalty rates obtained from publicly available data for comparable licensing agreements at the acquisition date.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KPMG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6, 2025</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70" w:name="page71"/>
    <w:bookmarkEnd w:id="7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t>PAYLOCITY HOLDING CORPORATION</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8"/>
        </w:trPr>
        <w:tc>
          <w:tcPr>
            <w:tcW w:w="7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AAA6A1"/>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401,811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398,070</w:t>
            </w: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Accounts receivable, net </w:t>
            </w:r>
            <w:r>
              <w:rPr>
                <w:rFonts w:ascii="Times New Roman" w:cs="Times New Roman" w:eastAsia="Times New Roman" w:hAnsi="Times New Roman"/>
                <w:sz w:val="20"/>
                <w:szCs w:val="20"/>
                <w:color w:val="AAA6A1"/>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41,642</w:t>
            </w: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Deferred contract costs </w:t>
            </w:r>
            <w:r>
              <w:rPr>
                <w:rFonts w:ascii="Times New Roman" w:cs="Times New Roman" w:eastAsia="Times New Roman" w:hAnsi="Times New Roman"/>
                <w:sz w:val="20"/>
                <w:szCs w:val="20"/>
                <w:color w:val="AAA6A1"/>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97,859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117,177</w:t>
            </w:r>
          </w:p>
        </w:tc>
        <w:tc>
          <w:tcPr>
            <w:tcW w:w="0" w:type="dxa"/>
            <w:vAlign w:val="bottom"/>
          </w:tcPr>
          <w:p>
            <w:pPr>
              <w:spacing w:after="0"/>
              <w:rPr>
                <w:sz w:val="1"/>
                <w:szCs w:val="1"/>
                <w:color w:val="auto"/>
              </w:rPr>
            </w:pPr>
          </w:p>
        </w:tc>
      </w:tr>
      <w:tr>
        <w:trPr>
          <w:trHeight w:val="262"/>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39,765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50,943</w:t>
            </w:r>
          </w:p>
        </w:tc>
        <w:tc>
          <w:tcPr>
            <w:tcW w:w="0" w:type="dxa"/>
            <w:vAlign w:val="bottom"/>
          </w:tcPr>
          <w:p>
            <w:pPr>
              <w:spacing w:after="0"/>
              <w:rPr>
                <w:sz w:val="1"/>
                <w:szCs w:val="1"/>
                <w:color w:val="auto"/>
              </w:rPr>
            </w:pPr>
          </w:p>
        </w:tc>
      </w:tr>
      <w:tr>
        <w:trPr>
          <w:trHeight w:val="228"/>
        </w:trPr>
        <w:tc>
          <w:tcPr>
            <w:tcW w:w="71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AA6A1"/>
              </w:rPr>
              <w:t>..........................................................</w:t>
            </w:r>
            <w:r>
              <w:rPr>
                <w:rFonts w:ascii="Times New Roman" w:cs="Times New Roman" w:eastAsia="Times New Roman" w:hAnsi="Times New Roman"/>
                <w:sz w:val="20"/>
                <w:szCs w:val="20"/>
                <w:color w:val="000000"/>
              </w:rPr>
              <w:t>Totalcurrentassetsbeforefundsheldforclients</w:t>
            </w:r>
          </w:p>
        </w:tc>
        <w:tc>
          <w:tcPr>
            <w:tcW w:w="28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572,432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
              <w:spacing w:after="0" w:line="229" w:lineRule="exact"/>
              <w:rPr>
                <w:sz w:val="20"/>
                <w:szCs w:val="20"/>
                <w:color w:val="auto"/>
              </w:rPr>
            </w:pPr>
            <w:r>
              <w:rPr>
                <w:rFonts w:ascii="Times New Roman" w:cs="Times New Roman" w:eastAsia="Times New Roman" w:hAnsi="Times New Roman"/>
                <w:sz w:val="20"/>
                <w:szCs w:val="20"/>
                <w:color w:val="auto"/>
              </w:rPr>
              <w:t>607,832</w:t>
            </w:r>
          </w:p>
        </w:tc>
        <w:tc>
          <w:tcPr>
            <w:tcW w:w="0" w:type="dxa"/>
            <w:vAlign w:val="bottom"/>
          </w:tcPr>
          <w:p>
            <w:pPr>
              <w:spacing w:after="0"/>
              <w:rPr>
                <w:sz w:val="1"/>
                <w:szCs w:val="1"/>
                <w:color w:val="auto"/>
              </w:rPr>
            </w:pPr>
          </w:p>
        </w:tc>
      </w:tr>
      <w:tr>
        <w:trPr>
          <w:trHeight w:val="262"/>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Funds held for clients</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2,952,060</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2,704,137</w:t>
            </w:r>
          </w:p>
        </w:tc>
        <w:tc>
          <w:tcPr>
            <w:tcW w:w="0" w:type="dxa"/>
            <w:vAlign w:val="bottom"/>
          </w:tcPr>
          <w:p>
            <w:pPr>
              <w:spacing w:after="0"/>
              <w:rPr>
                <w:sz w:val="1"/>
                <w:szCs w:val="1"/>
                <w:color w:val="auto"/>
              </w:rPr>
            </w:pPr>
          </w:p>
        </w:tc>
      </w:tr>
      <w:tr>
        <w:trPr>
          <w:trHeight w:val="228"/>
        </w:trPr>
        <w:tc>
          <w:tcPr>
            <w:tcW w:w="71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AA6A1"/>
              </w:rPr>
              <w:t>........................................................................................................</w:t>
            </w:r>
            <w:r>
              <w:rPr>
                <w:rFonts w:ascii="Times New Roman" w:cs="Times New Roman" w:eastAsia="Times New Roman" w:hAnsi="Times New Roman"/>
                <w:sz w:val="20"/>
                <w:szCs w:val="20"/>
                <w:color w:val="000000"/>
              </w:rPr>
              <w:t>Totalcurrentassets</w:t>
            </w:r>
          </w:p>
        </w:tc>
        <w:tc>
          <w:tcPr>
            <w:tcW w:w="28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3,524,492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
              <w:spacing w:after="0" w:line="229" w:lineRule="exact"/>
              <w:rPr>
                <w:sz w:val="20"/>
                <w:szCs w:val="20"/>
                <w:color w:val="auto"/>
              </w:rPr>
            </w:pPr>
            <w:r>
              <w:rPr>
                <w:rFonts w:ascii="Times New Roman" w:cs="Times New Roman" w:eastAsia="Times New Roman" w:hAnsi="Times New Roman"/>
                <w:sz w:val="20"/>
                <w:szCs w:val="20"/>
                <w:color w:val="auto"/>
              </w:rPr>
              <w:t>3,311,969</w:t>
            </w: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Capitalized internal-use software, net </w:t>
            </w:r>
            <w:r>
              <w:rPr>
                <w:rFonts w:ascii="Times New Roman" w:cs="Times New Roman" w:eastAsia="Times New Roman" w:hAnsi="Times New Roman"/>
                <w:sz w:val="20"/>
                <w:szCs w:val="20"/>
                <w:color w:val="AAA6A1"/>
                <w:w w:val="99"/>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116,412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132,317</w:t>
            </w: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Property and equipment, net</w:t>
            </w:r>
            <w:r>
              <w:rPr>
                <w:rFonts w:ascii="Times New Roman" w:cs="Times New Roman" w:eastAsia="Times New Roman" w:hAnsi="Times New Roman"/>
                <w:sz w:val="20"/>
                <w:szCs w:val="20"/>
                <w:color w:val="AAA6A1"/>
                <w:w w:val="99"/>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60,640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54,210</w:t>
            </w: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Operating lease right-of-use assets</w:t>
            </w:r>
            <w:r>
              <w:rPr>
                <w:rFonts w:ascii="Times New Roman" w:cs="Times New Roman" w:eastAsia="Times New Roman" w:hAnsi="Times New Roman"/>
                <w:sz w:val="20"/>
                <w:szCs w:val="20"/>
                <w:color w:val="AAA6A1"/>
                <w:w w:val="99"/>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33,792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35,997</w:t>
            </w: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Intangible assets, net</w:t>
            </w:r>
            <w:r>
              <w:rPr>
                <w:rFonts w:ascii="Times New Roman" w:cs="Times New Roman" w:eastAsia="Times New Roman" w:hAnsi="Times New Roman"/>
                <w:sz w:val="20"/>
                <w:szCs w:val="20"/>
                <w:color w:val="AAA6A1"/>
                <w:w w:val="99"/>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28,291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92,671</w:t>
            </w:r>
          </w:p>
        </w:tc>
        <w:tc>
          <w:tcPr>
            <w:tcW w:w="0" w:type="dxa"/>
            <w:vAlign w:val="bottom"/>
          </w:tcPr>
          <w:p>
            <w:pPr>
              <w:spacing w:after="0"/>
              <w:rPr>
                <w:sz w:val="1"/>
                <w:szCs w:val="1"/>
                <w:color w:val="auto"/>
              </w:rPr>
            </w:pPr>
          </w:p>
        </w:tc>
      </w:tr>
      <w:tr>
        <w:trPr>
          <w:trHeight w:val="25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Goodwill</w:t>
            </w:r>
            <w:r>
              <w:rPr>
                <w:rFonts w:ascii="Times New Roman" w:cs="Times New Roman" w:eastAsia="Times New Roman" w:hAnsi="Times New Roman"/>
                <w:sz w:val="20"/>
                <w:szCs w:val="20"/>
                <w:color w:val="AAA6A1"/>
                <w:w w:val="99"/>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108,937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343,100</w:t>
            </w:r>
          </w:p>
        </w:tc>
        <w:tc>
          <w:tcPr>
            <w:tcW w:w="0" w:type="dxa"/>
            <w:vAlign w:val="bottom"/>
          </w:tcPr>
          <w:p>
            <w:pPr>
              <w:spacing w:after="0"/>
              <w:rPr>
                <w:sz w:val="1"/>
                <w:szCs w:val="1"/>
                <w:color w:val="auto"/>
              </w:rPr>
            </w:pPr>
          </w:p>
        </w:tc>
      </w:tr>
      <w:tr>
        <w:trPr>
          <w:trHeight w:val="24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Long-term deferred contract costs</w:t>
            </w:r>
            <w:r>
              <w:rPr>
                <w:rFonts w:ascii="Times New Roman" w:cs="Times New Roman" w:eastAsia="Times New Roman" w:hAnsi="Times New Roman"/>
                <w:sz w:val="20"/>
                <w:szCs w:val="20"/>
                <w:color w:val="AAA6A1"/>
                <w:w w:val="99"/>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348,003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393,671</w:t>
            </w:r>
          </w:p>
        </w:tc>
        <w:tc>
          <w:tcPr>
            <w:tcW w:w="0" w:type="dxa"/>
            <w:vAlign w:val="bottom"/>
          </w:tcPr>
          <w:p>
            <w:pPr>
              <w:spacing w:after="0"/>
              <w:rPr>
                <w:sz w:val="1"/>
                <w:szCs w:val="1"/>
                <w:color w:val="auto"/>
              </w:rPr>
            </w:pPr>
          </w:p>
        </w:tc>
      </w:tr>
      <w:tr>
        <w:trPr>
          <w:trHeight w:val="27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Long</w:t>
            </w:r>
            <w:r>
              <w:rPr>
                <w:rFonts w:ascii="Arial" w:cs="Arial" w:eastAsia="Arial" w:hAnsi="Arial"/>
                <w:sz w:val="20"/>
                <w:szCs w:val="20"/>
                <w:b w:val="1"/>
                <w:bCs w:val="1"/>
                <w:color w:val="auto"/>
                <w:w w:val="99"/>
              </w:rPr>
              <w:t>-</w:t>
            </w:r>
            <w:r>
              <w:rPr>
                <w:rFonts w:ascii="Times New Roman" w:cs="Times New Roman" w:eastAsia="Times New Roman" w:hAnsi="Times New Roman"/>
                <w:sz w:val="20"/>
                <w:szCs w:val="20"/>
                <w:color w:val="auto"/>
                <w:w w:val="99"/>
              </w:rPr>
              <w:t xml:space="preserve">term prepaid expenses and other </w:t>
            </w:r>
            <w:r>
              <w:rPr>
                <w:rFonts w:ascii="Times New Roman" w:cs="Times New Roman" w:eastAsia="Times New Roman" w:hAnsi="Times New Roman"/>
                <w:sz w:val="20"/>
                <w:szCs w:val="20"/>
                <w:color w:val="AAA6A1"/>
                <w:w w:val="99"/>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7,739</w:t>
            </w:r>
          </w:p>
        </w:tc>
        <w:tc>
          <w:tcPr>
            <w:tcW w:w="0" w:type="dxa"/>
            <w:vAlign w:val="bottom"/>
          </w:tcPr>
          <w:p>
            <w:pPr>
              <w:spacing w:after="0"/>
              <w:rPr>
                <w:sz w:val="1"/>
                <w:szCs w:val="1"/>
                <w:color w:val="auto"/>
              </w:rPr>
            </w:pPr>
          </w:p>
        </w:tc>
      </w:tr>
      <w:tr>
        <w:trPr>
          <w:trHeight w:val="262"/>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Deferred income tax assets</w:t>
            </w:r>
            <w:r>
              <w:rPr>
                <w:rFonts w:ascii="Times New Roman" w:cs="Times New Roman" w:eastAsia="Times New Roman" w:hAnsi="Times New Roman"/>
                <w:sz w:val="20"/>
                <w:szCs w:val="20"/>
                <w:color w:val="AAA6A1"/>
                <w:w w:val="99"/>
              </w:rPr>
              <w:t>...................................................................................................</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17,816</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17,754</w:t>
            </w:r>
          </w:p>
        </w:tc>
        <w:tc>
          <w:tcPr>
            <w:tcW w:w="0" w:type="dxa"/>
            <w:vAlign w:val="bottom"/>
          </w:tcPr>
          <w:p>
            <w:pPr>
              <w:spacing w:after="0"/>
              <w:rPr>
                <w:sz w:val="1"/>
                <w:szCs w:val="1"/>
                <w:color w:val="auto"/>
              </w:rPr>
            </w:pPr>
          </w:p>
        </w:tc>
      </w:tr>
      <w:tr>
        <w:trPr>
          <w:trHeight w:val="218"/>
        </w:trPr>
        <w:tc>
          <w:tcPr>
            <w:tcW w:w="718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AA6A1"/>
              </w:rPr>
              <w:t>....................................................................................................................</w:t>
            </w:r>
            <w:r>
              <w:rPr>
                <w:rFonts w:ascii="Times New Roman" w:cs="Times New Roman" w:eastAsia="Times New Roman" w:hAnsi="Times New Roman"/>
                <w:sz w:val="20"/>
                <w:szCs w:val="20"/>
                <w:color w:val="000000"/>
              </w:rPr>
              <w:t>Totalassets</w:t>
            </w:r>
          </w:p>
        </w:tc>
        <w:tc>
          <w:tcPr>
            <w:tcW w:w="280" w:type="dxa"/>
            <w:vAlign w:val="bottom"/>
            <w:tcBorders>
              <w:bottom w:val="single" w:sz="8" w:color="auto"/>
            </w:tcBorders>
          </w:tcPr>
          <w:p>
            <w:pPr>
              <w:jc w:val="right"/>
              <w:ind w:right="20"/>
              <w:spacing w:after="0" w:line="217"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4,245,460</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80"/>
              <w:spacing w:after="0" w:line="217"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4,389,428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w:t>
            </w:r>
            <w:r>
              <w:rPr>
                <w:rFonts w:ascii="Times New Roman" w:cs="Times New Roman" w:eastAsia="Times New Roman" w:hAnsi="Times New Roman"/>
                <w:sz w:val="20"/>
                <w:szCs w:val="20"/>
                <w:color w:val="AAA6A1"/>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17,347</w:t>
            </w:r>
          </w:p>
        </w:tc>
        <w:tc>
          <w:tcPr>
            <w:tcW w:w="0" w:type="dxa"/>
            <w:vAlign w:val="bottom"/>
          </w:tcPr>
          <w:p>
            <w:pPr>
              <w:spacing w:after="0"/>
              <w:rPr>
                <w:sz w:val="1"/>
                <w:szCs w:val="1"/>
                <w:color w:val="auto"/>
              </w:rPr>
            </w:pPr>
          </w:p>
        </w:tc>
      </w:tr>
      <w:tr>
        <w:trPr>
          <w:trHeight w:val="30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expenses </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158,311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193,081</w:t>
            </w:r>
          </w:p>
        </w:tc>
        <w:tc>
          <w:tcPr>
            <w:tcW w:w="0" w:type="dxa"/>
            <w:vAlign w:val="bottom"/>
          </w:tcPr>
          <w:p>
            <w:pPr>
              <w:spacing w:after="0"/>
              <w:rPr>
                <w:sz w:val="1"/>
                <w:szCs w:val="1"/>
                <w:color w:val="auto"/>
              </w:rPr>
            </w:pPr>
          </w:p>
        </w:tc>
      </w:tr>
      <w:tr>
        <w:trPr>
          <w:trHeight w:val="27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current liabilities before client fund obligations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166,949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210,428</w:t>
            </w:r>
          </w:p>
        </w:tc>
        <w:tc>
          <w:tcPr>
            <w:tcW w:w="0" w:type="dxa"/>
            <w:vAlign w:val="bottom"/>
          </w:tcPr>
          <w:p>
            <w:pPr>
              <w:spacing w:after="0"/>
              <w:rPr>
                <w:sz w:val="1"/>
                <w:szCs w:val="1"/>
                <w:color w:val="auto"/>
              </w:rPr>
            </w:pPr>
          </w:p>
        </w:tc>
      </w:tr>
      <w:tr>
        <w:trPr>
          <w:trHeight w:val="30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Client fund obligations</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2,950,411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2,694,842</w:t>
            </w:r>
          </w:p>
        </w:tc>
        <w:tc>
          <w:tcPr>
            <w:tcW w:w="0" w:type="dxa"/>
            <w:vAlign w:val="bottom"/>
          </w:tcPr>
          <w:p>
            <w:pPr>
              <w:spacing w:after="0"/>
              <w:rPr>
                <w:sz w:val="1"/>
                <w:szCs w:val="1"/>
                <w:color w:val="auto"/>
              </w:rPr>
            </w:pPr>
          </w:p>
        </w:tc>
      </w:tr>
      <w:tr>
        <w:trPr>
          <w:trHeight w:val="27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current liabilities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3,117,360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2,905,270</w:t>
            </w:r>
          </w:p>
        </w:tc>
        <w:tc>
          <w:tcPr>
            <w:tcW w:w="0" w:type="dxa"/>
            <w:vAlign w:val="bottom"/>
          </w:tcPr>
          <w:p>
            <w:pPr>
              <w:spacing w:after="0"/>
              <w:rPr>
                <w:sz w:val="1"/>
                <w:szCs w:val="1"/>
                <w:color w:val="auto"/>
              </w:rPr>
            </w:pPr>
          </w:p>
        </w:tc>
      </w:tr>
      <w:tr>
        <w:trPr>
          <w:trHeight w:val="30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Long-term debt </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162,500</w:t>
            </w:r>
          </w:p>
        </w:tc>
        <w:tc>
          <w:tcPr>
            <w:tcW w:w="0" w:type="dxa"/>
            <w:vAlign w:val="bottom"/>
          </w:tcPr>
          <w:p>
            <w:pPr>
              <w:spacing w:after="0"/>
              <w:rPr>
                <w:sz w:val="1"/>
                <w:szCs w:val="1"/>
                <w:color w:val="auto"/>
              </w:rPr>
            </w:pPr>
          </w:p>
        </w:tc>
      </w:tr>
      <w:tr>
        <w:trPr>
          <w:trHeight w:val="30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Long-term operating lease liabilities </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46,814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46,772</w:t>
            </w:r>
          </w:p>
        </w:tc>
        <w:tc>
          <w:tcPr>
            <w:tcW w:w="0" w:type="dxa"/>
            <w:vAlign w:val="bottom"/>
          </w:tcPr>
          <w:p>
            <w:pPr>
              <w:spacing w:after="0"/>
              <w:rPr>
                <w:sz w:val="1"/>
                <w:szCs w:val="1"/>
                <w:color w:val="auto"/>
              </w:rPr>
            </w:pPr>
          </w:p>
        </w:tc>
      </w:tr>
      <w:tr>
        <w:trPr>
          <w:trHeight w:val="30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Other long-term liabilities </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8,580</w:t>
            </w:r>
          </w:p>
        </w:tc>
        <w:tc>
          <w:tcPr>
            <w:tcW w:w="0" w:type="dxa"/>
            <w:vAlign w:val="bottom"/>
          </w:tcPr>
          <w:p>
            <w:pPr>
              <w:spacing w:after="0"/>
              <w:rPr>
                <w:sz w:val="1"/>
                <w:szCs w:val="1"/>
                <w:color w:val="auto"/>
              </w:rPr>
            </w:pPr>
          </w:p>
        </w:tc>
      </w:tr>
      <w:tr>
        <w:trPr>
          <w:trHeight w:val="30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Deferred income tax liabilities </w:t>
            </w:r>
            <w:r>
              <w:rPr>
                <w:rFonts w:ascii="Times New Roman" w:cs="Times New Roman" w:eastAsia="Times New Roman" w:hAnsi="Times New Roman"/>
                <w:sz w:val="20"/>
                <w:szCs w:val="20"/>
                <w:color w:val="AAA6A1"/>
                <w:w w:val="99"/>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41,824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32,559</w:t>
            </w:r>
          </w:p>
        </w:tc>
        <w:tc>
          <w:tcPr>
            <w:tcW w:w="0" w:type="dxa"/>
            <w:vAlign w:val="bottom"/>
          </w:tcPr>
          <w:p>
            <w:pPr>
              <w:spacing w:after="0"/>
              <w:rPr>
                <w:sz w:val="1"/>
                <w:szCs w:val="1"/>
                <w:color w:val="auto"/>
              </w:rPr>
            </w:pPr>
          </w:p>
        </w:tc>
      </w:tr>
      <w:tr>
        <w:trPr>
          <w:trHeight w:val="278"/>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liabilities</w:t>
            </w:r>
            <w:r>
              <w:rPr>
                <w:rFonts w:ascii="Times New Roman" w:cs="Times New Roman" w:eastAsia="Times New Roman" w:hAnsi="Times New Roman"/>
                <w:sz w:val="20"/>
                <w:szCs w:val="20"/>
                <w:color w:val="AAA6A1"/>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3,212,396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3,155,681</w:t>
            </w:r>
          </w:p>
        </w:tc>
        <w:tc>
          <w:tcPr>
            <w:tcW w:w="0" w:type="dxa"/>
            <w:vAlign w:val="bottom"/>
          </w:tcPr>
          <w:p>
            <w:pPr>
              <w:spacing w:after="0"/>
              <w:rPr>
                <w:sz w:val="1"/>
                <w:szCs w:val="1"/>
                <w:color w:val="auto"/>
              </w:rPr>
            </w:pPr>
          </w:p>
        </w:tc>
      </w:tr>
      <w:tr>
        <w:trPr>
          <w:trHeight w:val="28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Stockholders’ equity:</w:t>
            </w:r>
            <w:r>
              <w:rPr>
                <w:rFonts w:ascii="Times New Roman" w:cs="Times New Roman" w:eastAsia="Times New Roman" w:hAnsi="Times New Roman"/>
                <w:sz w:val="20"/>
                <w:szCs w:val="20"/>
                <w:color w:val="AAA6A1"/>
                <w:w w:val="99"/>
              </w:rPr>
              <w:t>............................................................................................................</w:t>
            </w: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1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Preferred stock, $0.001 par value, 5,000 authorized, no shares issued and outstanding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at June 30, 2024 and June 30, 2025 </w:t>
            </w:r>
            <w:r>
              <w:rPr>
                <w:rFonts w:ascii="Times New Roman" w:cs="Times New Roman" w:eastAsia="Times New Roman" w:hAnsi="Times New Roman"/>
                <w:sz w:val="20"/>
                <w:szCs w:val="20"/>
                <w:color w:val="AAA6A1"/>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9"/>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$0.001 par value, 155,000 shares authorized at June 30, 2024 and June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30, 2025; 55,514 shares issued and outstanding at June 30, 2024 and 55,366 shares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issued and outstanding at June 30, 2025 </w:t>
            </w:r>
            <w:r>
              <w:rPr>
                <w:rFonts w:ascii="Times New Roman" w:cs="Times New Roman" w:eastAsia="Times New Roman" w:hAnsi="Times New Roman"/>
                <w:sz w:val="20"/>
                <w:szCs w:val="20"/>
                <w:color w:val="AAA6A1"/>
                <w:w w:val="99"/>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30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Additional paid-in capital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360,488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327,518</w:t>
            </w:r>
          </w:p>
        </w:tc>
        <w:tc>
          <w:tcPr>
            <w:tcW w:w="0" w:type="dxa"/>
            <w:vAlign w:val="bottom"/>
          </w:tcPr>
          <w:p>
            <w:pPr>
              <w:spacing w:after="0"/>
              <w:rPr>
                <w:sz w:val="1"/>
                <w:szCs w:val="1"/>
                <w:color w:val="auto"/>
              </w:rPr>
            </w:pPr>
          </w:p>
        </w:tc>
      </w:tr>
      <w:tr>
        <w:trPr>
          <w:trHeight w:val="30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Retained earnings</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673,456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900,583</w:t>
            </w:r>
          </w:p>
        </w:tc>
        <w:tc>
          <w:tcPr>
            <w:tcW w:w="0" w:type="dxa"/>
            <w:vAlign w:val="bottom"/>
          </w:tcPr>
          <w:p>
            <w:pPr>
              <w:spacing w:after="0"/>
              <w:rPr>
                <w:sz w:val="1"/>
                <w:szCs w:val="1"/>
                <w:color w:val="auto"/>
              </w:rPr>
            </w:pPr>
          </w:p>
        </w:tc>
      </w:tr>
      <w:tr>
        <w:trPr>
          <w:trHeight w:val="30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Accumulated other comprehensive income (loss) </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5,591</w:t>
            </w:r>
          </w:p>
        </w:tc>
        <w:tc>
          <w:tcPr>
            <w:tcW w:w="0" w:type="dxa"/>
            <w:vAlign w:val="bottom"/>
          </w:tcPr>
          <w:p>
            <w:pPr>
              <w:spacing w:after="0"/>
              <w:rPr>
                <w:sz w:val="1"/>
                <w:szCs w:val="1"/>
                <w:color w:val="auto"/>
              </w:rPr>
            </w:pPr>
          </w:p>
        </w:tc>
      </w:tr>
      <w:tr>
        <w:trPr>
          <w:trHeight w:val="28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stockholders' equity </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1,033,064</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1,233,747</w:t>
            </w:r>
          </w:p>
        </w:tc>
        <w:tc>
          <w:tcPr>
            <w:tcW w:w="0" w:type="dxa"/>
            <w:vAlign w:val="bottom"/>
          </w:tcPr>
          <w:p>
            <w:pPr>
              <w:spacing w:after="0"/>
              <w:rPr>
                <w:sz w:val="1"/>
                <w:szCs w:val="1"/>
                <w:color w:val="auto"/>
              </w:rPr>
            </w:pPr>
          </w:p>
        </w:tc>
      </w:tr>
      <w:tr>
        <w:trPr>
          <w:trHeight w:val="26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liabilities and stockholders’ equity</w:t>
            </w:r>
            <w:r>
              <w:rPr>
                <w:rFonts w:ascii="Times New Roman" w:cs="Times New Roman" w:eastAsia="Times New Roman" w:hAnsi="Times New Roman"/>
                <w:sz w:val="20"/>
                <w:szCs w:val="20"/>
                <w:color w:val="AAA6A1"/>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4,245,460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4,389,428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1" w:orient="portrait"/>
          <w:cols w:equalWidth="0" w:num="1">
            <w:col w:w="9860"/>
          </w:cols>
          <w:pgMar w:left="1040" w:top="384"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222885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222885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60"/>
          </w:cols>
          <w:pgMar w:left="1040" w:top="384" w:right="981" w:bottom="0" w:gutter="0" w:footer="0" w:header="0"/>
          <w:type w:val="continuous"/>
        </w:sectPr>
      </w:pPr>
    </w:p>
    <w:bookmarkStart w:id="71" w:name="page72"/>
    <w:bookmarkEnd w:id="71"/>
    <w:p>
      <w:pPr>
        <w:jc w:val="cente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t>PAYLOCITY HOLDING CORPORATION Consolidated Statements of Operations and Comprehensive Income (in thousands, except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9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Recurring and other revenue </w:t>
            </w:r>
            <w:r>
              <w:rPr>
                <w:rFonts w:ascii="Times New Roman" w:cs="Times New Roman" w:eastAsia="Times New Roman" w:hAnsi="Times New Roman"/>
                <w:sz w:val="20"/>
                <w:szCs w:val="20"/>
                <w:color w:val="AAA6A1"/>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1,098,036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1,281,680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1,471,801</w:t>
            </w:r>
          </w:p>
        </w:tc>
        <w:tc>
          <w:tcPr>
            <w:tcW w:w="0" w:type="dxa"/>
            <w:vAlign w:val="bottom"/>
          </w:tcPr>
          <w:p>
            <w:pPr>
              <w:spacing w:after="0"/>
              <w:rPr>
                <w:sz w:val="1"/>
                <w:szCs w:val="1"/>
                <w:color w:val="auto"/>
              </w:rPr>
            </w:pP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income on funds held for clients</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76,562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120,835</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123,420</w:t>
            </w:r>
          </w:p>
        </w:tc>
        <w:tc>
          <w:tcPr>
            <w:tcW w:w="0" w:type="dxa"/>
            <w:vAlign w:val="bottom"/>
          </w:tcPr>
          <w:p>
            <w:pPr>
              <w:spacing w:after="0"/>
              <w:rPr>
                <w:sz w:val="1"/>
                <w:szCs w:val="1"/>
                <w:color w:val="auto"/>
              </w:rPr>
            </w:pP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revenues </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1,174,598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1,595,221</w:t>
            </w:r>
          </w:p>
        </w:tc>
        <w:tc>
          <w:tcPr>
            <w:tcW w:w="0" w:type="dxa"/>
            <w:vAlign w:val="bottom"/>
          </w:tcPr>
          <w:p>
            <w:pPr>
              <w:spacing w:after="0"/>
              <w:rPr>
                <w:sz w:val="1"/>
                <w:szCs w:val="1"/>
                <w:color w:val="auto"/>
              </w:rPr>
            </w:pP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Cost of revenues</w:t>
            </w:r>
            <w:r>
              <w:rPr>
                <w:rFonts w:ascii="Times New Roman" w:cs="Times New Roman" w:eastAsia="Times New Roman" w:hAnsi="Times New Roman"/>
                <w:sz w:val="20"/>
                <w:szCs w:val="20"/>
                <w:color w:val="AAA6A1"/>
                <w:w w:val="99"/>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367,039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441,729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498,223</w:t>
            </w:r>
          </w:p>
        </w:tc>
        <w:tc>
          <w:tcPr>
            <w:tcW w:w="0" w:type="dxa"/>
            <w:vAlign w:val="bottom"/>
          </w:tcPr>
          <w:p>
            <w:pPr>
              <w:spacing w:after="0"/>
              <w:rPr>
                <w:sz w:val="1"/>
                <w:szCs w:val="1"/>
                <w:color w:val="auto"/>
              </w:rPr>
            </w:pPr>
          </w:p>
        </w:tc>
      </w:tr>
      <w:tr>
        <w:trPr>
          <w:trHeight w:val="27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Gross profit </w:t>
            </w:r>
            <w:r>
              <w:rPr>
                <w:rFonts w:ascii="Times New Roman" w:cs="Times New Roman" w:eastAsia="Times New Roman" w:hAnsi="Times New Roman"/>
                <w:sz w:val="20"/>
                <w:szCs w:val="20"/>
                <w:color w:val="AAA6A1"/>
                <w:w w:val="99"/>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807,559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960,786</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1,096,998</w:t>
            </w:r>
          </w:p>
        </w:tc>
        <w:tc>
          <w:tcPr>
            <w:tcW w:w="0" w:type="dxa"/>
            <w:vAlign w:val="bottom"/>
          </w:tcPr>
          <w:p>
            <w:pPr>
              <w:spacing w:after="0"/>
              <w:rPr>
                <w:sz w:val="1"/>
                <w:szCs w:val="1"/>
                <w:color w:val="auto"/>
              </w:rPr>
            </w:pPr>
          </w:p>
        </w:tc>
      </w:tr>
      <w:tr>
        <w:trPr>
          <w:trHeight w:val="29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Operating expenses: </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Sales and marketing</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296,716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334,954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374,216</w:t>
            </w:r>
          </w:p>
        </w:tc>
        <w:tc>
          <w:tcPr>
            <w:tcW w:w="0" w:type="dxa"/>
            <w:vAlign w:val="bottom"/>
          </w:tcPr>
          <w:p>
            <w:pPr>
              <w:spacing w:after="0"/>
              <w:rPr>
                <w:sz w:val="1"/>
                <w:szCs w:val="1"/>
                <w:color w:val="auto"/>
              </w:rPr>
            </w:pP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163,994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205,851</w:t>
            </w:r>
          </w:p>
        </w:tc>
        <w:tc>
          <w:tcPr>
            <w:tcW w:w="0" w:type="dxa"/>
            <w:vAlign w:val="bottom"/>
          </w:tcPr>
          <w:p>
            <w:pPr>
              <w:spacing w:after="0"/>
              <w:rPr>
                <w:sz w:val="1"/>
                <w:szCs w:val="1"/>
                <w:color w:val="auto"/>
              </w:rPr>
            </w:pP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General and administrative</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191,823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187,406</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212,907</w:t>
            </w:r>
          </w:p>
        </w:tc>
        <w:tc>
          <w:tcPr>
            <w:tcW w:w="0" w:type="dxa"/>
            <w:vAlign w:val="bottom"/>
          </w:tcPr>
          <w:p>
            <w:pPr>
              <w:spacing w:after="0"/>
              <w:rPr>
                <w:sz w:val="1"/>
                <w:szCs w:val="1"/>
                <w:color w:val="auto"/>
              </w:rPr>
            </w:pPr>
          </w:p>
        </w:tc>
      </w:tr>
      <w:tr>
        <w:trPr>
          <w:trHeight w:val="28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operating expenses</w:t>
            </w:r>
            <w:r>
              <w:rPr>
                <w:rFonts w:ascii="Times New Roman" w:cs="Times New Roman" w:eastAsia="Times New Roman" w:hAnsi="Times New Roman"/>
                <w:sz w:val="20"/>
                <w:szCs w:val="20"/>
                <w:color w:val="AAA6A1"/>
                <w:w w:val="99"/>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652,533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700,693</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792,974</w:t>
            </w:r>
          </w:p>
        </w:tc>
        <w:tc>
          <w:tcPr>
            <w:tcW w:w="0" w:type="dxa"/>
            <w:vAlign w:val="bottom"/>
          </w:tcPr>
          <w:p>
            <w:pPr>
              <w:spacing w:after="0"/>
              <w:rPr>
                <w:sz w:val="1"/>
                <w:szCs w:val="1"/>
                <w:color w:val="auto"/>
              </w:rPr>
            </w:pP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income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304,024</w:t>
            </w:r>
          </w:p>
        </w:tc>
        <w:tc>
          <w:tcPr>
            <w:tcW w:w="0" w:type="dxa"/>
            <w:vAlign w:val="bottom"/>
          </w:tcPr>
          <w:p>
            <w:pPr>
              <w:spacing w:after="0"/>
              <w:rPr>
                <w:sz w:val="1"/>
                <w:szCs w:val="1"/>
                <w:color w:val="auto"/>
              </w:rPr>
            </w:pP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Other income</w:t>
            </w:r>
            <w:r>
              <w:rPr>
                <w:rFonts w:ascii="Times New Roman" w:cs="Times New Roman" w:eastAsia="Times New Roman" w:hAnsi="Times New Roman"/>
                <w:sz w:val="20"/>
                <w:szCs w:val="20"/>
                <w:color w:val="AAA6A1"/>
                <w:w w:val="99"/>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16,922</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5,039</w:t>
            </w:r>
          </w:p>
        </w:tc>
        <w:tc>
          <w:tcPr>
            <w:tcW w:w="0" w:type="dxa"/>
            <w:vAlign w:val="bottom"/>
          </w:tcPr>
          <w:p>
            <w:pPr>
              <w:spacing w:after="0"/>
              <w:rPr>
                <w:sz w:val="1"/>
                <w:szCs w:val="1"/>
                <w:color w:val="auto"/>
              </w:rPr>
            </w:pP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before income taxes</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158,614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277,015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309,063</w:t>
            </w:r>
          </w:p>
        </w:tc>
        <w:tc>
          <w:tcPr>
            <w:tcW w:w="0" w:type="dxa"/>
            <w:vAlign w:val="bottom"/>
          </w:tcPr>
          <w:p>
            <w:pPr>
              <w:spacing w:after="0"/>
              <w:rPr>
                <w:sz w:val="1"/>
                <w:szCs w:val="1"/>
                <w:color w:val="auto"/>
              </w:rPr>
            </w:pPr>
          </w:p>
        </w:tc>
      </w:tr>
      <w:tr>
        <w:trPr>
          <w:trHeight w:val="30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expense </w:t>
            </w:r>
            <w:r>
              <w:rPr>
                <w:rFonts w:ascii="Times New Roman" w:cs="Times New Roman" w:eastAsia="Times New Roman" w:hAnsi="Times New Roman"/>
                <w:sz w:val="20"/>
                <w:szCs w:val="20"/>
                <w:color w:val="AAA6A1"/>
                <w:w w:val="99"/>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17,792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70,249</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81,936</w:t>
            </w:r>
          </w:p>
        </w:tc>
        <w:tc>
          <w:tcPr>
            <w:tcW w:w="0" w:type="dxa"/>
            <w:vAlign w:val="bottom"/>
          </w:tcPr>
          <w:p>
            <w:pPr>
              <w:spacing w:after="0"/>
              <w:rPr>
                <w:sz w:val="1"/>
                <w:szCs w:val="1"/>
                <w:color w:val="auto"/>
              </w:rPr>
            </w:pPr>
          </w:p>
        </w:tc>
      </w:tr>
      <w:tr>
        <w:trPr>
          <w:trHeight w:val="26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Net income </w:t>
            </w:r>
            <w:r>
              <w:rPr>
                <w:rFonts w:ascii="Times New Roman" w:cs="Times New Roman" w:eastAsia="Times New Roman" w:hAnsi="Times New Roman"/>
                <w:sz w:val="20"/>
                <w:szCs w:val="20"/>
                <w:color w:val="AAA6A1"/>
                <w:w w:val="99"/>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206,766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227,127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820" w:type="dxa"/>
            <w:vAlign w:val="bottom"/>
            <w:vMerge w:val="continue"/>
          </w:tcPr>
          <w:p>
            <w:pPr>
              <w:jc w:val="right"/>
              <w:spacing w:after="0" w:line="197" w:lineRule="exact"/>
              <w:rPr>
                <w:sz w:val="20"/>
                <w:szCs w:val="20"/>
                <w:color w:val="auto"/>
              </w:rPr>
            </w:pP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(2,212)</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3,579</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6,527</w:t>
            </w:r>
          </w:p>
        </w:tc>
        <w:tc>
          <w:tcPr>
            <w:tcW w:w="0" w:type="dxa"/>
            <w:vAlign w:val="bottom"/>
          </w:tcPr>
          <w:p>
            <w:pPr>
              <w:spacing w:after="0"/>
              <w:rPr>
                <w:sz w:val="1"/>
                <w:szCs w:val="1"/>
                <w:color w:val="auto"/>
              </w:rPr>
            </w:pPr>
          </w:p>
        </w:tc>
      </w:tr>
      <w:tr>
        <w:trPr>
          <w:trHeight w:val="258"/>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Comprehensive income</w:t>
            </w:r>
            <w:r>
              <w:rPr>
                <w:rFonts w:ascii="Times New Roman" w:cs="Times New Roman" w:eastAsia="Times New Roman" w:hAnsi="Times New Roman"/>
                <w:sz w:val="20"/>
                <w:szCs w:val="20"/>
                <w:color w:val="AAA6A1"/>
                <w:w w:val="99"/>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138,610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210,345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233,654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4.08</w:t>
            </w:r>
          </w:p>
        </w:tc>
        <w:tc>
          <w:tcPr>
            <w:tcW w:w="0" w:type="dxa"/>
            <w:vAlign w:val="bottom"/>
          </w:tcPr>
          <w:p>
            <w:pPr>
              <w:spacing w:after="0"/>
              <w:rPr>
                <w:sz w:val="1"/>
                <w:szCs w:val="1"/>
                <w:color w:val="auto"/>
              </w:rPr>
            </w:pPr>
          </w:p>
        </w:tc>
      </w:tr>
      <w:tr>
        <w:trPr>
          <w:trHeight w:val="20"/>
        </w:trPr>
        <w:tc>
          <w:tcPr>
            <w:tcW w:w="5820" w:type="dxa"/>
            <w:vAlign w:val="bottom"/>
            <w:vMerge w:val="restart"/>
          </w:tcPr>
          <w:p>
            <w:pPr>
              <w:jc w:val="right"/>
              <w:ind w:right="494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20" w:type="dxa"/>
            <w:vAlign w:val="bottom"/>
            <w:vMerge w:val="continue"/>
          </w:tcPr>
          <w:p>
            <w:pPr>
              <w:jc w:val="right"/>
              <w:spacing w:after="0" w:line="197" w:lineRule="exact"/>
              <w:rPr>
                <w:sz w:val="20"/>
                <w:szCs w:val="20"/>
                <w:color w:val="auto"/>
              </w:rPr>
            </w:pPr>
            <w:r>
              <w:rPr>
                <w:rFonts w:ascii="Times New Roman" w:cs="Times New Roman" w:eastAsia="Times New Roman" w:hAnsi="Times New Roman"/>
                <w:sz w:val="20"/>
                <w:szCs w:val="20"/>
                <w:color w:val="AAA6A1"/>
              </w:rPr>
              <w:t>...................................................................................................</w:t>
            </w:r>
          </w:p>
        </w:tc>
        <w:tc>
          <w:tcPr>
            <w:tcW w:w="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6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4.02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used in computing net income per share:</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55,706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56,214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55,649</w:t>
            </w:r>
          </w:p>
        </w:tc>
        <w:tc>
          <w:tcPr>
            <w:tcW w:w="0" w:type="dxa"/>
            <w:vAlign w:val="bottom"/>
          </w:tcPr>
          <w:p>
            <w:pPr>
              <w:spacing w:after="0"/>
              <w:rPr>
                <w:sz w:val="1"/>
                <w:szCs w:val="1"/>
                <w:color w:val="auto"/>
              </w:rPr>
            </w:pPr>
          </w:p>
        </w:tc>
      </w:tr>
      <w:tr>
        <w:trPr>
          <w:trHeight w:val="20"/>
        </w:trPr>
        <w:tc>
          <w:tcPr>
            <w:tcW w:w="5820" w:type="dxa"/>
            <w:vAlign w:val="bottom"/>
            <w:vMerge w:val="restart"/>
          </w:tcPr>
          <w:p>
            <w:pPr>
              <w:jc w:val="right"/>
              <w:ind w:right="4940"/>
              <w:spacing w:after="0"/>
              <w:rPr>
                <w:sz w:val="20"/>
                <w:szCs w:val="20"/>
                <w:color w:val="auto"/>
              </w:rPr>
            </w:pPr>
            <w:r>
              <w:rPr>
                <w:rFonts w:ascii="Times New Roman" w:cs="Times New Roman" w:eastAsia="Times New Roman" w:hAnsi="Times New Roman"/>
                <w:sz w:val="20"/>
                <w:szCs w:val="20"/>
                <w:color w:val="auto"/>
              </w:rPr>
              <w:t>Diluted</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20" w:type="dxa"/>
            <w:vAlign w:val="bottom"/>
            <w:vMerge w:val="continue"/>
          </w:tcPr>
          <w:p>
            <w:pPr>
              <w:jc w:val="right"/>
              <w:spacing w:after="0" w:line="197" w:lineRule="exact"/>
              <w:rPr>
                <w:sz w:val="20"/>
                <w:szCs w:val="20"/>
                <w:color w:val="auto"/>
              </w:rPr>
            </w:pP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56,596</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56,976</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56,550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1" w:orient="portrait"/>
          <w:cols w:equalWidth="0" w:num="1">
            <w:col w:w="9860"/>
          </w:cols>
          <w:pgMar w:left="1040" w:top="39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222885</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222885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60"/>
          </w:cols>
          <w:pgMar w:left="1040" w:top="391" w:right="981" w:bottom="0" w:gutter="0" w:footer="0" w:header="0"/>
          <w:type w:val="continuous"/>
        </w:sectPr>
      </w:pPr>
    </w:p>
    <w:bookmarkStart w:id="72" w:name="page73"/>
    <w:bookmarkEnd w:id="72"/>
    <w:p>
      <w:pPr>
        <w:jc w:val="center"/>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t>PAYLOCITY HOLDING CORPORATION Consolidated Statements of Changes in Stockholders’ Equity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21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right="180"/>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4"/>
                <w:szCs w:val="14"/>
                <w:color w:val="auto"/>
              </w:rPr>
            </w:pPr>
          </w:p>
        </w:tc>
        <w:tc>
          <w:tcPr>
            <w:tcW w:w="12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4"/>
                <w:szCs w:val="14"/>
                <w:color w:val="auto"/>
              </w:rPr>
            </w:pPr>
          </w:p>
        </w:tc>
        <w:tc>
          <w:tcPr>
            <w:tcW w:w="12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Balances at June 30, 2022 </w:t>
            </w:r>
            <w:r>
              <w:rPr>
                <w:rFonts w:ascii="Times New Roman" w:cs="Times New Roman" w:eastAsia="Times New Roman" w:hAnsi="Times New Roman"/>
                <w:sz w:val="16"/>
                <w:szCs w:val="16"/>
                <w:b w:val="1"/>
                <w:bCs w:val="1"/>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55,190</w:t>
            </w:r>
          </w:p>
        </w:tc>
        <w:tc>
          <w:tcPr>
            <w:tcW w:w="9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289,843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325,868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613,463</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162,183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162,183</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plan</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16,916</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for taxes and/or</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related to equity</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(91,575)</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securities, net</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of tax</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0" w:type="dxa"/>
            <w:vAlign w:val="bottom"/>
          </w:tcPr>
          <w:p>
            <w:pPr>
              <w:spacing w:after="0"/>
              <w:rPr>
                <w:sz w:val="1"/>
                <w:szCs w:val="1"/>
                <w:color w:val="auto"/>
              </w:rPr>
            </w:pPr>
          </w:p>
        </w:tc>
      </w:tr>
      <w:tr>
        <w:trPr>
          <w:trHeight w:val="25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16"/>
                <w:szCs w:val="16"/>
                <w:color w:val="AAA6A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140,822</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140,822</w:t>
            </w:r>
          </w:p>
        </w:tc>
        <w:tc>
          <w:tcPr>
            <w:tcW w:w="0" w:type="dxa"/>
            <w:vAlign w:val="bottom"/>
          </w:tcPr>
          <w:p>
            <w:pPr>
              <w:spacing w:after="0"/>
              <w:rPr>
                <w:sz w:val="1"/>
                <w:szCs w:val="1"/>
                <w:color w:val="auto"/>
              </w:rPr>
            </w:pPr>
          </w:p>
        </w:tc>
      </w:t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Balances at June 30, 2023 </w:t>
            </w:r>
            <w:r>
              <w:rPr>
                <w:rFonts w:ascii="Times New Roman" w:cs="Times New Roman" w:eastAsia="Times New Roman" w:hAnsi="Times New Roman"/>
                <w:sz w:val="16"/>
                <w:szCs w:val="16"/>
                <w:b w:val="1"/>
                <w:bCs w:val="1"/>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55,912</w:t>
            </w:r>
          </w:p>
        </w:tc>
        <w:tc>
          <w:tcPr>
            <w:tcW w:w="9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380,632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466,690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842,863</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163,602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163,602</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vesting of equity awards</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plan</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for taxes and/or</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related to equity</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(54,632)</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Repurchases of common shares </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(150,340)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(150,340)</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on securities, net</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of tax</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0" w:type="dxa"/>
            <w:vAlign w:val="bottom"/>
          </w:tcPr>
          <w:p>
            <w:pPr>
              <w:spacing w:after="0"/>
              <w:rPr>
                <w:sz w:val="1"/>
                <w:szCs w:val="1"/>
                <w:color w:val="auto"/>
              </w:rPr>
            </w:pPr>
          </w:p>
        </w:tc>
      </w:tr>
      <w:tr>
        <w:trPr>
          <w:trHeight w:val="25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16"/>
                <w:szCs w:val="16"/>
                <w:color w:val="AAA6A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206,766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206,766</w:t>
            </w:r>
          </w:p>
        </w:tc>
        <w:tc>
          <w:tcPr>
            <w:tcW w:w="0" w:type="dxa"/>
            <w:vAlign w:val="bottom"/>
          </w:tcPr>
          <w:p>
            <w:pPr>
              <w:spacing w:after="0"/>
              <w:rPr>
                <w:sz w:val="1"/>
                <w:szCs w:val="1"/>
                <w:color w:val="auto"/>
              </w:rPr>
            </w:pPr>
          </w:p>
        </w:tc>
      </w:t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Balances at June 30, 2024 </w:t>
            </w:r>
            <w:r>
              <w:rPr>
                <w:rFonts w:ascii="Times New Roman" w:cs="Times New Roman" w:eastAsia="Times New Roman" w:hAnsi="Times New Roman"/>
                <w:sz w:val="16"/>
                <w:szCs w:val="16"/>
                <w:b w:val="1"/>
                <w:bCs w:val="1"/>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55,514</w:t>
            </w:r>
          </w:p>
        </w:tc>
        <w:tc>
          <w:tcPr>
            <w:tcW w:w="9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360,488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673,456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1,033,064</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157,337</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vesting of equity awards</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plan</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19,682</w:t>
            </w: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Net settlement for taxes and/or</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related to equity</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(64,725)</w:t>
            </w:r>
          </w:p>
        </w:tc>
        <w:tc>
          <w:tcPr>
            <w:tcW w:w="0" w:type="dxa"/>
            <w:vAlign w:val="bottom"/>
          </w:tcPr>
          <w:p>
            <w:pPr>
              <w:spacing w:after="0"/>
              <w:rPr>
                <w:sz w:val="1"/>
                <w:szCs w:val="1"/>
                <w:color w:val="auto"/>
              </w:rPr>
            </w:pPr>
          </w:p>
        </w:tc>
      </w:tr>
      <w:tr>
        <w:trPr>
          <w:trHeight w:val="25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Repurchases of common shares </w:t>
            </w:r>
            <w:r>
              <w:rPr>
                <w:rFonts w:ascii="Times New Roman" w:cs="Times New Roman" w:eastAsia="Times New Roman" w:hAnsi="Times New Roman"/>
                <w:sz w:val="16"/>
                <w:szCs w:val="16"/>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(149,956)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(149,957)</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on securities, net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of tax</w:t>
            </w:r>
            <w:r>
              <w:rPr>
                <w:rFonts w:ascii="Times New Roman" w:cs="Times New Roman" w:eastAsia="Times New Roman" w:hAnsi="Times New Roman"/>
                <w:sz w:val="16"/>
                <w:szCs w:val="16"/>
                <w:color w:val="AAA6A1"/>
              </w:rPr>
              <w:t>................................................</w:t>
            </w:r>
          </w:p>
        </w:tc>
        <w:tc>
          <w:tcPr>
            <w:tcW w:w="1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16"/>
                <w:szCs w:val="16"/>
                <w:color w:val="AAA6A1"/>
              </w:rPr>
              <w:t>......................................</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16"/>
                <w:szCs w:val="16"/>
                <w:color w:val="AAA6A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227,127</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227,127</w:t>
            </w:r>
          </w:p>
        </w:tc>
        <w:tc>
          <w:tcPr>
            <w:tcW w:w="0" w:type="dxa"/>
            <w:vAlign w:val="bottom"/>
          </w:tcPr>
          <w:p>
            <w:pPr>
              <w:spacing w:after="0"/>
              <w:rPr>
                <w:sz w:val="1"/>
                <w:szCs w:val="1"/>
                <w:color w:val="auto"/>
              </w:rPr>
            </w:pP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Balances at June 30, 2025 </w:t>
            </w:r>
            <w:r>
              <w:rPr>
                <w:rFonts w:ascii="Times New Roman" w:cs="Times New Roman" w:eastAsia="Times New Roman" w:hAnsi="Times New Roman"/>
                <w:sz w:val="16"/>
                <w:szCs w:val="16"/>
                <w:b w:val="1"/>
                <w:bCs w:val="1"/>
                <w:color w:val="AAA6A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55,366</w:t>
            </w:r>
          </w:p>
        </w:tc>
        <w:tc>
          <w:tcPr>
            <w:tcW w:w="9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327,518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900,583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1,233,747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1" w:orient="portrait"/>
          <w:cols w:equalWidth="0" w:num="1">
            <w:col w:w="9860"/>
          </w:cols>
          <w:pgMar w:left="1040" w:top="39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222885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222885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60"/>
          </w:cols>
          <w:pgMar w:left="1040" w:top="391" w:right="981" w:bottom="0" w:gutter="0" w:footer="0" w:header="0"/>
          <w:type w:val="continuous"/>
        </w:sectPr>
      </w:pPr>
    </w:p>
    <w:bookmarkStart w:id="73" w:name="page74"/>
    <w:bookmarkEnd w:id="7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t>PAYLOCITY HOLDING CORPORATION</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Netincome</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140,822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206,766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r>
              <w:rPr>
                <w:rFonts w:ascii="Times New Roman" w:cs="Times New Roman" w:eastAsia="Times New Roman" w:hAnsi="Times New Roman"/>
                <w:sz w:val="16"/>
                <w:szCs w:val="16"/>
                <w:color w:val="AAA6A1"/>
              </w:rPr>
              <w: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Stock-basedcompensationexpense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Depreciationandamortizationexpense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60,866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99,636</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Deferredincometaxexpense(benefit)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Provisionforcreditlosses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ind w:right="540"/>
              <w:spacing w:after="0"/>
              <w:rPr>
                <w:sz w:val="20"/>
                <w:szCs w:val="20"/>
                <w:color w:val="auto"/>
              </w:rPr>
            </w:pPr>
            <w:r>
              <w:rPr>
                <w:rFonts w:ascii="Times New Roman" w:cs="Times New Roman" w:eastAsia="Times New Roman" w:hAnsi="Times New Roman"/>
                <w:sz w:val="16"/>
                <w:szCs w:val="16"/>
                <w:color w:val="auto"/>
              </w:rPr>
              <w:t>Net amortization of premiums (accretion of discounts) on available-for-sale</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6"/>
                <w:szCs w:val="16"/>
                <w:color w:val="AAA6A1"/>
              </w:rPr>
              <w:t>.......................................................................................................................</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Changesinoperatingassetsandliabilities: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Accountsreceivable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Deferredcontractcosts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(80,781)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Prepaidexpensesandother</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(7,819)</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8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Accountspayable</w:t>
            </w:r>
          </w:p>
        </w:tc>
        <w:tc>
          <w:tcPr>
            <w:tcW w:w="30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(1,554)</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2,423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7,287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Accrued expenses and other </w:t>
            </w:r>
            <w:r>
              <w:rPr>
                <w:rFonts w:ascii="Times New Roman" w:cs="Times New Roman" w:eastAsia="Times New Roman" w:hAnsi="Times New Roman"/>
                <w:sz w:val="16"/>
                <w:szCs w:val="16"/>
                <w:color w:val="AAA6A1"/>
              </w:rPr>
              <w: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13,315</w:t>
            </w: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18,460</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Net cash provided by operating activities</w:t>
            </w:r>
            <w:r>
              <w:rPr>
                <w:rFonts w:ascii="Times New Roman" w:cs="Times New Roman" w:eastAsia="Times New Roman" w:hAnsi="Times New Roman"/>
                <w:sz w:val="16"/>
                <w:szCs w:val="16"/>
                <w:color w:val="AAA6A1"/>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384,670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Purchasesofavailable-for-salesecurities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(598,895)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(304,465)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Proceedsfromsalesandmaturitiesofavailable-for-salesecurities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446,751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294,438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160,067</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Capitalizedinternal-usesoftwarecosts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Purchasesofpropertyandequipment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(13,073)</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Acquisitionsofbusinesses,netofcashacquired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Other investing activities</w:t>
            </w:r>
            <w:r>
              <w:rPr>
                <w:rFonts w:ascii="Times New Roman" w:cs="Times New Roman" w:eastAsia="Times New Roman" w:hAnsi="Times New Roman"/>
                <w:sz w:val="16"/>
                <w:szCs w:val="16"/>
                <w:color w:val="AAA6A1"/>
              </w:rPr>
              <w: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cash used in investing activities </w:t>
            </w:r>
            <w:r>
              <w:rPr>
                <w:rFonts w:ascii="Times New Roman" w:cs="Times New Roman" w:eastAsia="Times New Roman" w:hAnsi="Times New Roman"/>
                <w:sz w:val="16"/>
                <w:szCs w:val="16"/>
                <w:color w:val="AAA6A1"/>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(220,162)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(101,891)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Cash flows from financing activities: </w:t>
            </w:r>
            <w:r>
              <w:rPr>
                <w:rFonts w:ascii="Times New Roman" w:cs="Times New Roman" w:eastAsia="Times New Roman" w:hAnsi="Times New Roman"/>
                <w:sz w:val="16"/>
                <w:szCs w:val="16"/>
                <w:color w:val="AAA6A1"/>
                <w:w w:val="99"/>
              </w:rPr>
              <w: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Net change in client fund obligations</w:t>
            </w:r>
            <w:r>
              <w:rPr>
                <w:rFonts w:ascii="Times New Roman" w:cs="Times New Roman" w:eastAsia="Times New Roman" w:hAnsi="Times New Roman"/>
                <w:sz w:val="16"/>
                <w:szCs w:val="16"/>
                <w:color w:val="AAA6A1"/>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(1,362,421)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Borrowingsundercreditfacility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Repaymentofcreditfacility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Repurchases of common shares </w:t>
            </w:r>
            <w:r>
              <w:rPr>
                <w:rFonts w:ascii="Times New Roman" w:cs="Times New Roman" w:eastAsia="Times New Roman" w:hAnsi="Times New Roman"/>
                <w:sz w:val="16"/>
                <w:szCs w:val="16"/>
                <w:color w:val="AAA6A1"/>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(149,638)</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Proceedsfromemployeestockpurchaseplan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Taxespaidrelatedtonetsharesettlementofequityawards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(88,312)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(60,034)</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Otherfinancingactivities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r>
              <w:rPr>
                <w:rFonts w:ascii="Times New Roman" w:cs="Times New Roman" w:eastAsia="Times New Roman" w:hAnsi="Times New Roman"/>
                <w:sz w:val="16"/>
                <w:szCs w:val="16"/>
                <w:color w:val="AAA6A1"/>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(1,434,702)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141,578</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(325,821)</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funds held for clients' cash and cash equivalents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funds held for clients' cash and cash equivalents—beginning</w:t>
            </w: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3,793,453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2,421,312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2,845,669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of year </w:t>
            </w:r>
            <w:r>
              <w:rPr>
                <w:rFonts w:ascii="Times New Roman" w:cs="Times New Roman" w:eastAsia="Times New Roman" w:hAnsi="Times New Roman"/>
                <w:sz w:val="16"/>
                <w:szCs w:val="16"/>
                <w:color w:val="AAA6A1"/>
                <w:w w:val="99"/>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Cash, cash equivalents and funds held for clients' cash and cash equivalents—end of year</w:t>
            </w:r>
            <w:r>
              <w:rPr>
                <w:rFonts w:ascii="Times New Roman" w:cs="Times New Roman" w:eastAsia="Times New Roman" w:hAnsi="Times New Roman"/>
                <w:sz w:val="16"/>
                <w:szCs w:val="16"/>
                <w:color w:val="AAA6A1"/>
                <w:w w:val="99"/>
              </w:rPr>
              <w: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2,421,312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2,845,669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6"/>
                <w:szCs w:val="16"/>
                <w:color w:val="AAA6A1"/>
              </w:rPr>
              <w:t>..........................</w:t>
            </w:r>
          </w:p>
        </w:tc>
        <w:tc>
          <w:tcPr>
            <w:tcW w:w="30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Purchases of property and equipment and internal-use software, accrued but not paid</w:t>
            </w:r>
            <w:r>
              <w:rPr>
                <w:rFonts w:ascii="Times New Roman" w:cs="Times New Roman" w:eastAsia="Times New Roman" w:hAnsi="Times New Roman"/>
                <w:sz w:val="16"/>
                <w:szCs w:val="16"/>
                <w:color w:val="AAA6A1"/>
              </w:rPr>
              <w:t>....</w:t>
            </w: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Liabilities assumed for acquisitions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jc w:val="right"/>
              <w:spacing w:after="0" w:line="145" w:lineRule="exact"/>
              <w:rPr>
                <w:sz w:val="20"/>
                <w:szCs w:val="20"/>
                <w:color w:val="auto"/>
              </w:rPr>
            </w:pPr>
            <w:r>
              <w:rPr>
                <w:rFonts w:ascii="Times New Roman" w:cs="Times New Roman" w:eastAsia="Times New Roman" w:hAnsi="Times New Roman"/>
                <w:sz w:val="16"/>
                <w:szCs w:val="16"/>
                <w:color w:val="AAA6A1"/>
              </w:rPr>
              <w:t>..................................................................................</w:t>
            </w:r>
          </w:p>
        </w:tc>
        <w:tc>
          <w:tcPr>
            <w:tcW w:w="300" w:type="dxa"/>
            <w:vAlign w:val="bottom"/>
            <w:tcBorders>
              <w:bottom w:val="single" w:sz="8" w:color="auto"/>
            </w:tcBorders>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378</w:t>
            </w: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55,730</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20" w:type="dxa"/>
            <w:vAlign w:val="bottom"/>
            <w:vMerge w:val="continue"/>
          </w:tcPr>
          <w:p>
            <w:pPr>
              <w:jc w:val="right"/>
              <w:spacing w:after="0" w:line="145" w:lineRule="exact"/>
              <w:rPr>
                <w:sz w:val="20"/>
                <w:szCs w:val="20"/>
                <w:color w:val="auto"/>
              </w:rPr>
            </w:pPr>
            <w:r>
              <w:rPr>
                <w:rFonts w:ascii="Times New Roman" w:cs="Times New Roman" w:eastAsia="Times New Roman" w:hAnsi="Times New Roman"/>
                <w:sz w:val="16"/>
                <w:szCs w:val="16"/>
                <w:color w:val="AAA6A1"/>
              </w:rPr>
              <w:t>.............................................................</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Cash paid for interest</w:t>
            </w:r>
            <w:r>
              <w:rPr>
                <w:rFonts w:ascii="Times New Roman" w:cs="Times New Roman" w:eastAsia="Times New Roman" w:hAnsi="Times New Roman"/>
                <w:sz w:val="16"/>
                <w:szCs w:val="16"/>
                <w:color w:val="AAA6A1"/>
              </w:rPr>
              <w: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12,758</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jc w:val="right"/>
              <w:spacing w:after="0" w:line="145" w:lineRule="exact"/>
              <w:rPr>
                <w:sz w:val="20"/>
                <w:szCs w:val="20"/>
                <w:color w:val="auto"/>
              </w:rPr>
            </w:pPr>
            <w:r>
              <w:rPr>
                <w:rFonts w:ascii="Times New Roman" w:cs="Times New Roman" w:eastAsia="Times New Roman" w:hAnsi="Times New Roman"/>
                <w:sz w:val="16"/>
                <w:szCs w:val="16"/>
                <w:color w:val="AAA6A1"/>
              </w:rPr>
              <w:t>...............................................................................................</w:t>
            </w:r>
          </w:p>
        </w:tc>
        <w:tc>
          <w:tcPr>
            <w:tcW w:w="300" w:type="dxa"/>
            <w:vAlign w:val="bottom"/>
            <w:tcBorders>
              <w:bottom w:val="single" w:sz="8" w:color="auto"/>
            </w:tcBorders>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1,359</w:t>
            </w: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47,619</w:t>
            </w: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86,100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funds held for clients' cash and cash</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equivalents to the Consolidated Balance Sheets</w:t>
            </w:r>
            <w:r>
              <w:rPr>
                <w:rFonts w:ascii="Times New Roman" w:cs="Times New Roman" w:eastAsia="Times New Roman" w:hAnsi="Times New Roman"/>
                <w:sz w:val="16"/>
                <w:szCs w:val="16"/>
                <w:color w:val="AAA6A1"/>
                <w:w w:val="99"/>
              </w:rPr>
              <w: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xml:space="preserve">Cash and cash equivalents </w:t>
            </w:r>
            <w:r>
              <w:rPr>
                <w:rFonts w:ascii="Times New Roman" w:cs="Times New Roman" w:eastAsia="Times New Roman" w:hAnsi="Times New Roman"/>
                <w:sz w:val="16"/>
                <w:szCs w:val="16"/>
                <w:color w:val="AAA6A1"/>
                <w:w w:val="99"/>
              </w:rPr>
              <w:t>.....................................................................................................</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288,767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401,811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Fundsheldforclients'cashandcashequivalents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2,132,545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2,443,858</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2,084,456</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820" w:type="dxa"/>
            <w:vAlign w:val="bottom"/>
          </w:tcPr>
          <w:p>
            <w:pPr>
              <w:jc w:val="right"/>
              <w:spacing w:after="0"/>
              <w:rPr>
                <w:sz w:val="20"/>
                <w:szCs w:val="20"/>
                <w:color w:val="auto"/>
              </w:rPr>
            </w:pPr>
            <w:r>
              <w:rPr>
                <w:rFonts w:ascii="Times New Roman" w:cs="Times New Roman" w:eastAsia="Times New Roman" w:hAnsi="Times New Roman"/>
                <w:sz w:val="16"/>
                <w:szCs w:val="16"/>
                <w:color w:val="AAA6A1"/>
              </w:rPr>
              <w:t>..............</w:t>
            </w:r>
            <w:r>
              <w:rPr>
                <w:rFonts w:ascii="Times New Roman" w:cs="Times New Roman" w:eastAsia="Times New Roman" w:hAnsi="Times New Roman"/>
                <w:sz w:val="16"/>
                <w:szCs w:val="16"/>
                <w:color w:val="000000"/>
              </w:rPr>
              <w:t>Totalcash,cashequivalentsandfundsheldforclients'cashandcashequivalents</w:t>
            </w:r>
          </w:p>
        </w:tc>
        <w:tc>
          <w:tcPr>
            <w:tcW w:w="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2,421,312</w:t>
            </w:r>
          </w:p>
        </w:tc>
        <w:tc>
          <w:tcPr>
            <w:tcW w:w="60" w:type="dxa"/>
            <w:vAlign w:val="bottom"/>
          </w:tcPr>
          <w:p>
            <w:pPr>
              <w:spacing w:after="0"/>
              <w:rPr>
                <w:sz w:val="16"/>
                <w:szCs w:val="16"/>
                <w:color w:val="auto"/>
              </w:rPr>
            </w:pP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2,845,669</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2,482,526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880" w:h="15481" w:orient="portrait"/>
          <w:cols w:equalWidth="0" w:num="1">
            <w:col w:w="9860"/>
          </w:cols>
          <w:pgMar w:left="1040" w:top="39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222885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6875780</wp:posOffset>
            </wp:positionH>
            <wp:positionV relativeFrom="paragraph">
              <wp:posOffset>222885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860"/>
          </w:cols>
          <w:pgMar w:left="1040" w:top="391" w:right="981" w:bottom="0" w:gutter="0" w:footer="0" w:header="0"/>
          <w:type w:val="continuous"/>
        </w:sectPr>
      </w:pPr>
    </w:p>
    <w:bookmarkStart w:id="74" w:name="page75"/>
    <w:bookmarkEnd w:id="74"/>
    <w:p>
      <w:pPr>
        <w:ind w:left="3040"/>
        <w:spacing w:after="0"/>
        <w:rPr>
          <w:sz w:val="20"/>
          <w:szCs w:val="20"/>
          <w:color w:val="auto"/>
        </w:rPr>
      </w:pPr>
      <w:r>
        <w:rPr>
          <w:rFonts w:ascii="Times New Roman" w:cs="Times New Roman" w:eastAsia="Times New Roman" w:hAnsi="Times New Roman"/>
          <w:sz w:val="20"/>
          <w:szCs w:val="20"/>
          <w:b w:val="1"/>
          <w:bCs w:val="1"/>
          <w:color w:val="auto"/>
        </w:rPr>
        <w:t>PAYLOCITY HOLDING CORPORATION</w:t>
      </w:r>
    </w:p>
    <w:p>
      <w:pPr>
        <w:spacing w:after="0" w:line="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(all amounts in thousands, except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25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Paylocity Holding Corporation (the “Company”) is a cloud-based provider of human capital management, payroll and spend management software solutions that deliver a comprehensive platform for the modern workforce. Services are provided in a Software-as-a-Service (“SaaS”) delivery model. The Company offers an intuitive, easy-to-use product suite that helps businesses streamline and automate HR, payroll and spend management processes, attract and retain talent, and build culture and connection with their employees.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52" w:lineRule="exact"/>
        <w:rPr>
          <w:sz w:val="20"/>
          <w:szCs w:val="20"/>
          <w:color w:val="auto"/>
        </w:rPr>
      </w:pPr>
    </w:p>
    <w:p>
      <w:pPr>
        <w:ind w:left="980" w:hanging="270"/>
        <w:spacing w:after="0"/>
        <w:tabs>
          <w:tab w:leader="none" w:pos="9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Basis of Presentation, Consolidation, and Use of Estimates</w:t>
      </w:r>
    </w:p>
    <w:p>
      <w:pPr>
        <w:spacing w:after="0" w:line="255" w:lineRule="exact"/>
        <w:rPr>
          <w:sz w:val="20"/>
          <w:szCs w:val="20"/>
          <w:color w:val="auto"/>
        </w:rPr>
      </w:pPr>
    </w:p>
    <w:p>
      <w:pPr>
        <w:ind w:right="320" w:firstLine="720"/>
        <w:spacing w:after="0" w:line="283" w:lineRule="auto"/>
        <w:rPr>
          <w:sz w:val="20"/>
          <w:szCs w:val="20"/>
          <w:color w:val="auto"/>
        </w:rPr>
      </w:pPr>
      <w:r>
        <w:rPr>
          <w:rFonts w:ascii="Times New Roman" w:cs="Times New Roman" w:eastAsia="Times New Roman" w:hAnsi="Times New Roman"/>
          <w:sz w:val="20"/>
          <w:szCs w:val="20"/>
          <w:color w:val="auto"/>
        </w:rPr>
        <w:t>The accompanying consolidated financial statements of the Company have been prepared pursuant to the rules and regulations of the United States Securities and Exchange Commission (the “SEC”).</w:t>
      </w:r>
    </w:p>
    <w:p>
      <w:pPr>
        <w:spacing w:after="0" w:line="178"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205" w:lineRule="exact"/>
        <w:rPr>
          <w:sz w:val="20"/>
          <w:szCs w:val="20"/>
          <w:color w:val="auto"/>
        </w:rPr>
      </w:pPr>
    </w:p>
    <w:p>
      <w:pPr>
        <w:ind w:right="20" w:firstLine="720"/>
        <w:spacing w:after="0" w:line="283"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 owned subsidiaries. All intercompany accounts and transactions have been eliminated in consolidation.</w:t>
      </w:r>
    </w:p>
    <w:p>
      <w:pPr>
        <w:spacing w:after="0" w:line="173" w:lineRule="exact"/>
        <w:rPr>
          <w:sz w:val="20"/>
          <w:szCs w:val="20"/>
          <w:color w:val="auto"/>
        </w:rPr>
      </w:pPr>
    </w:p>
    <w:p>
      <w:pPr>
        <w:ind w:left="1000" w:hanging="290"/>
        <w:spacing w:after="0"/>
        <w:tabs>
          <w:tab w:leader="none" w:pos="10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Concentrations of Risk</w:t>
      </w:r>
    </w:p>
    <w:p>
      <w:pPr>
        <w:spacing w:after="0" w:line="25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Company regularly maintains cash balances that exceed Federal Depository Insurance Corporation limits. No individual client represents 10% or more of total revenues. For all periods presented, substantially all of total revenues were generated by clients in the United States.</w:t>
      </w:r>
    </w:p>
    <w:p>
      <w:pPr>
        <w:spacing w:after="0" w:line="190" w:lineRule="exact"/>
        <w:rPr>
          <w:sz w:val="20"/>
          <w:szCs w:val="20"/>
          <w:color w:val="auto"/>
        </w:rPr>
      </w:pPr>
    </w:p>
    <w:p>
      <w:pPr>
        <w:ind w:left="980" w:hanging="270"/>
        <w:spacing w:after="0"/>
        <w:tabs>
          <w:tab w:leader="none" w:pos="9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55" w:lineRule="exact"/>
        <w:rPr>
          <w:sz w:val="20"/>
          <w:szCs w:val="20"/>
          <w:color w:val="auto"/>
        </w:rPr>
      </w:pPr>
    </w:p>
    <w:p>
      <w:pPr>
        <w:ind w:right="360" w:firstLine="720"/>
        <w:spacing w:after="0" w:line="266"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three months or less when purchased to be cash equivalents. Any interest earned on the Company’s cash and cash equivalents is reported as Other income (expense) in the Consolidated Statements of Operations and Comprehensive Income.</w:t>
      </w:r>
    </w:p>
    <w:p>
      <w:pPr>
        <w:spacing w:after="0" w:line="190" w:lineRule="exact"/>
        <w:rPr>
          <w:sz w:val="20"/>
          <w:szCs w:val="20"/>
          <w:color w:val="auto"/>
        </w:rPr>
      </w:pPr>
    </w:p>
    <w:p>
      <w:pPr>
        <w:ind w:left="1000" w:hanging="290"/>
        <w:spacing w:after="0"/>
        <w:tabs>
          <w:tab w:leader="none" w:pos="10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Funds Held For Clients and Client Fund Obligations</w:t>
      </w:r>
    </w:p>
    <w:p>
      <w:pPr>
        <w:spacing w:after="0" w:line="255"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obtains funds from clients in advance of performing payroll, payroll tax filing and spend management services on behalf of those clients. Funds held for clients represent assets that are used solely for the purposes of satisfying the obligations to remit funds relating to payroll, payroll tax filing and spend management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21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 held for clients is reported as Interest income on funds held for clients in the Consolidated Statements of Operations and Comprehensive Income.</w:t>
      </w:r>
    </w:p>
    <w:p>
      <w:pPr>
        <w:sectPr>
          <w:pgSz w:w="11880" w:h="15481" w:orient="portrait"/>
          <w:cols w:equalWidth="0" w:num="1">
            <w:col w:w="9880"/>
          </w:cols>
          <w:pgMar w:left="1000" w:top="391" w:right="1001"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pacing w:after="0" w:line="20" w:lineRule="exact"/>
        <w:rPr>
          <w:sz w:val="20"/>
          <w:szCs w:val="20"/>
          <w:color w:val="auto"/>
        </w:rPr>
      </w:pPr>
    </w:p>
    <w:p>
      <w:pPr>
        <w:sectPr>
          <w:pgSz w:w="11880" w:h="15481" w:orient="portrait"/>
          <w:cols w:equalWidth="0" w:num="1">
            <w:col w:w="9880"/>
          </w:cols>
          <w:pgMar w:left="1000" w:top="391" w:right="1001" w:bottom="0" w:gutter="0" w:footer="0" w:header="0"/>
          <w:type w:val="continuous"/>
        </w:sectPr>
      </w:pPr>
    </w:p>
    <w:bookmarkStart w:id="75" w:name="page76"/>
    <w:bookmarkEnd w:id="75"/>
    <w:p>
      <w:pPr>
        <w:ind w:right="120" w:firstLine="720"/>
        <w:spacing w:after="0" w:line="257" w:lineRule="auto"/>
        <w:rPr>
          <w:sz w:val="20"/>
          <w:szCs w:val="20"/>
          <w:color w:val="auto"/>
        </w:rPr>
      </w:pPr>
      <w:r>
        <w:rPr>
          <w:rFonts w:ascii="Times New Roman" w:cs="Times New Roman" w:eastAsia="Times New Roman" w:hAnsi="Times New Roman"/>
          <w:sz w:val="20"/>
          <w:szCs w:val="20"/>
          <w:color w:val="auto"/>
        </w:rPr>
        <w:t>The Company evaluates whether a decline in an individual security’s fair value as compared to its amortized cost basis resulted from credit loss or other factors. If the Company determines that an individual security’s unrealized loss results from credit impairment, it compares the present value of cash flows expected to be collected from the impaired security with its amortized cost basis. If the security’s amortized cost basis exceeds the present value of expected cash flows, the Company records credit impairment loss through an allowance for credit loss. The Company did not recognize any credit impairment losses during the years ended June 30, 2023, 2024 or 2025.</w:t>
      </w:r>
    </w:p>
    <w:p>
      <w:pPr>
        <w:spacing w:after="0" w:line="202" w:lineRule="exact"/>
        <w:rPr>
          <w:sz w:val="20"/>
          <w:szCs w:val="20"/>
          <w:color w:val="auto"/>
        </w:rPr>
      </w:pPr>
    </w:p>
    <w:p>
      <w:pPr>
        <w:jc w:val="both"/>
        <w:ind w:right="40" w:firstLine="720"/>
        <w:spacing w:after="0" w:line="261" w:lineRule="auto"/>
        <w:rPr>
          <w:sz w:val="20"/>
          <w:szCs w:val="20"/>
          <w:color w:val="auto"/>
        </w:rPr>
      </w:pPr>
      <w:r>
        <w:rPr>
          <w:rFonts w:ascii="Times New Roman" w:cs="Times New Roman" w:eastAsia="Times New Roman" w:hAnsi="Times New Roman"/>
          <w:sz w:val="20"/>
          <w:szCs w:val="20"/>
          <w:color w:val="auto"/>
        </w:rPr>
        <w:t>Client fund obligations represent the Company’s contractual obligations to remit funds to satisfy clients’ payroll, tax and spend management payment obligations and are recorded in the accompanying Consolidated Balance Sheets at the time that the Company obtains funds from clients. The client fund obligations represent liabilities that will be repaid within one year of the balance sheet date.</w:t>
      </w:r>
    </w:p>
    <w:p>
      <w:pPr>
        <w:spacing w:after="0" w:line="195" w:lineRule="exact"/>
        <w:rPr>
          <w:sz w:val="20"/>
          <w:szCs w:val="20"/>
          <w:color w:val="auto"/>
        </w:rPr>
      </w:pPr>
    </w:p>
    <w:p>
      <w:pPr>
        <w:ind w:left="980" w:hanging="270"/>
        <w:spacing w:after="0"/>
        <w:tabs>
          <w:tab w:leader="none" w:pos="9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255"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Accounts receivable is comprised of trade receivables, accrued interest on funds held for clients and other receivables. Trade receivables are recorded at the invoiced amount and do not bear interest. Amounts collected on accounts receivable are included in Net cash provided by operating activities in the Consolidated Statements of Cash Flows. The Company maintains an allowance for credit losses reflecting expected credit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credit losses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208" w:lineRule="exact"/>
        <w:rPr>
          <w:sz w:val="20"/>
          <w:szCs w:val="20"/>
          <w:color w:val="auto"/>
        </w:rPr>
      </w:pPr>
    </w:p>
    <w:p>
      <w:pPr>
        <w:ind w:left="960" w:hanging="25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Deferred Contract Costs</w:t>
      </w:r>
    </w:p>
    <w:p>
      <w:pPr>
        <w:spacing w:after="0" w:line="255" w:lineRule="exact"/>
        <w:rPr>
          <w:sz w:val="20"/>
          <w:szCs w:val="20"/>
          <w:color w:val="auto"/>
        </w:rPr>
      </w:pPr>
    </w:p>
    <w:p>
      <w:pPr>
        <w:ind w:right="80" w:firstLine="720"/>
        <w:spacing w:after="0" w:line="257" w:lineRule="auto"/>
        <w:rPr>
          <w:sz w:val="20"/>
          <w:szCs w:val="20"/>
          <w:color w:val="auto"/>
        </w:rPr>
      </w:pPr>
      <w:r>
        <w:rPr>
          <w:rFonts w:ascii="Times New Roman" w:cs="Times New Roman" w:eastAsia="Times New Roman" w:hAnsi="Times New Roman"/>
          <w:sz w:val="20"/>
          <w:szCs w:val="20"/>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202" w:lineRule="exact"/>
        <w:rPr>
          <w:sz w:val="20"/>
          <w:szCs w:val="20"/>
          <w:color w:val="auto"/>
        </w:rPr>
      </w:pPr>
    </w:p>
    <w:p>
      <w:pPr>
        <w:ind w:right="140" w:firstLine="720"/>
        <w:spacing w:after="0" w:line="270" w:lineRule="auto"/>
        <w:rPr>
          <w:sz w:val="20"/>
          <w:szCs w:val="20"/>
          <w:color w:val="auto"/>
        </w:rPr>
      </w:pPr>
      <w:r>
        <w:rPr>
          <w:rFonts w:ascii="Times New Roman" w:cs="Times New Roman" w:eastAsia="Times New Roman" w:hAnsi="Times New Roman"/>
          <w:sz w:val="19"/>
          <w:szCs w:val="19"/>
          <w:color w:val="auto"/>
        </w:rPr>
        <w:t>The Company utilizes the portfolio approach to account for both the cost of obtaining a contract and the cost of fulfilling a contract. These capitalized costs are amortized over the expected period of benefit, which has been determined to be generally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 Management evaluates deferred contract costs for impairment if changes in circumstances occur that could impact the recoverability of the costs to obtain or fulfill contracts with the Company’s customers.</w:t>
      </w:r>
    </w:p>
    <w:p>
      <w:pPr>
        <w:spacing w:after="0" w:line="189" w:lineRule="exact"/>
        <w:rPr>
          <w:sz w:val="20"/>
          <w:szCs w:val="20"/>
          <w:color w:val="auto"/>
        </w:rPr>
      </w:pPr>
    </w:p>
    <w:p>
      <w:pPr>
        <w:ind w:left="1000" w:hanging="290"/>
        <w:spacing w:after="0"/>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Capitalized Internal-Use Software</w:t>
      </w:r>
    </w:p>
    <w:p>
      <w:pPr>
        <w:spacing w:after="0" w:line="25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 Company capitalizes internal-use software costs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210"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Capitalized internal-use software costs are amortized on a straight-line basis over their estimated useful lives, which are generally two to three years while certain projects that support the Company’s main processing activities have an estimated useful life of ten years. Management evaluates the useful lives of these assets on an annual basis and tests for impairment whenever events or changes in circumstances occur that could impact the recoverability of these assets.</w:t>
      </w:r>
    </w:p>
    <w:p>
      <w:pPr>
        <w:sectPr>
          <w:pgSz w:w="11880" w:h="15481" w:orient="portrait"/>
          <w:cols w:equalWidth="0" w:num="1">
            <w:col w:w="9880"/>
          </w:cols>
          <w:pgMar w:left="1000" w:top="398" w:right="1001"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pacing w:after="0" w:line="20" w:lineRule="exact"/>
        <w:rPr>
          <w:sz w:val="20"/>
          <w:szCs w:val="20"/>
          <w:color w:val="auto"/>
        </w:rPr>
      </w:pPr>
    </w:p>
    <w:p>
      <w:pPr>
        <w:sectPr>
          <w:pgSz w:w="11880" w:h="15481" w:orient="portrait"/>
          <w:cols w:equalWidth="0" w:num="1">
            <w:col w:w="9880"/>
          </w:cols>
          <w:pgMar w:left="1000" w:top="398" w:right="1001" w:bottom="0" w:gutter="0" w:footer="0" w:header="0"/>
          <w:type w:val="continuous"/>
        </w:sectPr>
      </w:pPr>
    </w:p>
    <w:bookmarkStart w:id="76" w:name="page77"/>
    <w:bookmarkEnd w:id="76"/>
    <w:p>
      <w:pPr>
        <w:ind w:left="1000" w:hanging="290"/>
        <w:spacing w:after="0"/>
        <w:tabs>
          <w:tab w:leader="none" w:pos="10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Property and Equipment and Long-Lived Assets</w:t>
      </w:r>
    </w:p>
    <w:p>
      <w:pPr>
        <w:spacing w:after="0" w:line="255" w:lineRule="exact"/>
        <w:rPr>
          <w:sz w:val="20"/>
          <w:szCs w:val="20"/>
          <w:color w:val="auto"/>
        </w:rPr>
      </w:pPr>
    </w:p>
    <w:p>
      <w:pPr>
        <w:jc w:val="both"/>
        <w:ind w:right="220" w:firstLine="720"/>
        <w:spacing w:after="0" w:line="266" w:lineRule="auto"/>
        <w:rPr>
          <w:sz w:val="20"/>
          <w:szCs w:val="20"/>
          <w:color w:val="auto"/>
        </w:rPr>
      </w:pPr>
      <w:r>
        <w:rPr>
          <w:rFonts w:ascii="Times New Roman" w:cs="Times New Roman" w:eastAsia="Times New Roman" w:hAnsi="Times New Roman"/>
          <w:sz w:val="20"/>
          <w:szCs w:val="20"/>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95"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205" w:lineRule="exact"/>
        <w:rPr>
          <w:sz w:val="20"/>
          <w:szCs w:val="20"/>
          <w:color w:val="auto"/>
        </w:rPr>
      </w:pPr>
    </w:p>
    <w:p>
      <w:pPr>
        <w:ind w:left="940" w:hanging="230"/>
        <w:spacing w:after="0"/>
        <w:tabs>
          <w:tab w:leader="none" w:pos="9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55"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auto"/>
        </w:rPr>
        <w:t>The Company accounts for business combinations in accordance with ASC 805, Business Combinations using the acquisition method of accounting. It allocates the purchase price consideration associated with its acquisitions to the fair values of assets acquired and liabilities assumed at their respective acquisition dates, with the excess recorded to goodwill. Estimating the fair values of assets acquired and liabilities assumed requires the use of significant judgments and estimates, which are inherently uncertain and subject to refinement as additional information becomes available. Adjustments to the fair values of assets acquired and liabilities assumed may be recorded during the measurement period, which may be up to one year from the acquisition date, with the corresponding offset to goodwill. The Company may engage a valuation specialist to assist in the fair value measurement of assets acquired and liabilities assumed for each acquisition.</w:t>
      </w:r>
    </w:p>
    <w:p>
      <w:pPr>
        <w:spacing w:after="0" w:line="189" w:lineRule="exact"/>
        <w:rPr>
          <w:sz w:val="20"/>
          <w:szCs w:val="20"/>
          <w:color w:val="auto"/>
        </w:rPr>
      </w:pPr>
    </w:p>
    <w:p>
      <w:pPr>
        <w:ind w:left="940" w:hanging="230"/>
        <w:spacing w:after="0"/>
        <w:tabs>
          <w:tab w:leader="none" w:pos="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Intangible Assets, Net of Accumulated Amortization</w:t>
      </w:r>
    </w:p>
    <w:p>
      <w:pPr>
        <w:spacing w:after="0" w:line="25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Intangible assets are comprised primarily of acquired client relationships, proprietary technology, trade names and non-solicitation agreements and are reported net of accumulated amortization on the Consolidated Balance Sheets. The Company uses the straight-line method of amortization to amortize client relationships over a five to nine-year period from the date of acquisition, proprietary technology over a five to seven-year period from the date of acquisition and trade names over a five-year period from the date of acquisition.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205" w:lineRule="exact"/>
        <w:rPr>
          <w:sz w:val="20"/>
          <w:szCs w:val="20"/>
          <w:color w:val="auto"/>
        </w:rPr>
      </w:pPr>
    </w:p>
    <w:p>
      <w:pPr>
        <w:ind w:left="1000" w:hanging="290"/>
        <w:spacing w:after="0"/>
        <w:tabs>
          <w:tab w:leader="none" w:pos="10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5"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204"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20"/>
          <w:szCs w:val="20"/>
          <w:color w:val="auto"/>
        </w:rPr>
        <w:t>The Company performs its annual impairment review of goodwill in its fiscal fourth quarter or when a triggering event occurs between annual impairment tests. No impairment was recorded in fiscal 2023, 2024 or 2025 as a result of the Company’s qualitative assessments over its single reporting segment.</w:t>
      </w:r>
    </w:p>
    <w:p>
      <w:pPr>
        <w:sectPr>
          <w:pgSz w:w="11880" w:h="15481" w:orient="portrait"/>
          <w:cols w:equalWidth="0" w:num="1">
            <w:col w:w="9880"/>
          </w:cols>
          <w:pgMar w:left="1000" w:top="393"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pacing w:after="0" w:line="20" w:lineRule="exact"/>
        <w:rPr>
          <w:sz w:val="20"/>
          <w:szCs w:val="20"/>
          <w:color w:val="auto"/>
        </w:rPr>
      </w:pPr>
    </w:p>
    <w:p>
      <w:pPr>
        <w:sectPr>
          <w:pgSz w:w="11880" w:h="15481" w:orient="portrait"/>
          <w:cols w:equalWidth="0" w:num="1">
            <w:col w:w="9880"/>
          </w:cols>
          <w:pgMar w:left="1000" w:top="393" w:right="1001" w:bottom="0" w:gutter="0" w:footer="0" w:header="0"/>
          <w:type w:val="continuous"/>
        </w:sectPr>
      </w:pPr>
    </w:p>
    <w:bookmarkStart w:id="77" w:name="page78"/>
    <w:bookmarkEnd w:id="77"/>
    <w:p>
      <w:pPr>
        <w:ind w:left="940" w:hanging="230"/>
        <w:spacing w:after="0"/>
        <w:tabs>
          <w:tab w:leader="none" w:pos="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55"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 Company determines if an arrangement is a lease at agreement inception. Operating leases are included in Operating lease right-of-use assets, Accrued expenses, and Long-term operating lease liabilities in the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at or before the commencement date and are reduced by any lease incentives received. The Company’s lease terms may include options to renew or extend a lease. The Company recognizes amounts in Operating lease right-of-use assets and Operating lease liabilities when it is reasonably certain it will exercise such options. Leases with an initial term of 12 months or less are not recorded on the balance sheet. Lease expense is recognized on a straight-line basis over the expected lease term.</w:t>
      </w:r>
    </w:p>
    <w:p>
      <w:pPr>
        <w:spacing w:after="0" w:line="211"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The Company’s most significant leases are real estate leases of office space. The remaining operating leases are primarily comprised of leases of printers and other equipment. For all leases, the Company has elected the practical expedient permitted under Topic 842 to combine lease and non-lease components. As a result, non-lease components, such as common area or equipment maintenance charges, are accounted for as a single lease element. The Company does not have any material finance leases.</w:t>
      </w:r>
    </w:p>
    <w:p>
      <w:pPr>
        <w:spacing w:after="0" w:line="204" w:lineRule="exact"/>
        <w:rPr>
          <w:sz w:val="20"/>
          <w:szCs w:val="20"/>
          <w:color w:val="auto"/>
        </w:rPr>
      </w:pPr>
    </w:p>
    <w:p>
      <w:pPr>
        <w:ind w:right="20" w:firstLine="720"/>
        <w:spacing w:after="0" w:line="257" w:lineRule="auto"/>
        <w:rPr>
          <w:sz w:val="20"/>
          <w:szCs w:val="20"/>
          <w:color w:val="auto"/>
        </w:rPr>
      </w:pPr>
      <w:r>
        <w:rPr>
          <w:rFonts w:ascii="Times New Roman" w:cs="Times New Roman" w:eastAsia="Times New Roman" w:hAnsi="Times New Roman"/>
          <w:sz w:val="20"/>
          <w:szCs w:val="20"/>
          <w:color w:val="auto"/>
        </w:rPr>
        <w:t>Fixed lease expense payments are recognized on a straight-line basis over the lease term. Variable lease payments vary because of changes in facts or circumstances occurring after the commencement date, other than the passage of time, and are often due to changes in an external market rate or the value of an index (e.g., Consumer Price Index). Certain of the Company’s operating lease agreements include variable payments that are passed through by the lessor, such as insurance, taxes, and common area maintenance, payments based on the usage of the asset, and rental payments adjusted periodically for inflation. Variable payments are expensed as incurred and included within variable lease costs.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lease agreements do not contain material residual value guarantees, restrictions, or covenants.</w:t>
      </w:r>
    </w:p>
    <w:p>
      <w:pPr>
        <w:spacing w:after="0" w:line="245" w:lineRule="exact"/>
        <w:rPr>
          <w:sz w:val="20"/>
          <w:szCs w:val="20"/>
          <w:color w:val="auto"/>
        </w:rPr>
      </w:pPr>
    </w:p>
    <w:p>
      <w:pPr>
        <w:ind w:left="1040" w:hanging="330"/>
        <w:spacing w:after="0"/>
        <w:tabs>
          <w:tab w:leader="none" w:pos="10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5"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2"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Deferred tax assets may be reduced by a valuation allowance to the extent we determine it is more likely than not that some portion or all of the deferred tax assets will not be realized.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205"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20"/>
          <w:szCs w:val="20"/>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Note 14 for additional information on income taxes.</w:t>
      </w:r>
    </w:p>
    <w:p>
      <w:pPr>
        <w:sectPr>
          <w:pgSz w:w="11880" w:h="15481" w:orient="portrait"/>
          <w:cols w:equalWidth="0" w:num="1">
            <w:col w:w="9880"/>
          </w:cols>
          <w:pgMar w:left="1000" w:top="393"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pacing w:after="0" w:line="20" w:lineRule="exact"/>
        <w:rPr>
          <w:sz w:val="20"/>
          <w:szCs w:val="20"/>
          <w:color w:val="auto"/>
        </w:rPr>
      </w:pPr>
    </w:p>
    <w:p>
      <w:pPr>
        <w:sectPr>
          <w:pgSz w:w="11880" w:h="15481" w:orient="portrait"/>
          <w:cols w:equalWidth="0" w:num="1">
            <w:col w:w="9880"/>
          </w:cols>
          <w:pgMar w:left="1000" w:top="393" w:right="1001" w:bottom="0" w:gutter="0" w:footer="0" w:header="0"/>
          <w:type w:val="continuous"/>
        </w:sectPr>
      </w:pPr>
    </w:p>
    <w:bookmarkStart w:id="78" w:name="page79"/>
    <w:bookmarkEnd w:id="78"/>
    <w:p>
      <w:pPr>
        <w:ind w:left="1000" w:hanging="290"/>
        <w:spacing w:after="0"/>
        <w:tabs>
          <w:tab w:leader="none" w:pos="10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Share Repurchases</w:t>
      </w:r>
    </w:p>
    <w:p>
      <w:pPr>
        <w:spacing w:after="0" w:line="255"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The Company retires all shares repurchased pursuant to its approved share repurchase program (the "Repurchase Program"). The Company records the share purchase price and the amount of any excise taxes payable on shares repurchased as a reduction of Additional paid-in capital on its Consolidated Balance Sheets. If the Company exhausts Additional paid-in capital, it will record the excess as a reduction to Retained earnings. For more information on the Repurchase Program, refer to Note 15.</w:t>
      </w:r>
    </w:p>
    <w:p>
      <w:pPr>
        <w:spacing w:after="0" w:line="199" w:lineRule="exact"/>
        <w:rPr>
          <w:sz w:val="20"/>
          <w:szCs w:val="20"/>
          <w:color w:val="auto"/>
        </w:rPr>
      </w:pPr>
    </w:p>
    <w:p>
      <w:pPr>
        <w:ind w:left="1000" w:hanging="290"/>
        <w:spacing w:after="0"/>
        <w:tabs>
          <w:tab w:leader="none" w:pos="1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55" w:lineRule="exact"/>
        <w:rPr>
          <w:sz w:val="20"/>
          <w:szCs w:val="20"/>
          <w:color w:val="auto"/>
        </w:rPr>
      </w:pPr>
    </w:p>
    <w:p>
      <w:pPr>
        <w:ind w:right="100" w:firstLine="720"/>
        <w:spacing w:after="0" w:line="310" w:lineRule="auto"/>
        <w:rPr>
          <w:sz w:val="20"/>
          <w:szCs w:val="20"/>
          <w:color w:val="auto"/>
        </w:rPr>
      </w:pPr>
      <w:r>
        <w:rPr>
          <w:rFonts w:ascii="Times New Roman" w:cs="Times New Roman" w:eastAsia="Times New Roman" w:hAnsi="Times New Roman"/>
          <w:sz w:val="19"/>
          <w:szCs w:val="19"/>
          <w:color w:val="auto"/>
        </w:rPr>
        <w:t>The Company recognizes revenue when it transfers control of goods or services to a customer in an amount that reflects the consideration to which it expects to be entitled to for those goods or services based on the following five steps:</w:t>
      </w:r>
    </w:p>
    <w:p>
      <w:pPr>
        <w:spacing w:after="0" w:line="156" w:lineRule="exact"/>
        <w:rPr>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contract with a customer;</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 in the contract;</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transaction price;</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performance obligations in the contract; and</w:t>
      </w:r>
    </w:p>
    <w:p>
      <w:pPr>
        <w:spacing w:after="0" w:line="25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 revenue when or as the Company satisfies a performance obligation.</w:t>
      </w:r>
    </w:p>
    <w:p>
      <w:pPr>
        <w:spacing w:after="0" w:line="250" w:lineRule="exact"/>
        <w:rPr>
          <w:sz w:val="20"/>
          <w:szCs w:val="20"/>
          <w:color w:val="auto"/>
        </w:rPr>
      </w:pPr>
    </w:p>
    <w:p>
      <w:pPr>
        <w:ind w:right="100" w:firstLine="720"/>
        <w:spacing w:after="0" w:line="257" w:lineRule="auto"/>
        <w:rPr>
          <w:sz w:val="20"/>
          <w:szCs w:val="20"/>
          <w:color w:val="auto"/>
        </w:rPr>
      </w:pPr>
      <w:r>
        <w:rPr>
          <w:rFonts w:ascii="Times New Roman" w:cs="Times New Roman" w:eastAsia="Times New Roman" w:hAnsi="Times New Roman"/>
          <w:sz w:val="20"/>
          <w:szCs w:val="20"/>
          <w:color w:val="auto"/>
        </w:rPr>
        <w:t>The Company derives its revenue from contracts substantially all from recurring service fees. While the majority of its agreements are generally cancellable by the client on 60 days’ notice or less, the Company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w:t>
      </w:r>
    </w:p>
    <w:p>
      <w:pPr>
        <w:spacing w:after="0" w:line="202"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20"/>
          <w:szCs w:val="20"/>
          <w:color w:val="auto"/>
        </w:rPr>
        <w:t>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w:t>
      </w:r>
    </w:p>
    <w:p>
      <w:pPr>
        <w:spacing w:after="0" w:line="20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 As a result, implementation fees are deferred and amortized generally over a period up to 24 months.</w:t>
      </w:r>
    </w:p>
    <w:p>
      <w:pPr>
        <w:spacing w:after="0" w:line="204"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20"/>
          <w:szCs w:val="20"/>
          <w:color w:val="auto"/>
        </w:rPr>
        <w:t>Sales taxes collected from clients and remitted to governmental authorities where applicable are accounted for on a net basis and therefore are excluded from revenues in the Consolidated Statements of Operations and Comprehensive Income.</w:t>
      </w:r>
    </w:p>
    <w:p>
      <w:pPr>
        <w:spacing w:after="0" w:line="195" w:lineRule="exact"/>
        <w:rPr>
          <w:sz w:val="20"/>
          <w:szCs w:val="20"/>
          <w:color w:val="auto"/>
        </w:rPr>
      </w:pPr>
    </w:p>
    <w:p>
      <w:pPr>
        <w:ind w:right="280" w:firstLine="720"/>
        <w:spacing w:after="0" w:line="283" w:lineRule="auto"/>
        <w:rPr>
          <w:sz w:val="20"/>
          <w:szCs w:val="20"/>
          <w:color w:val="auto"/>
        </w:rPr>
      </w:pPr>
      <w:r>
        <w:rPr>
          <w:rFonts w:ascii="Times New Roman" w:cs="Times New Roman" w:eastAsia="Times New Roman" w:hAnsi="Times New Roman"/>
          <w:sz w:val="20"/>
          <w:szCs w:val="20"/>
          <w:color w:val="auto"/>
        </w:rPr>
        <w:t>Interest income earned on funds held for clients is recognized in Interest income on funds held for clients when earned as the collection, holding and remittance of these funds are components of providing services to clients.</w:t>
      </w:r>
    </w:p>
    <w:p>
      <w:pPr>
        <w:spacing w:after="0" w:line="173" w:lineRule="exact"/>
        <w:rPr>
          <w:sz w:val="20"/>
          <w:szCs w:val="20"/>
          <w:color w:val="auto"/>
        </w:rPr>
      </w:pPr>
    </w:p>
    <w:p>
      <w:pPr>
        <w:ind w:left="1000" w:hanging="290"/>
        <w:spacing w:after="0"/>
        <w:tabs>
          <w:tab w:leader="none" w:pos="10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255" w:lineRule="exact"/>
        <w:rPr>
          <w:sz w:val="20"/>
          <w:szCs w:val="20"/>
          <w:color w:val="auto"/>
        </w:rPr>
      </w:pPr>
    </w:p>
    <w:p>
      <w:pPr>
        <w:ind w:right="260" w:firstLine="720"/>
        <w:spacing w:after="0" w:line="261" w:lineRule="auto"/>
        <w:rPr>
          <w:sz w:val="20"/>
          <w:szCs w:val="20"/>
          <w:color w:val="auto"/>
        </w:rPr>
      </w:pPr>
      <w:r>
        <w:rPr>
          <w:rFonts w:ascii="Times New Roman" w:cs="Times New Roman" w:eastAsia="Times New Roman" w:hAnsi="Times New Roman"/>
          <w:sz w:val="20"/>
          <w:szCs w:val="20"/>
          <w:color w:val="auto"/>
        </w:rPr>
        <w:t>Cost of revenues consists primarily of employee-related costs for ongoing client support and implementation activities and also includes amortization of capitalized internal-use software and certain acquired intangibles. The Company generally expenses these costs when incurred except for costs related to the implementation of the Company’s proprietary products. These costs are capitalized and amortized generally over a period of 7 years.</w:t>
      </w:r>
    </w:p>
    <w:p>
      <w:pPr>
        <w:sectPr>
          <w:pgSz w:w="11880" w:h="15481" w:orient="portrait"/>
          <w:cols w:equalWidth="0" w:num="1">
            <w:col w:w="9880"/>
          </w:cols>
          <w:pgMar w:left="1000" w:top="393" w:right="10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pacing w:after="0" w:line="20" w:lineRule="exact"/>
        <w:rPr>
          <w:sz w:val="20"/>
          <w:szCs w:val="20"/>
          <w:color w:val="auto"/>
        </w:rPr>
      </w:pPr>
    </w:p>
    <w:p>
      <w:pPr>
        <w:sectPr>
          <w:pgSz w:w="11880" w:h="15481" w:orient="portrait"/>
          <w:cols w:equalWidth="0" w:num="1">
            <w:col w:w="9880"/>
          </w:cols>
          <w:pgMar w:left="1000" w:top="393" w:right="1001" w:bottom="0" w:gutter="0" w:footer="0" w:header="0"/>
          <w:type w:val="continuous"/>
        </w:sectPr>
      </w:pPr>
    </w:p>
    <w:bookmarkStart w:id="79" w:name="page80"/>
    <w:bookmarkEnd w:id="79"/>
    <w:p>
      <w:pPr>
        <w:ind w:left="1000" w:hanging="290"/>
        <w:spacing w:after="0"/>
        <w:tabs>
          <w:tab w:leader="none" w:pos="10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Advertising</w:t>
      </w:r>
    </w:p>
    <w:p>
      <w:pPr>
        <w:spacing w:after="0" w:line="255" w:lineRule="exact"/>
        <w:rPr>
          <w:sz w:val="20"/>
          <w:szCs w:val="20"/>
          <w:color w:val="auto"/>
        </w:rPr>
      </w:pPr>
    </w:p>
    <w:p>
      <w:pPr>
        <w:ind w:right="160" w:firstLine="720"/>
        <w:spacing w:after="0" w:line="283" w:lineRule="auto"/>
        <w:rPr>
          <w:sz w:val="20"/>
          <w:szCs w:val="20"/>
          <w:color w:val="auto"/>
        </w:rPr>
      </w:pPr>
      <w:r>
        <w:rPr>
          <w:rFonts w:ascii="Times New Roman" w:cs="Times New Roman" w:eastAsia="Times New Roman" w:hAnsi="Times New Roman"/>
          <w:sz w:val="20"/>
          <w:szCs w:val="20"/>
          <w:color w:val="auto"/>
        </w:rPr>
        <w:t>Advertising costs are expensed as incurred. Advertising costs amounted to $15,700, $22,414 and $19,803 for the years ended June 30, 2023, 2024 and 2025, respectively.</w:t>
      </w:r>
    </w:p>
    <w:p>
      <w:pPr>
        <w:spacing w:after="0" w:line="173" w:lineRule="exact"/>
        <w:rPr>
          <w:sz w:val="20"/>
          <w:szCs w:val="20"/>
          <w:color w:val="auto"/>
        </w:rPr>
      </w:pPr>
    </w:p>
    <w:p>
      <w:pPr>
        <w:ind w:left="960" w:hanging="250"/>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55"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The Company recognizes all employee stock-based compensation as a cost in the financial statements. Equity-classified awards, comprised of restricted stock units, performance stock units and market share units, are measured at the grant date fair value of each award and expense is recognized, net of assumed forfeitures, on a straight-line basis over the requisite service period for each separately vesting portion of each award. For market share units, the Company estimates grant date fair value using a discrete model based on multiple stock price-paths developed through the use of Monte Carlo simulation. For estimated shares purchasable under the 2014 Employee Stock Purchase Plan (“ESPP”), the Company estimates grant date fair value using the Black-Scholes option-pricing model and recognizes applicable expense on a straight-line basis over each purchase period. The Company may update the assumed forfeiture rates based on historical experience as appropriate.</w:t>
      </w:r>
    </w:p>
    <w:p>
      <w:pPr>
        <w:spacing w:after="0" w:line="204" w:lineRule="exact"/>
        <w:rPr>
          <w:sz w:val="20"/>
          <w:szCs w:val="20"/>
          <w:color w:val="auto"/>
        </w:rPr>
      </w:pPr>
    </w:p>
    <w:p>
      <w:pPr>
        <w:ind w:left="980" w:hanging="270"/>
        <w:spacing w:after="0"/>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Commitments and Contingencies</w:t>
      </w:r>
    </w:p>
    <w:p>
      <w:pPr>
        <w:spacing w:after="0" w:line="255"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90" w:lineRule="exact"/>
        <w:rPr>
          <w:sz w:val="20"/>
          <w:szCs w:val="20"/>
          <w:color w:val="auto"/>
        </w:rPr>
      </w:pPr>
    </w:p>
    <w:p>
      <w:pPr>
        <w:ind w:left="940" w:hanging="230"/>
        <w:spacing w:after="0"/>
        <w:tabs>
          <w:tab w:leader="none" w:pos="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55" w:lineRule="exact"/>
        <w:rPr>
          <w:sz w:val="20"/>
          <w:szCs w:val="20"/>
          <w:color w:val="auto"/>
        </w:rPr>
      </w:pPr>
    </w:p>
    <w:p>
      <w:pPr>
        <w:jc w:val="both"/>
        <w:ind w:right="620" w:firstLine="720"/>
        <w:spacing w:after="0" w:line="266" w:lineRule="auto"/>
        <w:rPr>
          <w:sz w:val="20"/>
          <w:szCs w:val="20"/>
          <w:color w:val="auto"/>
        </w:rPr>
      </w:pPr>
      <w:r>
        <w:rPr>
          <w:rFonts w:ascii="Times New Roman" w:cs="Times New Roman" w:eastAsia="Times New Roman" w:hAnsi="Times New Roman"/>
          <w:sz w:val="20"/>
          <w:szCs w:val="20"/>
          <w:color w:val="auto"/>
        </w:rPr>
        <w:t>The Company’s chief operating decision maker reviews the financial results of the Company in total when evaluating financial performance and for purposes of allocating resources. The Company has thus determined that it operates in a single reporting segment.</w:t>
      </w:r>
    </w:p>
    <w:p>
      <w:pPr>
        <w:spacing w:after="0" w:line="190" w:lineRule="exact"/>
        <w:rPr>
          <w:sz w:val="20"/>
          <w:szCs w:val="20"/>
          <w:color w:val="auto"/>
        </w:rPr>
      </w:pPr>
    </w:p>
    <w:p>
      <w:pPr>
        <w:ind w:left="1000" w:hanging="290"/>
        <w:spacing w:after="0"/>
        <w:tabs>
          <w:tab w:leader="none" w:pos="10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p>
    <w:p>
      <w:pPr>
        <w:spacing w:after="0" w:line="255" w:lineRule="exact"/>
        <w:rPr>
          <w:sz w:val="20"/>
          <w:szCs w:val="20"/>
          <w:color w:val="auto"/>
        </w:rPr>
      </w:pPr>
    </w:p>
    <w:p>
      <w:pPr>
        <w:ind w:right="320" w:firstLine="720"/>
        <w:spacing w:after="0" w:line="257" w:lineRule="auto"/>
        <w:rPr>
          <w:sz w:val="20"/>
          <w:szCs w:val="20"/>
          <w:color w:val="auto"/>
        </w:rPr>
      </w:pPr>
      <w:r>
        <w:rPr>
          <w:rFonts w:ascii="Times New Roman" w:cs="Times New Roman" w:eastAsia="Times New Roman" w:hAnsi="Times New Roman"/>
          <w:sz w:val="20"/>
          <w:szCs w:val="20"/>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Company adopted this ASU for the fiscal year ended June 30, 2025 and applied the guidance retrospectively to all prior periods presented in the financial statements. Refer to Note 19 for the Company’s disclosures under this standard.</w:t>
      </w:r>
    </w:p>
    <w:p>
      <w:pPr>
        <w:spacing w:after="0" w:line="197" w:lineRule="exact"/>
        <w:rPr>
          <w:sz w:val="20"/>
          <w:szCs w:val="20"/>
          <w:color w:val="auto"/>
        </w:rPr>
      </w:pPr>
    </w:p>
    <w:p>
      <w:pPr>
        <w:ind w:left="1000" w:hanging="290"/>
        <w:spacing w:after="0"/>
        <w:tabs>
          <w:tab w:leader="none" w:pos="10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Recently Issued Accounting Standards</w:t>
      </w:r>
    </w:p>
    <w:p>
      <w:pPr>
        <w:spacing w:after="0" w:line="255"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assessing the impact to its consolidated financial statement disclosures and the method of adopting this ASU. It will adopt this guidance for the fiscal year ended June 30, 2026.</w:t>
      </w:r>
    </w:p>
    <w:p>
      <w:pPr>
        <w:spacing w:after="0" w:line="210" w:lineRule="exact"/>
        <w:rPr>
          <w:sz w:val="20"/>
          <w:szCs w:val="20"/>
          <w:color w:val="auto"/>
        </w:rPr>
      </w:pPr>
    </w:p>
    <w:p>
      <w:pPr>
        <w:ind w:right="240" w:firstLine="720"/>
        <w:spacing w:after="0" w:line="271" w:lineRule="auto"/>
        <w:rPr>
          <w:sz w:val="20"/>
          <w:szCs w:val="20"/>
          <w:color w:val="auto"/>
        </w:rPr>
      </w:pPr>
      <w:r>
        <w:rPr>
          <w:rFonts w:ascii="Times New Roman" w:cs="Times New Roman" w:eastAsia="Times New Roman" w:hAnsi="Times New Roman"/>
          <w:sz w:val="19"/>
          <w:szCs w:val="19"/>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93" w:lineRule="exact"/>
        <w:rPr>
          <w:sz w:val="20"/>
          <w:szCs w:val="20"/>
          <w:color w:val="auto"/>
        </w:rPr>
      </w:pPr>
    </w:p>
    <w:p>
      <w:pPr>
        <w:ind w:right="140" w:firstLine="720"/>
        <w:spacing w:after="0" w:line="310" w:lineRule="auto"/>
        <w:rPr>
          <w:sz w:val="20"/>
          <w:szCs w:val="20"/>
          <w:color w:val="auto"/>
        </w:rPr>
      </w:pPr>
      <w:r>
        <w:rPr>
          <w:rFonts w:ascii="Times New Roman" w:cs="Times New Roman" w:eastAsia="Times New Roman" w:hAnsi="Times New Roman"/>
          <w:sz w:val="19"/>
          <w:szCs w:val="19"/>
          <w:color w:val="auto"/>
        </w:rPr>
        <w:t>From time to time, new accounting pronouncements are issued by the FASB or other standard setting bodies that are adopted by the Company as of the specified effective date. Unless otherwise discussed, the Company believes that the</w:t>
      </w:r>
    </w:p>
    <w:p>
      <w:pPr>
        <w:sectPr>
          <w:pgSz w:w="11880" w:h="15481" w:orient="portrait"/>
          <w:cols w:equalWidth="0" w:num="1">
            <w:col w:w="9880"/>
          </w:cols>
          <w:pgMar w:left="1000" w:top="393" w:right="1001"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pacing w:after="0" w:line="20" w:lineRule="exact"/>
        <w:rPr>
          <w:sz w:val="20"/>
          <w:szCs w:val="20"/>
          <w:color w:val="auto"/>
        </w:rPr>
      </w:pPr>
    </w:p>
    <w:p>
      <w:pPr>
        <w:sectPr>
          <w:pgSz w:w="11880" w:h="15481" w:orient="portrait"/>
          <w:cols w:equalWidth="0" w:num="1">
            <w:col w:w="9880"/>
          </w:cols>
          <w:pgMar w:left="1000" w:top="393" w:right="1001" w:bottom="0" w:gutter="0" w:footer="0" w:header="0"/>
          <w:type w:val="continuous"/>
        </w:sectPr>
      </w:pPr>
    </w:p>
    <w:bookmarkStart w:id="80" w:name="page81"/>
    <w:bookmarkEnd w:id="80"/>
    <w:p>
      <w:pPr>
        <w:ind w:right="60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t>impact of other recently issued standards that are not yet effective will not have a material impact on the Company’s consolidated financial statements upon adoption.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Revenue</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disaggregates revenue by Recurring fees and Implementation services and other, which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believes depicts the nature, amount and timing of its revenue:</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3"/>
        </w:trPr>
        <w:tc>
          <w:tcPr>
            <w:tcW w:w="5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Recurring fees </w:t>
            </w:r>
            <w:r>
              <w:rPr>
                <w:rFonts w:ascii="Times New Roman" w:cs="Times New Roman" w:eastAsia="Times New Roman" w:hAnsi="Times New Roman"/>
                <w:sz w:val="20"/>
                <w:szCs w:val="20"/>
                <w:color w:val="AAA6A1"/>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1,056,808</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1,227,150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1,409,896</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Implementation services and other</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41,228</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54,530</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61,905</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from contracts</w:t>
            </w:r>
            <w:r>
              <w:rPr>
                <w:rFonts w:ascii="Times New Roman" w:cs="Times New Roman" w:eastAsia="Times New Roman" w:hAnsi="Times New Roman"/>
                <w:sz w:val="20"/>
                <w:szCs w:val="20"/>
                <w:color w:val="AAA6A1"/>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1,098,036</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1,281,680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1,471,801</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258" w:lineRule="exact"/>
        <w:rPr>
          <w:sz w:val="20"/>
          <w:szCs w:val="20"/>
          <w:color w:val="auto"/>
        </w:rPr>
      </w:pPr>
    </w:p>
    <w:p>
      <w:pPr>
        <w:ind w:right="360" w:firstLine="720"/>
        <w:spacing w:after="0" w:line="266" w:lineRule="auto"/>
        <w:rPr>
          <w:sz w:val="20"/>
          <w:szCs w:val="20"/>
          <w:color w:val="auto"/>
        </w:rPr>
      </w:pPr>
      <w:r>
        <w:rPr>
          <w:rFonts w:ascii="Times New Roman" w:cs="Times New Roman" w:eastAsia="Times New Roman" w:hAnsi="Times New Roman"/>
          <w:sz w:val="20"/>
          <w:szCs w:val="20"/>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95"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33"/>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at beginning of the year </w:t>
            </w:r>
            <w:r>
              <w:rPr>
                <w:rFonts w:ascii="Times New Roman" w:cs="Times New Roman" w:eastAsia="Times New Roman" w:hAnsi="Times New Roman"/>
                <w:sz w:val="20"/>
                <w:szCs w:val="20"/>
                <w:color w:val="AAA6A1"/>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22,617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24,883</w:t>
            </w:r>
          </w:p>
        </w:tc>
      </w:tr>
      <w:tr>
        <w:trPr>
          <w:trHeight w:val="281"/>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Deferral of revenue</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48,468</w:t>
            </w:r>
          </w:p>
        </w:tc>
      </w:tr>
      <w:tr>
        <w:trPr>
          <w:trHeight w:val="264"/>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AA6A1"/>
              </w:rPr>
              <w:t>.............................................................................................................</w:t>
            </w:r>
            <w:r>
              <w:rPr>
                <w:rFonts w:ascii="Times New Roman" w:cs="Times New Roman" w:eastAsia="Times New Roman" w:hAnsi="Times New Roman"/>
                <w:sz w:val="20"/>
                <w:szCs w:val="20"/>
                <w:color w:val="000000"/>
              </w:rPr>
              <w:t>Revenuerecognized</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(41,197)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(45,045)</w:t>
            </w:r>
          </w:p>
        </w:tc>
      </w:tr>
      <w:tr>
        <w:trPr>
          <w:trHeight w:val="26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Balance at end of the year </w:t>
            </w:r>
            <w:r>
              <w:rPr>
                <w:rFonts w:ascii="Times New Roman" w:cs="Times New Roman" w:eastAsia="Times New Roman" w:hAnsi="Times New Roman"/>
                <w:sz w:val="20"/>
                <w:szCs w:val="20"/>
                <w:color w:val="AAA6A1"/>
                <w:w w:val="99"/>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24,883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28,306</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380" w:firstLine="720"/>
        <w:spacing w:after="0" w:line="266" w:lineRule="auto"/>
        <w:rPr>
          <w:sz w:val="20"/>
          <w:szCs w:val="20"/>
          <w:color w:val="auto"/>
        </w:rPr>
      </w:pPr>
      <w:r>
        <w:rPr>
          <w:rFonts w:ascii="Times New Roman" w:cs="Times New Roman" w:eastAsia="Times New Roman" w:hAnsi="Times New Roman"/>
          <w:sz w:val="20"/>
          <w:szCs w:val="20"/>
          <w:color w:val="auto"/>
        </w:rPr>
        <w:t>Deferred revenue related to these nonrefundable upfront fees are recorded within Accrued expenses and Other long-term liabilities on the Consolidated Balance Sheets. The Company expects to recognize these deferred revenue balances of $22,566 in fiscal 2026, $5,166 in fiscal 2027, and $570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contract costs</w:t>
      </w:r>
    </w:p>
    <w:p>
      <w:pPr>
        <w:spacing w:after="0" w:line="258" w:lineRule="exact"/>
        <w:rPr>
          <w:sz w:val="20"/>
          <w:szCs w:val="20"/>
          <w:color w:val="auto"/>
        </w:rPr>
      </w:pPr>
    </w:p>
    <w:p>
      <w:pPr>
        <w:ind w:right="300" w:firstLine="720"/>
        <w:spacing w:after="0" w:line="283" w:lineRule="auto"/>
        <w:rPr>
          <w:sz w:val="20"/>
          <w:szCs w:val="20"/>
          <w:color w:val="auto"/>
        </w:rPr>
      </w:pPr>
      <w:r>
        <w:rPr>
          <w:rFonts w:ascii="Times New Roman" w:cs="Times New Roman" w:eastAsia="Times New Roman" w:hAnsi="Times New Roman"/>
          <w:sz w:val="20"/>
          <w:szCs w:val="20"/>
          <w:color w:val="auto"/>
        </w:rPr>
        <w:t>The following tables present the deferred contract costs balances and the related amortization expense for these deferred contract costs: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4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Year Ended June 30, 2024</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96"/>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17"/>
        </w:trPr>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9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Costs to obtain a new contract </w:t>
            </w:r>
            <w:r>
              <w:rPr>
                <w:rFonts w:ascii="Times New Roman" w:cs="Times New Roman" w:eastAsia="Times New Roman" w:hAnsi="Times New Roman"/>
                <w:sz w:val="20"/>
                <w:szCs w:val="20"/>
                <w:color w:val="AAA6A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(52,530)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250,136</w:t>
            </w: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Costs to fulfill a contract</w:t>
            </w:r>
            <w:r>
              <w:rPr>
                <w:rFonts w:ascii="Times New Roman" w:cs="Times New Roman" w:eastAsia="Times New Roman" w:hAnsi="Times New Roman"/>
                <w:sz w:val="20"/>
                <w:szCs w:val="20"/>
                <w:color w:val="AAA6A1"/>
              </w:rPr>
              <w: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153,366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78,599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(36,239)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195,726</w:t>
            </w: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AAA6A1"/>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372,331</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162,300</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(88,769)</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445,862</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Year Ended June 30, 2025</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96"/>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w w:val="97"/>
              </w:rPr>
              <w:t>Beginning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17"/>
        </w:trPr>
        <w:tc>
          <w:tcPr>
            <w:tcW w:w="4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9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Costs to obtain a new contract </w:t>
            </w:r>
            <w:r>
              <w:rPr>
                <w:rFonts w:ascii="Times New Roman" w:cs="Times New Roman" w:eastAsia="Times New Roman" w:hAnsi="Times New Roman"/>
                <w:sz w:val="20"/>
                <w:szCs w:val="20"/>
                <w:color w:val="AAA6A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(61,327)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282,090</w:t>
            </w: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Costs to fulfill a contract</w:t>
            </w:r>
            <w:r>
              <w:rPr>
                <w:rFonts w:ascii="Times New Roman" w:cs="Times New Roman" w:eastAsia="Times New Roman" w:hAnsi="Times New Roman"/>
                <w:sz w:val="20"/>
                <w:szCs w:val="20"/>
                <w:color w:val="AAA6A1"/>
              </w:rPr>
              <w: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195,726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80,833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(47,801)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228,758</w:t>
            </w: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AAA6A1"/>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445,862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(109,128)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510,848</w:t>
            </w:r>
          </w:p>
        </w:tc>
      </w:tr>
      <w:tr>
        <w:trPr>
          <w:trHeight w:val="20"/>
        </w:trPr>
        <w:tc>
          <w:tcPr>
            <w:tcW w:w="4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81" w:name="page82"/>
    <w:bookmarkEnd w:id="81"/>
    <w:p>
      <w:pPr>
        <w:ind w:right="40" w:firstLine="720"/>
        <w:spacing w:after="0" w:line="26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t>Deferred contract costs are recorded within Deferred contract costs and Long-term deferred contract costs on the Consolidated Balance Sheets. Amortization of deferred contract costs is primarily recorded in Cost of revenues and Sales and marketing in the Consolidated Statements of Operations and Comprehensive Income. The Company did not record any impairment losses associated with its deferred contract costs during the years ended June 30, 2023, 2024 or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25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value of the Company’s remaining performance obligations related to minimum monthly fees on its term-based contracts was approximately $146,873 as of June 30, 2025, which will be generally recognized over the next 24 months.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Cash and Cash Equivalents and Funds Held for Clients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Cash and cash equivalents and Funds held for clients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auto"/>
            </w:tcBorders>
          </w:tcPr>
          <w:p>
            <w:pPr>
              <w:jc w:val="right"/>
              <w:ind w:right="1682"/>
              <w:spacing w:after="0"/>
              <w:rPr>
                <w:sz w:val="20"/>
                <w:szCs w:val="20"/>
                <w:color w:val="auto"/>
              </w:rPr>
            </w:pPr>
            <w:r>
              <w:rPr>
                <w:rFonts w:ascii="Times New Roman" w:cs="Times New Roman" w:eastAsia="Times New Roman" w:hAnsi="Times New Roman"/>
                <w:sz w:val="16"/>
                <w:szCs w:val="16"/>
                <w:b w:val="1"/>
                <w:bCs w:val="1"/>
                <w:color w:val="auto"/>
              </w:rPr>
              <w:t>Type of Issue</w:t>
            </w:r>
          </w:p>
        </w:tc>
        <w:tc>
          <w:tcPr>
            <w:tcW w:w="6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AAA6A1"/>
              </w:rPr>
              <w:t>............................................</w:t>
            </w:r>
          </w:p>
        </w:tc>
        <w:tc>
          <w:tcPr>
            <w:tcW w:w="30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401,811</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401,811</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Funds held for clients' cash and cash equivalents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2,443,858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2,443,858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Available-for-sale securities: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Corporate bonds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314,728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314,820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Asset-backed securities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40,682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U.S. treasury securities </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28,748</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Total available-for-sale securities</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509,145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508,202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Total investments</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3,354,814</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60" w:type="dxa"/>
            <w:vAlign w:val="bottom"/>
          </w:tcPr>
          <w:p>
            <w:pPr>
              <w:spacing w:after="0"/>
              <w:rPr>
                <w:sz w:val="22"/>
                <w:szCs w:val="22"/>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(2,304)</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3,353,871</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auto"/>
            </w:tcBorders>
          </w:tcPr>
          <w:p>
            <w:pPr>
              <w:jc w:val="right"/>
              <w:ind w:right="1682"/>
              <w:spacing w:after="0"/>
              <w:rPr>
                <w:sz w:val="20"/>
                <w:szCs w:val="20"/>
                <w:color w:val="auto"/>
              </w:rPr>
            </w:pPr>
            <w:r>
              <w:rPr>
                <w:rFonts w:ascii="Times New Roman" w:cs="Times New Roman" w:eastAsia="Times New Roman" w:hAnsi="Times New Roman"/>
                <w:sz w:val="16"/>
                <w:szCs w:val="16"/>
                <w:b w:val="1"/>
                <w:bCs w:val="1"/>
                <w:color w:val="auto"/>
              </w:rPr>
              <w:t>Type of Issue</w:t>
            </w:r>
          </w:p>
        </w:tc>
        <w:tc>
          <w:tcPr>
            <w:tcW w:w="6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w w:val="99"/>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AAA6A1"/>
              </w:rPr>
              <w:t>............................................</w:t>
            </w:r>
          </w:p>
        </w:tc>
        <w:tc>
          <w:tcPr>
            <w:tcW w:w="30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398,070</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398,070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Funds held for clients' cash and cash equivalents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2,084,456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2,084,456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Available-for-sale securities: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Corporate bonds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372,171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6,497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378,592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5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Asset-backed securities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Certificates of deposit </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61,687</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U.S. treasury securities </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Commercial paper</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24,688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Total available-for-sale securities</w:t>
            </w:r>
            <w:r>
              <w:rPr>
                <w:rFonts w:ascii="Times New Roman" w:cs="Times New Roman" w:eastAsia="Times New Roman" w:hAnsi="Times New Roman"/>
                <w:sz w:val="20"/>
                <w:szCs w:val="20"/>
                <w:color w:val="AAA6A1"/>
              </w:rPr>
              <w: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612,101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619,681</w:t>
            </w: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Total investments</w:t>
            </w:r>
            <w:r>
              <w:rPr>
                <w:rFonts w:ascii="Times New Roman" w:cs="Times New Roman" w:eastAsia="Times New Roman" w:hAnsi="Times New Roman"/>
                <w:sz w:val="20"/>
                <w:szCs w:val="20"/>
                <w:color w:val="AAA6A1"/>
              </w:rPr>
              <w:t>..........................................................</w:t>
            </w:r>
          </w:p>
        </w:tc>
        <w:tc>
          <w:tcPr>
            <w:tcW w:w="300" w:type="dxa"/>
            <w:vAlign w:val="bottom"/>
          </w:tcPr>
          <w:p>
            <w:pPr>
              <w:jc w:val="right"/>
              <w:ind w:right="67"/>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3,094,627</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7,694</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3,102,207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All available-for-sale securities were included in Funds held for clients at June 30, 2024 and 2025.</w:t>
      </w:r>
    </w:p>
    <w:p>
      <w:pPr>
        <w:spacing w:after="0" w:line="250" w:lineRule="exact"/>
        <w:rPr>
          <w:sz w:val="20"/>
          <w:szCs w:val="20"/>
          <w:color w:val="auto"/>
        </w:rPr>
      </w:pPr>
    </w:p>
    <w:p>
      <w:pPr>
        <w:jc w:val="both"/>
        <w:ind w:right="40" w:firstLine="720"/>
        <w:spacing w:after="0" w:line="283" w:lineRule="auto"/>
        <w:rPr>
          <w:sz w:val="20"/>
          <w:szCs w:val="20"/>
          <w:color w:val="auto"/>
        </w:rPr>
      </w:pPr>
      <w:r>
        <w:rPr>
          <w:rFonts w:ascii="Times New Roman" w:cs="Times New Roman" w:eastAsia="Times New Roman" w:hAnsi="Times New Roman"/>
          <w:sz w:val="20"/>
          <w:szCs w:val="20"/>
          <w:color w:val="auto"/>
        </w:rPr>
        <w:t>Cash and cash equivalents and funds held for clients’ cash and cash equivalents included demand deposit accounts and money market funds as of June 30, 2024 and 2025.</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82" w:name="page83"/>
    <w:bookmarkEnd w:id="82"/>
    <w:p>
      <w:pPr>
        <w:ind w:left="7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t>Classification of investments on the consolidated balance sheets was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33"/>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401,811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398,070</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Funds held for clients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2,952,060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2,704,137</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investments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3,353,871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3,102,207</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220" w:firstLine="720"/>
        <w:spacing w:after="0" w:line="283" w:lineRule="auto"/>
        <w:rPr>
          <w:sz w:val="20"/>
          <w:szCs w:val="20"/>
          <w:color w:val="auto"/>
        </w:rPr>
      </w:pPr>
      <w:r>
        <w:rPr>
          <w:rFonts w:ascii="Times New Roman" w:cs="Times New Roman" w:eastAsia="Times New Roman" w:hAnsi="Times New Roman"/>
          <w:sz w:val="20"/>
          <w:szCs w:val="20"/>
          <w:color w:val="auto"/>
        </w:rPr>
        <w:t>Available-for-sale securities that have been in an unrealized loss position for a period of less and greater than 12 months as of June 30, 2024 and 2025 had fair market value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4"/>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Securities in an unrealized loss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Securities in an unrealized loss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1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position for less than 12 months</w:t>
            </w:r>
          </w:p>
        </w:tc>
        <w:tc>
          <w:tcPr>
            <w:tcW w:w="60" w:type="dxa"/>
            <w:vAlign w:val="bottom"/>
          </w:tcPr>
          <w:p>
            <w:pPr>
              <w:spacing w:after="0"/>
              <w:rPr>
                <w:sz w:val="19"/>
                <w:szCs w:val="19"/>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position for greater than 12 months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bottom w:val="single" w:sz="8" w:color="auto"/>
            </w:tcBorders>
          </w:tcPr>
          <w:p>
            <w:pPr>
              <w:spacing w:after="0"/>
              <w:rPr>
                <w:sz w:val="19"/>
                <w:szCs w:val="19"/>
                <w:color w:val="auto"/>
              </w:rPr>
            </w:pPr>
          </w:p>
        </w:tc>
      </w:tr>
      <w:tr>
        <w:trPr>
          <w:trHeight w:val="197"/>
        </w:trPr>
        <w:tc>
          <w:tcPr>
            <w:tcW w:w="172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1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92"/>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Corporate bonds </w:t>
            </w:r>
            <w:r>
              <w:rPr>
                <w:rFonts w:ascii="Times New Roman" w:cs="Times New Roman" w:eastAsia="Times New Roman" w:hAnsi="Times New Roman"/>
                <w:sz w:val="20"/>
                <w:szCs w:val="20"/>
                <w:color w:val="AAA6A1"/>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105,957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136,014</w:t>
            </w: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Asset-backed</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1"/>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r>
              <w:rPr>
                <w:rFonts w:ascii="Times New Roman" w:cs="Times New Roman" w:eastAsia="Times New Roman" w:hAnsi="Times New Roman"/>
                <w:sz w:val="20"/>
                <w:szCs w:val="20"/>
                <w:color w:val="AAA6A1"/>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9,404</w:t>
            </w:r>
          </w:p>
        </w:tc>
      </w:tr>
      <w:tr>
        <w:trPr>
          <w:trHeight w:val="26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U.S. treasury</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r>
      <w:tr>
        <w:trPr>
          <w:trHeight w:val="27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r>
              <w:rPr>
                <w:rFonts w:ascii="Times New Roman" w:cs="Times New Roman" w:eastAsia="Times New Roman" w:hAnsi="Times New Roman"/>
                <w:sz w:val="20"/>
                <w:szCs w:val="20"/>
                <w:color w:val="AAA6A1"/>
              </w:rPr>
              <w: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44,712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72,224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116,936</w:t>
            </w:r>
          </w:p>
        </w:tc>
      </w:tr>
      <w:tr>
        <w:trPr>
          <w:trHeight w:val="288"/>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AAA6A1"/>
              </w:rPr>
              <w: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14,022</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available-for-</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sale securities</w:t>
            </w:r>
            <w:r>
              <w:rPr>
                <w:rFonts w:ascii="Times New Roman" w:cs="Times New Roman" w:eastAsia="Times New Roman" w:hAnsi="Times New Roman"/>
                <w:sz w:val="20"/>
                <w:szCs w:val="20"/>
                <w:color w:val="AAA6A1"/>
              </w:rPr>
              <w:t>...........</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155,235</w:t>
            </w:r>
          </w:p>
        </w:tc>
        <w:tc>
          <w:tcPr>
            <w:tcW w:w="6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(1,646)</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121,141</w:t>
            </w:r>
          </w:p>
        </w:tc>
        <w:tc>
          <w:tcPr>
            <w:tcW w:w="60" w:type="dxa"/>
            <w:vAlign w:val="bottom"/>
          </w:tcPr>
          <w:p>
            <w:pPr>
              <w:spacing w:after="0"/>
              <w:rPr>
                <w:sz w:val="21"/>
                <w:szCs w:val="21"/>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(2,304)</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276,376</w:t>
            </w: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4"/>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Securities in an unrealized loss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Securities in an unrealized loss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1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position for less than 12 months</w:t>
            </w:r>
          </w:p>
        </w:tc>
        <w:tc>
          <w:tcPr>
            <w:tcW w:w="60" w:type="dxa"/>
            <w:vAlign w:val="bottom"/>
          </w:tcPr>
          <w:p>
            <w:pPr>
              <w:spacing w:after="0"/>
              <w:rPr>
                <w:sz w:val="19"/>
                <w:szCs w:val="19"/>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position for greater than 12 months</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bottom w:val="single" w:sz="8" w:color="auto"/>
            </w:tcBorders>
          </w:tcPr>
          <w:p>
            <w:pPr>
              <w:spacing w:after="0"/>
              <w:rPr>
                <w:sz w:val="19"/>
                <w:szCs w:val="19"/>
                <w:color w:val="auto"/>
              </w:rPr>
            </w:pPr>
          </w:p>
        </w:tc>
      </w:tr>
      <w:tr>
        <w:trPr>
          <w:trHeight w:val="197"/>
        </w:trPr>
        <w:tc>
          <w:tcPr>
            <w:tcW w:w="172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16"/>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Corporate bonds </w:t>
            </w:r>
            <w:r>
              <w:rPr>
                <w:rFonts w:ascii="Times New Roman" w:cs="Times New Roman" w:eastAsia="Times New Roman" w:hAnsi="Times New Roman"/>
                <w:sz w:val="20"/>
                <w:szCs w:val="20"/>
                <w:color w:val="AAA6A1"/>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10,002</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18,281</w:t>
            </w: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Asset-backed</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1"/>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r>
              <w:rPr>
                <w:rFonts w:ascii="Times New Roman" w:cs="Times New Roman" w:eastAsia="Times New Roman" w:hAnsi="Times New Roman"/>
                <w:sz w:val="20"/>
                <w:szCs w:val="20"/>
                <w:color w:val="AAA6A1"/>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7,102</w:t>
            </w:r>
          </w:p>
        </w:tc>
      </w:tr>
      <w:tr>
        <w:trPr>
          <w:trHeight w:val="26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Certificates of</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r>
      <w:tr>
        <w:trPr>
          <w:trHeight w:val="27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deposit </w:t>
            </w:r>
            <w:r>
              <w:rPr>
                <w:rFonts w:ascii="Times New Roman" w:cs="Times New Roman" w:eastAsia="Times New Roman" w:hAnsi="Times New Roman"/>
                <w:sz w:val="20"/>
                <w:szCs w:val="20"/>
                <w:color w:val="AAA6A1"/>
              </w:rPr>
              <w: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19,468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19,468</w:t>
            </w: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U.S. treasury</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1"/>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r>
              <w:rPr>
                <w:rFonts w:ascii="Times New Roman" w:cs="Times New Roman" w:eastAsia="Times New Roman" w:hAnsi="Times New Roman"/>
                <w:sz w:val="20"/>
                <w:szCs w:val="20"/>
                <w:color w:val="AAA6A1"/>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37,581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38,579</w:t>
            </w:r>
          </w:p>
        </w:tc>
      </w:tr>
      <w:tr>
        <w:trPr>
          <w:trHeight w:val="30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Commercial paper </w:t>
            </w:r>
            <w:r>
              <w:rPr>
                <w:rFonts w:ascii="Times New Roman" w:cs="Times New Roman" w:eastAsia="Times New Roman" w:hAnsi="Times New Roman"/>
                <w:sz w:val="20"/>
                <w:szCs w:val="20"/>
                <w:color w:val="AAA6A1"/>
              </w:rPr>
              <w: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17,272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17,272</w:t>
            </w:r>
          </w:p>
        </w:tc>
      </w:tr>
      <w:tr>
        <w:trPr>
          <w:trHeight w:val="243"/>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available-for-</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sale securities</w:t>
            </w:r>
            <w:r>
              <w:rPr>
                <w:rFonts w:ascii="Times New Roman" w:cs="Times New Roman" w:eastAsia="Times New Roman" w:hAnsi="Times New Roman"/>
                <w:sz w:val="20"/>
                <w:szCs w:val="20"/>
                <w:color w:val="AAA6A1"/>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88,477</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100,702</w:t>
            </w:r>
          </w:p>
        </w:tc>
      </w:tr>
      <w:tr>
        <w:trPr>
          <w:trHeight w:val="20"/>
        </w:trPr>
        <w:tc>
          <w:tcPr>
            <w:tcW w:w="1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20"/>
          <w:szCs w:val="20"/>
          <w:color w:val="auto"/>
        </w:rPr>
        <w:t>The Company regularly reviews the composition of its portfolio to determine the existence of credit impairment. The Company did not recognize any credit impairment losses during the years ended June 30, 2023, 2024 or 2025. All securities in the Company's portfolio held an A-1 rating or better as of June 30, 2025.</w:t>
      </w:r>
    </w:p>
    <w:p>
      <w:pPr>
        <w:spacing w:after="0" w:line="195"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The Company did not make any material reclassification adjustments out of Accumulated other comprehensive income for realized gains and losses on the sale of available-for-sale securities during the years ended June 30, 2023, 2024 or 2025. Gross realized gains and losses on the sale of available-for-sale securities were immaterial for the years ended June 30, 2023, 2024 and 2025.</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83" w:name="page84"/>
    <w:bookmarkEnd w:id="83"/>
    <w:p>
      <w:pPr>
        <w:ind w:left="7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t>Expected maturities of available-for-sale securities at June 30, 2025 were as follows: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9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One year or less </w:t>
            </w:r>
            <w:r>
              <w:rPr>
                <w:rFonts w:ascii="Times New Roman" w:cs="Times New Roman" w:eastAsia="Times New Roman" w:hAnsi="Times New Roman"/>
                <w:sz w:val="20"/>
                <w:szCs w:val="20"/>
                <w:color w:val="AAA6A1"/>
              </w:rPr>
              <w:t>....................................................................................................................</w:t>
            </w:r>
          </w:p>
        </w:tc>
        <w:tc>
          <w:tcPr>
            <w:tcW w:w="38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195,502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195,613</w:t>
            </w:r>
          </w:p>
        </w:tc>
      </w:tr>
      <w:tr>
        <w:trPr>
          <w:trHeight w:val="28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One year to two years</w:t>
            </w:r>
            <w:r>
              <w:rPr>
                <w:rFonts w:ascii="Times New Roman" w:cs="Times New Roman" w:eastAsia="Times New Roman" w:hAnsi="Times New Roman"/>
                <w:sz w:val="20"/>
                <w:szCs w:val="20"/>
                <w:color w:val="AAA6A1"/>
              </w:rPr>
              <w: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110,280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111,449</w:t>
            </w:r>
          </w:p>
        </w:tc>
      </w:tr>
      <w:tr>
        <w:trPr>
          <w:trHeight w:val="31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Two years to three years</w:t>
            </w:r>
            <w:r>
              <w:rPr>
                <w:rFonts w:ascii="Times New Roman" w:cs="Times New Roman" w:eastAsia="Times New Roman" w:hAnsi="Times New Roman"/>
                <w:sz w:val="20"/>
                <w:szCs w:val="20"/>
                <w:color w:val="AAA6A1"/>
              </w:rPr>
              <w: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56,432</w:t>
            </w:r>
          </w:p>
        </w:tc>
      </w:tr>
      <w:tr>
        <w:trPr>
          <w:trHeight w:val="28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Three years to five years </w:t>
            </w:r>
            <w:r>
              <w:rPr>
                <w:rFonts w:ascii="Times New Roman" w:cs="Times New Roman" w:eastAsia="Times New Roman" w:hAnsi="Times New Roman"/>
                <w:sz w:val="20"/>
                <w:szCs w:val="20"/>
                <w:color w:val="AAA6A1"/>
              </w:rPr>
              <w:t>......................................................................................................</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244,572</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Five years and thereafter </w:t>
            </w:r>
            <w:r>
              <w:rPr>
                <w:rFonts w:ascii="Times New Roman" w:cs="Times New Roman" w:eastAsia="Times New Roman" w:hAnsi="Times New Roman"/>
                <w:sz w:val="20"/>
                <w:szCs w:val="20"/>
                <w:color w:val="AAA6A1"/>
              </w:rPr>
              <w:t>......................................................................................................</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11,615</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available-for-sale securities</w:t>
            </w:r>
            <w:r>
              <w:rPr>
                <w:rFonts w:ascii="Times New Roman" w:cs="Times New Roman" w:eastAsia="Times New Roman" w:hAnsi="Times New Roman"/>
                <w:sz w:val="20"/>
                <w:szCs w:val="20"/>
                <w:color w:val="AAA6A1"/>
              </w:rPr>
              <w:t>.........................................................................................</w:t>
            </w:r>
          </w:p>
        </w:tc>
        <w:tc>
          <w:tcPr>
            <w:tcW w:w="380" w:type="dxa"/>
            <w:vAlign w:val="bottom"/>
          </w:tcPr>
          <w:p>
            <w:pPr>
              <w:jc w:val="right"/>
              <w:ind w:right="127"/>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612,101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619,681</w:t>
            </w:r>
          </w:p>
        </w:tc>
      </w:tr>
      <w:tr>
        <w:trPr>
          <w:trHeight w:val="20"/>
        </w:trPr>
        <w:tc>
          <w:tcPr>
            <w:tcW w:w="7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w:t>
      </w:r>
    </w:p>
    <w:p>
      <w:pPr>
        <w:spacing w:after="0" w:line="257" w:lineRule="exact"/>
        <w:rPr>
          <w:sz w:val="20"/>
          <w:szCs w:val="20"/>
          <w:color w:val="auto"/>
        </w:rPr>
      </w:pPr>
    </w:p>
    <w:p>
      <w:pPr>
        <w:ind w:right="160" w:firstLine="720"/>
        <w:spacing w:after="0" w:line="261"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200" w:lineRule="exact"/>
        <w:rPr>
          <w:sz w:val="20"/>
          <w:szCs w:val="20"/>
          <w:color w:val="auto"/>
        </w:rPr>
      </w:pPr>
    </w:p>
    <w:p>
      <w:pPr>
        <w:ind w:left="1080" w:hanging="37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1—Quoted prices in active markets for identical assets and liabilities.</w:t>
      </w:r>
    </w:p>
    <w:p>
      <w:pPr>
        <w:spacing w:after="0" w:line="250" w:lineRule="exact"/>
        <w:rPr>
          <w:rFonts w:ascii="Times New Roman" w:cs="Times New Roman" w:eastAsia="Times New Roman" w:hAnsi="Times New Roman"/>
          <w:sz w:val="20"/>
          <w:szCs w:val="20"/>
          <w:color w:val="auto"/>
        </w:rPr>
      </w:pPr>
    </w:p>
    <w:p>
      <w:pPr>
        <w:jc w:val="both"/>
        <w:ind w:left="1080" w:right="80" w:hanging="370"/>
        <w:spacing w:after="0" w:line="310" w:lineRule="auto"/>
        <w:tabs>
          <w:tab w:leader="none" w:pos="108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55" w:lineRule="exact"/>
        <w:rPr>
          <w:rFonts w:ascii="Times New Roman" w:cs="Times New Roman" w:eastAsia="Times New Roman" w:hAnsi="Times New Roman"/>
          <w:sz w:val="19"/>
          <w:szCs w:val="19"/>
          <w:color w:val="auto"/>
        </w:rPr>
      </w:pPr>
    </w:p>
    <w:p>
      <w:pPr>
        <w:ind w:left="1080" w:right="140" w:hanging="370"/>
        <w:spacing w:after="0" w:line="266"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95"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The Company measures any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2024 and 2025 based upon the short-term nature of these assets and liabilities.</w:t>
      </w:r>
    </w:p>
    <w:p>
      <w:pPr>
        <w:spacing w:after="0" w:line="200"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Marketable securities classified as available-for-sale are recorded at fair value on a recurring basis using Level 2 inputs obtained from an independent pricing service. Available-for-sale securities include commercial paper, corporate bonds, asset-backed securities, U.S. treasury securities and other.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2024 or 2025.</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fair value level for the Company’s cash and cash equivalents and available-for-sale securities was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33"/>
        </w:trPr>
        <w:tc>
          <w:tcPr>
            <w:tcW w:w="4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92"/>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Cash and cash equivalents </w:t>
            </w:r>
            <w:r>
              <w:rPr>
                <w:rFonts w:ascii="Times New Roman" w:cs="Times New Roman" w:eastAsia="Times New Roman" w:hAnsi="Times New Roman"/>
                <w:sz w:val="20"/>
                <w:szCs w:val="20"/>
                <w:color w:val="AAA6A1"/>
                <w:w w:val="99"/>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401,811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401,811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Funds held for clients' cash and cash equivalents</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2,443,858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2,443,858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313"/>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Available-for-sale securities: </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r>
      <w:tr>
        <w:trPr>
          <w:trHeight w:val="294"/>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Corporate bonds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314,820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314,820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306"/>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Asset-backed securities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123,952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28,748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28,748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available-for-sale securities</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508,202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508,202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investments</w:t>
            </w:r>
            <w:r>
              <w:rPr>
                <w:rFonts w:ascii="Times New Roman" w:cs="Times New Roman" w:eastAsia="Times New Roman" w:hAnsi="Times New Roman"/>
                <w:sz w:val="20"/>
                <w:szCs w:val="20"/>
                <w:color w:val="AAA6A1"/>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3,353,871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2,845,669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508,202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84" w:name="page85"/>
    <w:bookmarkEnd w:id="84"/>
    <w:tbl>
      <w:tblPr>
        <w:tblLayout w:type="fixed"/>
        <w:tblInd w:w="40" w:type="dxa"/>
        <w:tblCellMar>
          <w:top w:w="0" w:type="dxa"/>
          <w:left w:w="0" w:type="dxa"/>
          <w:bottom w:w="0" w:type="dxa"/>
          <w:right w:w="0" w:type="dxa"/>
        </w:tblCellMar>
      </w:tblPr>
      <w:tr>
        <w:trPr>
          <w:trHeight w:val="219"/>
        </w:trPr>
        <w:tc>
          <w:tcPr>
            <w:tcW w:w="4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35"/>
        </w:trPr>
        <w:tc>
          <w:tcPr>
            <w:tcW w:w="4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90"/>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Cash and cash equivalents </w:t>
            </w:r>
            <w:r>
              <w:rPr>
                <w:rFonts w:ascii="Times New Roman" w:cs="Times New Roman" w:eastAsia="Times New Roman" w:hAnsi="Times New Roman"/>
                <w:sz w:val="20"/>
                <w:szCs w:val="20"/>
                <w:color w:val="AAA6A1"/>
                <w:w w:val="99"/>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398,070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398,070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87"/>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Funds held for clients' cash and cash equivalents</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2,084,456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2,084,456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313"/>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Available-for-sale securities: </w:t>
            </w:r>
            <w:r>
              <w:rPr>
                <w:rFonts w:ascii="Times New Roman" w:cs="Times New Roman" w:eastAsia="Times New Roman" w:hAnsi="Times New Roman"/>
                <w:sz w:val="20"/>
                <w:szCs w:val="20"/>
                <w:color w:val="AAA6A1"/>
                <w:w w:val="99"/>
              </w:rPr>
              <w: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r>
      <w:tr>
        <w:trPr>
          <w:trHeight w:val="315"/>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Corporate bonds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378,592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378,592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Asset-backed securities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306"/>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Certificates of deposit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U.S. treasury securities</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306"/>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Commercial paper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available-for-sale securities</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619,681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619,681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investments</w:t>
            </w:r>
            <w:r>
              <w:rPr>
                <w:rFonts w:ascii="Times New Roman" w:cs="Times New Roman" w:eastAsia="Times New Roman" w:hAnsi="Times New Roman"/>
                <w:sz w:val="20"/>
                <w:szCs w:val="20"/>
                <w:color w:val="AAA6A1"/>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3,102,207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2,482,526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619,681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and Liabilities Recorded at Fair Value on a Non-Recurring Basis</w:t>
      </w:r>
    </w:p>
    <w:p>
      <w:pPr>
        <w:spacing w:after="0" w:line="255" w:lineRule="exact"/>
        <w:rPr>
          <w:sz w:val="20"/>
          <w:szCs w:val="20"/>
          <w:color w:val="auto"/>
        </w:rPr>
      </w:pPr>
    </w:p>
    <w:p>
      <w:pPr>
        <w:jc w:val="both"/>
        <w:ind w:right="40" w:firstLine="720"/>
        <w:spacing w:after="0" w:line="266" w:lineRule="auto"/>
        <w:rPr>
          <w:sz w:val="20"/>
          <w:szCs w:val="20"/>
          <w:color w:val="auto"/>
        </w:rPr>
      </w:pPr>
      <w:r>
        <w:rPr>
          <w:rFonts w:ascii="Times New Roman" w:cs="Times New Roman" w:eastAsia="Times New Roman" w:hAnsi="Times New Roman"/>
          <w:sz w:val="20"/>
          <w:szCs w:val="20"/>
          <w:color w:val="auto"/>
        </w:rPr>
        <w:t>The Company records assets acquired and liabilities assumed in business combinations at fair value. Refer to Note 7 for further details on the fair value measurements of certain assets and liabilities recorded at fair value on a non-recurring basis using Level 3 inputs.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Accounts Receivable, Net</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accounts receivable were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35"/>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Trade receivables</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18,850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25,461</w:t>
            </w:r>
          </w:p>
        </w:tc>
      </w:tr>
      <w:tr>
        <w:trPr>
          <w:trHeight w:val="28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 on funds held for clients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10,320</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8,698</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Gross accounts receivable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35,372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44,479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Allowance for credit losses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(2,837)</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41,642</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Activity in the allowance for credit losses related to accounts receivable was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the beginning of the year </w:t>
            </w:r>
            <w:r>
              <w:rPr>
                <w:rFonts w:ascii="Times New Roman" w:cs="Times New Roman" w:eastAsia="Times New Roman" w:hAnsi="Times New Roman"/>
                <w:sz w:val="20"/>
                <w:szCs w:val="20"/>
                <w:color w:val="AAA6A1"/>
              </w:rPr>
              <w:t>.........................................................</w:t>
            </w:r>
          </w:p>
        </w:tc>
        <w:tc>
          <w:tcPr>
            <w:tcW w:w="820" w:type="dxa"/>
            <w:vAlign w:val="bottom"/>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2,375</w:t>
            </w: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Charged to expense </w:t>
            </w:r>
            <w:r>
              <w:rPr>
                <w:rFonts w:ascii="Times New Roman" w:cs="Times New Roman" w:eastAsia="Times New Roman" w:hAnsi="Times New Roman"/>
                <w:sz w:val="20"/>
                <w:szCs w:val="20"/>
                <w:color w:val="AAA6A1"/>
              </w:rPr>
              <w:t>...................................................................................</w:t>
            </w:r>
          </w:p>
        </w:tc>
        <w:tc>
          <w:tcPr>
            <w:tcW w:w="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w:t>
            </w:r>
          </w:p>
        </w:tc>
      </w:tr>
      <w:tr>
        <w:trPr>
          <w:trHeight w:val="31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Write-offs </w:t>
            </w:r>
            <w:r>
              <w:rPr>
                <w:rFonts w:ascii="Times New Roman" w:cs="Times New Roman" w:eastAsia="Times New Roman" w:hAnsi="Times New Roman"/>
                <w:sz w:val="20"/>
                <w:szCs w:val="20"/>
                <w:color w:val="AAA6A1"/>
              </w:rPr>
              <w:t>..................................................................................................</w:t>
            </w:r>
          </w:p>
        </w:tc>
        <w:tc>
          <w:tcPr>
            <w:tcW w:w="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(1,168)</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w w:val="99"/>
              </w:rPr>
              <w:t xml:space="preserve">Additions due to acquisition </w:t>
            </w:r>
            <w:r>
              <w:rPr>
                <w:rFonts w:ascii="Times New Roman" w:cs="Times New Roman" w:eastAsia="Times New Roman" w:hAnsi="Times New Roman"/>
                <w:sz w:val="20"/>
                <w:szCs w:val="20"/>
                <w:color w:val="AAA6A1"/>
                <w:w w:val="99"/>
              </w:rPr>
              <w:t>......................................................................</w:t>
            </w: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the end of the year </w:t>
            </w:r>
            <w:r>
              <w:rPr>
                <w:rFonts w:ascii="Times New Roman" w:cs="Times New Roman" w:eastAsia="Times New Roman" w:hAnsi="Times New Roman"/>
                <w:sz w:val="20"/>
                <w:szCs w:val="20"/>
                <w:color w:val="AAA6A1"/>
              </w:rPr>
              <w:t>...................................................................</w:t>
            </w:r>
          </w:p>
        </w:tc>
        <w:tc>
          <w:tcPr>
            <w:tcW w:w="820" w:type="dxa"/>
            <w:vAlign w:val="bottom"/>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1,620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2,837</w:t>
            </w:r>
          </w:p>
        </w:tc>
      </w:tr>
      <w:tr>
        <w:trPr>
          <w:trHeight w:val="20"/>
        </w:trPr>
        <w:tc>
          <w:tcPr>
            <w:tcW w:w="5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Business Combinations</w:t>
      </w:r>
    </w:p>
    <w:p>
      <w:pPr>
        <w:spacing w:after="0" w:line="257"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ectPr>
          <w:pgSz w:w="11880" w:h="15481" w:orient="portrait"/>
          <w:cols w:equalWidth="0" w:num="1">
            <w:col w:w="9900"/>
          </w:cols>
          <w:pgMar w:left="1000" w:top="487"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487" w:right="981" w:bottom="0" w:gutter="0" w:footer="0" w:header="0"/>
          <w:type w:val="continuous"/>
        </w:sectPr>
      </w:pPr>
    </w:p>
    <w:bookmarkStart w:id="85" w:name="page86"/>
    <w:bookmarkEnd w:id="85"/>
    <w:p>
      <w:pPr>
        <w:ind w:left="7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t>On November 30, 2023, the Company acquired all of the outstanding shares of TraceHQ.com, Inc. ("Trace")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through a merger of Trace with a subsidiary of the Company for cash consideration of $12,086, subject to working capital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other customary purchase price adjustments. Trace offers a headcount planning solution that expands the Company's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functionality in this area. The allocation of the purchase price for Trace was approximately $6,809 of goodwill,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$4,200 of proprietary technology and other immaterial assets and liabilities, which reflects certain immaterial measurement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 adjustments recorded during the years ended June 30, 2024 and 2025. Pro forma information is not presented for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Trace acquisition because the effects of the acquisition are not material to the Company’s consolidated financial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w:t>
      </w:r>
    </w:p>
    <w:p>
      <w:pPr>
        <w:spacing w:after="0" w:line="210" w:lineRule="exact"/>
        <w:rPr>
          <w:sz w:val="20"/>
          <w:szCs w:val="20"/>
          <w:color w:val="auto"/>
        </w:rPr>
      </w:pPr>
    </w:p>
    <w:p>
      <w:pPr>
        <w:ind w:right="240" w:firstLine="720"/>
        <w:spacing w:after="0" w:line="255" w:lineRule="auto"/>
        <w:rPr>
          <w:sz w:val="20"/>
          <w:szCs w:val="20"/>
          <w:color w:val="auto"/>
        </w:rPr>
      </w:pPr>
      <w:r>
        <w:rPr>
          <w:rFonts w:ascii="Times New Roman" w:cs="Times New Roman" w:eastAsia="Times New Roman" w:hAnsi="Times New Roman"/>
          <w:sz w:val="20"/>
          <w:szCs w:val="20"/>
          <w:color w:val="auto"/>
        </w:rPr>
        <w:t>On October 1, 2024, the Company acquired all of the outstanding shares of Airbase Inc. ("Airbase") for cash consideration of $320,205, net of cash acquired and preliminary purchase price adjustments, which was funded by borrowings under its credit facility. Refer to Note 12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 The measurement period will end no later than one year from the acquisition date. The primary area subject to change is deferred taxes.</w:t>
      </w:r>
    </w:p>
    <w:p>
      <w:pPr>
        <w:spacing w:after="0" w:line="165" w:lineRule="exact"/>
        <w:rPr>
          <w:sz w:val="20"/>
          <w:szCs w:val="20"/>
          <w:color w:val="auto"/>
        </w:rPr>
      </w:pPr>
    </w:p>
    <w:p>
      <w:pPr>
        <w:ind w:right="420" w:firstLine="720"/>
        <w:spacing w:after="0" w:line="283" w:lineRule="auto"/>
        <w:rPr>
          <w:sz w:val="20"/>
          <w:szCs w:val="20"/>
          <w:color w:val="auto"/>
        </w:rPr>
      </w:pPr>
      <w:r>
        <w:rPr>
          <w:rFonts w:ascii="Times New Roman" w:cs="Times New Roman" w:eastAsia="Times New Roman" w:hAnsi="Times New Roman"/>
          <w:sz w:val="20"/>
          <w:szCs w:val="20"/>
          <w:color w:val="auto"/>
        </w:rPr>
        <w:t>The preliminary allocation of the purchase price for Airbase was as follows, which reflects certain immaterial measurement period adjustments recorded during the year ended June 30, 2025:</w:t>
      </w:r>
    </w:p>
    <w:p>
      <w:pPr>
        <w:spacing w:after="0" w:line="20" w:lineRule="exact"/>
        <w:rPr>
          <w:sz w:val="20"/>
          <w:szCs w:val="20"/>
          <w:color w:val="auto"/>
        </w:rPr>
      </w:pP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31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Cash and cash equivalents </w:t>
            </w:r>
            <w:r>
              <w:rPr>
                <w:rFonts w:ascii="Times New Roman" w:cs="Times New Roman" w:eastAsia="Times New Roman" w:hAnsi="Times New Roman"/>
                <w:sz w:val="20"/>
                <w:szCs w:val="20"/>
                <w:color w:val="AAA6A1"/>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41,250</w:t>
            </w:r>
          </w:p>
        </w:tc>
      </w:tr>
      <w:tr>
        <w:trPr>
          <w:trHeight w:val="30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Funds held for clients</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42,354</w:t>
            </w:r>
          </w:p>
        </w:tc>
      </w:tr>
      <w:tr>
        <w:trPr>
          <w:trHeight w:val="32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Proprietary technology</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75,200</w:t>
            </w:r>
          </w:p>
        </w:tc>
      </w:tr>
      <w:tr>
        <w:trPr>
          <w:trHeight w:val="30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Client relationships </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3,800</w:t>
            </w:r>
          </w:p>
        </w:tc>
      </w:tr>
      <w:tr>
        <w:trPr>
          <w:trHeight w:val="32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Non-solicitation agreements </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2,400</w:t>
            </w:r>
          </w:p>
        </w:tc>
      </w:tr>
      <w:tr>
        <w:trPr>
          <w:trHeight w:val="30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Trade names</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2,100</w:t>
            </w:r>
          </w:p>
        </w:tc>
      </w:tr>
      <w:tr>
        <w:trPr>
          <w:trHeight w:val="32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Goodwill </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234,237</w:t>
            </w:r>
          </w:p>
        </w:tc>
      </w:tr>
      <w:tr>
        <w:trPr>
          <w:trHeight w:val="302"/>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Other assets acquired </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15,844</w:t>
            </w:r>
          </w:p>
        </w:tc>
      </w:tr>
      <w:tr>
        <w:trPr>
          <w:trHeight w:val="328"/>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Client fund obligations </w:t>
            </w:r>
            <w:r>
              <w:rPr>
                <w:rFonts w:ascii="Times New Roman" w:cs="Times New Roman" w:eastAsia="Times New Roman" w:hAnsi="Times New Roman"/>
                <w:sz w:val="20"/>
                <w:szCs w:val="20"/>
                <w:color w:val="AAA6A1"/>
              </w:rPr>
              <w:t>....................................................................................................................................</w:t>
            </w:r>
          </w:p>
        </w:tc>
        <w:tc>
          <w:tcPr>
            <w:tcW w:w="360" w:type="dxa"/>
            <w:vAlign w:val="bottom"/>
          </w:tcPr>
          <w:p>
            <w:pPr>
              <w:spacing w:after="0"/>
              <w:rPr>
                <w:sz w:val="24"/>
                <w:szCs w:val="24"/>
                <w:color w:val="auto"/>
              </w:rPr>
            </w:pP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(42,354)</w:t>
            </w:r>
          </w:p>
        </w:tc>
      </w:tr>
      <w:tr>
        <w:trPr>
          <w:trHeight w:val="30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Other liabilities assumed</w:t>
            </w:r>
            <w:r>
              <w:rPr>
                <w:rFonts w:ascii="Times New Roman" w:cs="Times New Roman" w:eastAsia="Times New Roman" w:hAnsi="Times New Roman"/>
                <w:sz w:val="20"/>
                <w:szCs w:val="20"/>
                <w:color w:val="AAA6A1"/>
              </w:rPr>
              <w:t>..................................................................................................................................</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(13,376)</w:t>
            </w:r>
          </w:p>
        </w:tc>
      </w:tr>
      <w:tr>
        <w:trPr>
          <w:trHeight w:val="275"/>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r>
              <w:rPr>
                <w:rFonts w:ascii="Times New Roman" w:cs="Times New Roman" w:eastAsia="Times New Roman" w:hAnsi="Times New Roman"/>
                <w:sz w:val="20"/>
                <w:szCs w:val="20"/>
                <w:color w:val="AAA6A1"/>
              </w:rPr>
              <w:t>.................................................................................................................................................................</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361,455</w:t>
            </w:r>
          </w:p>
        </w:tc>
      </w:tr>
      <w:tr>
        <w:trPr>
          <w:trHeight w:val="20"/>
        </w:trPr>
        <w:tc>
          <w:tcPr>
            <w:tcW w:w="8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00" w:firstLine="720"/>
        <w:spacing w:after="0" w:line="256" w:lineRule="auto"/>
        <w:rPr>
          <w:sz w:val="20"/>
          <w:szCs w:val="20"/>
          <w:color w:val="auto"/>
        </w:rPr>
      </w:pPr>
      <w:r>
        <w:rPr>
          <w:rFonts w:ascii="Times New Roman" w:cs="Times New Roman" w:eastAsia="Times New Roman" w:hAnsi="Times New Roman"/>
          <w:sz w:val="20"/>
          <w:szCs w:val="20"/>
          <w:color w:val="auto"/>
        </w:rPr>
        <w:t>The Company’s fair value estimate of the acquired proprietary technology is based on a relief from royalty rate methodology which includes but is not limited to, forecasted revenue growth rates, royalty rates, technology migration rates and required rate of return.</w:t>
      </w:r>
    </w:p>
    <w:p>
      <w:pPr>
        <w:spacing w:after="0" w:line="154" w:lineRule="exact"/>
        <w:rPr>
          <w:sz w:val="20"/>
          <w:szCs w:val="20"/>
          <w:color w:val="auto"/>
        </w:rPr>
      </w:pPr>
    </w:p>
    <w:p>
      <w:pPr>
        <w:ind w:right="20" w:firstLine="720"/>
        <w:spacing w:after="0" w:line="257" w:lineRule="auto"/>
        <w:rPr>
          <w:sz w:val="20"/>
          <w:szCs w:val="20"/>
          <w:color w:val="auto"/>
        </w:rPr>
      </w:pPr>
      <w:r>
        <w:rPr>
          <w:rFonts w:ascii="Times New Roman" w:cs="Times New Roman" w:eastAsia="Times New Roman" w:hAnsi="Times New Roman"/>
          <w:sz w:val="20"/>
          <w:szCs w:val="20"/>
          <w:color w:val="auto"/>
        </w:rPr>
        <w:t>The results from both of these acquisitions have been included in the Company’s consolidated financial statements since the closing of the respective acquisitions. The goodwill related to both of these transactions is primarily attributable to the assembled workforce and growth opportunities from the expansion and enhancement of the Company’s product offerings. The goodwill associated with both of these acquisitions is not deductible for income tax purposes. Direct costs related to these acquisitions were not material and were expensed as incurred primarily as General and administrative in the Consolidated Statements of Operations and Comprehensive Income.</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Unaudited Pro Forma Financial Information</w:t>
      </w:r>
    </w:p>
    <w:p>
      <w:pPr>
        <w:spacing w:after="0" w:line="213" w:lineRule="exact"/>
        <w:rPr>
          <w:sz w:val="20"/>
          <w:szCs w:val="20"/>
          <w:color w:val="auto"/>
        </w:rPr>
      </w:pPr>
    </w:p>
    <w:p>
      <w:pPr>
        <w:ind w:right="20" w:firstLine="720"/>
        <w:spacing w:after="0" w:line="257" w:lineRule="auto"/>
        <w:rPr>
          <w:sz w:val="20"/>
          <w:szCs w:val="20"/>
          <w:color w:val="auto"/>
        </w:rPr>
      </w:pPr>
      <w:r>
        <w:rPr>
          <w:rFonts w:ascii="Times New Roman" w:cs="Times New Roman" w:eastAsia="Times New Roman" w:hAnsi="Times New Roman"/>
          <w:sz w:val="20"/>
          <w:szCs w:val="20"/>
          <w:color w:val="auto"/>
        </w:rPr>
        <w:t>The unaudited pro forma information below summarizes the combined results of the Company and Airbase as if the Company’s acquisition of Airbase closed on July 1, 2023, but does not necessarily reflect the combined actual results of operations of the Company and Airbase that would have been achieved, nor is it necessarily indicative of future results of operations. The unaudited pro forma information reflects certain adjustments that were directly attributable to the acquisition of Airbase, including amortization of acquired intangible assets, interest expense incurred to fund the acquisition and acquisition related costs.</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86" w:name="page87"/>
    <w:bookmarkEnd w:id="86"/>
    <w:tbl>
      <w:tblPr>
        <w:tblLayout w:type="fixed"/>
        <w:tblInd w:w="4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Revenue </w:t>
            </w:r>
            <w:r>
              <w:rPr>
                <w:rFonts w:ascii="Times New Roman" w:cs="Times New Roman" w:eastAsia="Times New Roman" w:hAnsi="Times New Roman"/>
                <w:sz w:val="20"/>
                <w:szCs w:val="20"/>
                <w:color w:val="AAA6A1"/>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1,422,873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1,601,619</w:t>
            </w:r>
          </w:p>
        </w:tc>
      </w:tr>
      <w:tr>
        <w:trPr>
          <w:trHeight w:val="30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Net income </w:t>
            </w:r>
            <w:r>
              <w:rPr>
                <w:rFonts w:ascii="Times New Roman" w:cs="Times New Roman" w:eastAsia="Times New Roman" w:hAnsi="Times New Roman"/>
                <w:sz w:val="20"/>
                <w:szCs w:val="20"/>
                <w:color w:val="AAA6A1"/>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158,844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224,620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5219700</wp:posOffset>
            </wp:positionH>
            <wp:positionV relativeFrom="page">
              <wp:posOffset>486410</wp:posOffset>
            </wp:positionV>
            <wp:extent cx="1695450"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2">
                      <a:extLst>
                        <a:ext uri="{28A0092B-C50C-407E-A947-70E740481C1C}"/>
                      </a:extLst>
                    </a:blip>
                    <a:srcRect/>
                    <a:stretch>
                      <a:fillRect/>
                    </a:stretch>
                  </pic:blipFill>
                  <pic:spPr bwMode="auto">
                    <a:xfrm>
                      <a:off x="0" y="0"/>
                      <a:ext cx="1695450" cy="1270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Capitalized Internal-Use Software</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Capitalized internal-use software and accumulated amortization were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33"/>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Capitalized internal-use software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324,269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400,122</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amortization</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(207,857)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(267,805)</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Capitalized internal-use software, net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116,412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132,317</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160" w:firstLine="720"/>
        <w:spacing w:after="0" w:line="283" w:lineRule="auto"/>
        <w:rPr>
          <w:sz w:val="20"/>
          <w:szCs w:val="20"/>
          <w:color w:val="auto"/>
        </w:rPr>
      </w:pPr>
      <w:r>
        <w:rPr>
          <w:rFonts w:ascii="Times New Roman" w:cs="Times New Roman" w:eastAsia="Times New Roman" w:hAnsi="Times New Roman"/>
          <w:sz w:val="20"/>
          <w:szCs w:val="20"/>
          <w:color w:val="auto"/>
        </w:rPr>
        <w:t>Amortization of capitalized internal-use software amounted to $31,440, $45,246 and $59,948 for the years ended June 30, 2023, 2024 and 2025, respectively and is included in Cost of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Property and Equipment</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major classes of property and equipment were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33"/>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Office equipment</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2,779</w:t>
            </w:r>
          </w:p>
        </w:tc>
      </w:tr>
      <w:tr>
        <w:trPr>
          <w:trHeight w:val="33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Computer equipment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63,138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67,372</w:t>
            </w:r>
          </w:p>
        </w:tc>
      </w:tr>
      <w:tr>
        <w:trPr>
          <w:trHeight w:val="35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Furniture and fixtures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13,317</w:t>
            </w:r>
          </w:p>
        </w:tc>
      </w:tr>
      <w:tr>
        <w:trPr>
          <w:trHeight w:val="33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Software</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13,102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12,793</w:t>
            </w:r>
          </w:p>
        </w:tc>
      </w:tr>
      <w:tr>
        <w:trPr>
          <w:trHeight w:val="35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49,392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50,747</w:t>
            </w:r>
          </w:p>
        </w:tc>
      </w:tr>
      <w:tr>
        <w:trPr>
          <w:trHeight w:val="33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Time clocks rented by clients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9,738</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10,913</w:t>
            </w:r>
          </w:p>
        </w:tc>
      </w:tr>
      <w:tr>
        <w:trPr>
          <w:trHeight w:val="33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151,222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157,921</w:t>
            </w:r>
          </w:p>
        </w:tc>
      </w:tr>
      <w:tr>
        <w:trPr>
          <w:trHeight w:val="33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Accumulated depreciation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(90,582)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(103,711)</w:t>
            </w:r>
          </w:p>
        </w:tc>
      </w:tr>
      <w:tr>
        <w:trPr>
          <w:trHeight w:val="30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60,640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54,210</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360" w:firstLine="720"/>
        <w:spacing w:after="0" w:line="283" w:lineRule="auto"/>
        <w:rPr>
          <w:sz w:val="20"/>
          <w:szCs w:val="20"/>
          <w:color w:val="auto"/>
        </w:rPr>
      </w:pPr>
      <w:r>
        <w:rPr>
          <w:rFonts w:ascii="Times New Roman" w:cs="Times New Roman" w:eastAsia="Times New Roman" w:hAnsi="Times New Roman"/>
          <w:sz w:val="20"/>
          <w:szCs w:val="20"/>
          <w:color w:val="auto"/>
        </w:rPr>
        <w:t>Depreciation expense amounted to $18,478, $20,744 and $20,568 for the years ended June 30, 2023, 2024 and 2025,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Goodwill and Intangible Assets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changes in goodwill during the years presented below:</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35"/>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beginning of year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102,054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108,937</w:t>
            </w:r>
          </w:p>
        </w:tc>
      </w:tr>
      <w:tr>
        <w:trPr>
          <w:trHeight w:val="28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Additions attributable to acquisitions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234,237</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Measurement period adjustments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end of year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108,937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343,100</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Refer to Note 7 for further details on acquisition activity during the years ended June 30, 2024 and 2025.</w:t>
      </w:r>
    </w:p>
    <w:p>
      <w:pPr>
        <w:sectPr>
          <w:pgSz w:w="11880" w:h="15481" w:orient="portrait"/>
          <w:cols w:equalWidth="0" w:num="1">
            <w:col w:w="9900"/>
          </w:cols>
          <w:pgMar w:left="1000" w:top="862" w:right="981"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862" w:right="981" w:bottom="0" w:gutter="0" w:footer="0" w:header="0"/>
          <w:type w:val="continuous"/>
        </w:sectPr>
      </w:pPr>
    </w:p>
    <w:bookmarkStart w:id="87" w:name="page88"/>
    <w:bookmarkEnd w:id="87"/>
    <w:p>
      <w:pPr>
        <w:ind w:left="7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t>The Company’s amortizable intangible assets and estimated useful lives were as follows: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2"/>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46"/>
        </w:trPr>
        <w:tc>
          <w:tcPr>
            <w:tcW w:w="5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w w:val="97"/>
              </w:rPr>
              <w:t>useful</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Proprietary technology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47,329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122,529</w:t>
            </w:r>
          </w:p>
        </w:tc>
        <w:tc>
          <w:tcPr>
            <w:tcW w:w="14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Client relationships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31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Non-solicitation agreements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14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Trade names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72,769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156,269</w:t>
            </w:r>
          </w:p>
        </w:tc>
        <w:tc>
          <w:tcPr>
            <w:tcW w:w="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Accumulated amortization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(44,478)</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(63,598)</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Intangible assets, net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28,291</w:t>
            </w:r>
          </w:p>
        </w:tc>
        <w:tc>
          <w:tcPr>
            <w:tcW w:w="60" w:type="dxa"/>
            <w:vAlign w:val="bottom"/>
          </w:tcPr>
          <w:p>
            <w:pPr>
              <w:spacing w:after="0"/>
              <w:rPr>
                <w:sz w:val="24"/>
                <w:szCs w:val="24"/>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92,671</w:t>
            </w:r>
          </w:p>
        </w:tc>
        <w:tc>
          <w:tcPr>
            <w:tcW w:w="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200" w:firstLine="720"/>
        <w:spacing w:after="0" w:line="283" w:lineRule="auto"/>
        <w:rPr>
          <w:sz w:val="20"/>
          <w:szCs w:val="20"/>
          <w:color w:val="auto"/>
        </w:rPr>
      </w:pPr>
      <w:r>
        <w:rPr>
          <w:rFonts w:ascii="Times New Roman" w:cs="Times New Roman" w:eastAsia="Times New Roman" w:hAnsi="Times New Roman"/>
          <w:sz w:val="20"/>
          <w:szCs w:val="20"/>
          <w:color w:val="auto"/>
        </w:rPr>
        <w:t>Amortization expense for acquired intangible assets was $10,948, $10,436 and $19,120 for the years ended June 30, 2023, 2024 and 2025, respectively, and is included in Cost of revenues and General and administrative.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580" w:type="dxa"/>
            <w:vAlign w:val="bottom"/>
            <w:gridSpan w:val="4"/>
          </w:tcPr>
          <w:p>
            <w:pPr>
              <w:ind w:left="720"/>
              <w:spacing w:after="0"/>
              <w:rPr>
                <w:sz w:val="20"/>
                <w:szCs w:val="20"/>
                <w:color w:val="auto"/>
              </w:rPr>
            </w:pPr>
            <w:r>
              <w:rPr>
                <w:rFonts w:ascii="Times New Roman" w:cs="Times New Roman" w:eastAsia="Times New Roman" w:hAnsi="Times New Roman"/>
                <w:sz w:val="20"/>
                <w:szCs w:val="20"/>
                <w:color w:val="auto"/>
              </w:rPr>
              <w:t>Future amortization expense for acquired intangible assets was as follows as of June 30, 2025:</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754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w w:val="88"/>
              </w:rPr>
              <w:t>Fiscal 2026</w:t>
            </w:r>
            <w:r>
              <w:rPr>
                <w:rFonts w:ascii="Times New Roman" w:cs="Times New Roman" w:eastAsia="Times New Roman" w:hAnsi="Times New Roman"/>
                <w:sz w:val="20"/>
                <w:szCs w:val="20"/>
                <w:color w:val="AAA6A1"/>
                <w:w w:val="88"/>
              </w:rPr>
              <w:t>.......................................................................................................................................................</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auto"/>
              </w:rPr>
              <w:t>20,632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84"/>
              </w:rPr>
              <w:t>Fiscal 2027</w:t>
            </w:r>
            <w:r>
              <w:rPr>
                <w:rFonts w:ascii="Times New Roman" w:cs="Times New Roman" w:eastAsia="Times New Roman" w:hAnsi="Times New Roman"/>
                <w:sz w:val="20"/>
                <w:szCs w:val="20"/>
                <w:color w:val="AAA6A1"/>
                <w:w w:val="84"/>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18,256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84"/>
              </w:rPr>
              <w:t>Fiscal 2028</w:t>
            </w:r>
            <w:r>
              <w:rPr>
                <w:rFonts w:ascii="Times New Roman" w:cs="Times New Roman" w:eastAsia="Times New Roman" w:hAnsi="Times New Roman"/>
                <w:sz w:val="20"/>
                <w:szCs w:val="20"/>
                <w:color w:val="AAA6A1"/>
                <w:w w:val="84"/>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16,391</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84"/>
              </w:rPr>
              <w:t>Fiscal 2029</w:t>
            </w:r>
            <w:r>
              <w:rPr>
                <w:rFonts w:ascii="Times New Roman" w:cs="Times New Roman" w:eastAsia="Times New Roman" w:hAnsi="Times New Roman"/>
                <w:sz w:val="20"/>
                <w:szCs w:val="20"/>
                <w:color w:val="AAA6A1"/>
                <w:w w:val="84"/>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12,925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84"/>
              </w:rPr>
              <w:t>Fiscal 2030</w:t>
            </w:r>
            <w:r>
              <w:rPr>
                <w:rFonts w:ascii="Times New Roman" w:cs="Times New Roman" w:eastAsia="Times New Roman" w:hAnsi="Times New Roman"/>
                <w:sz w:val="20"/>
                <w:szCs w:val="20"/>
                <w:color w:val="AAA6A1"/>
                <w:w w:val="84"/>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11,038</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84"/>
              </w:rPr>
              <w:t>Thereafter</w:t>
            </w:r>
            <w:r>
              <w:rPr>
                <w:rFonts w:ascii="Times New Roman" w:cs="Times New Roman" w:eastAsia="Times New Roman" w:hAnsi="Times New Roman"/>
                <w:sz w:val="20"/>
                <w:szCs w:val="20"/>
                <w:color w:val="AAA6A1"/>
                <w:w w:val="84"/>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13,429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5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87"/>
              </w:rPr>
              <w:t xml:space="preserve">Total </w:t>
            </w:r>
            <w:r>
              <w:rPr>
                <w:rFonts w:ascii="Times New Roman" w:cs="Times New Roman" w:eastAsia="Times New Roman" w:hAnsi="Times New Roman"/>
                <w:sz w:val="20"/>
                <w:szCs w:val="20"/>
                <w:color w:val="AAA6A1"/>
                <w:w w:val="87"/>
              </w:rPr>
              <w:t>..............................................................................................................................................................</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92,671</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(11) Accrued Expenses</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The components of accrued expenses were as follows: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payroll and personnel costs</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93,248</w:t>
            </w:r>
          </w:p>
        </w:tc>
        <w:tc>
          <w:tcPr>
            <w:tcW w:w="60" w:type="dxa"/>
            <w:vAlign w:val="bottom"/>
          </w:tcPr>
          <w:p>
            <w:pPr>
              <w:spacing w:after="0"/>
              <w:rPr>
                <w:sz w:val="24"/>
                <w:szCs w:val="24"/>
                <w:color w:val="auto"/>
              </w:rPr>
            </w:pP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106,808</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Operating lease liabilities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8,621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Deferred revenue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35,721</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31,481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41,931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accrued expenses</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158,311</w:t>
            </w:r>
          </w:p>
        </w:tc>
        <w:tc>
          <w:tcPr>
            <w:tcW w:w="60" w:type="dxa"/>
            <w:vAlign w:val="bottom"/>
          </w:tcPr>
          <w:p>
            <w:pPr>
              <w:spacing w:after="0"/>
              <w:rPr>
                <w:sz w:val="22"/>
                <w:szCs w:val="22"/>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193,081</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Debt</w:t>
      </w:r>
    </w:p>
    <w:p>
      <w:pPr>
        <w:spacing w:after="0" w:line="217" w:lineRule="exact"/>
        <w:rPr>
          <w:sz w:val="20"/>
          <w:szCs w:val="20"/>
          <w:color w:val="auto"/>
        </w:rPr>
      </w:pPr>
    </w:p>
    <w:p>
      <w:pPr>
        <w:ind w:right="60" w:firstLine="720"/>
        <w:spacing w:after="0" w:line="268" w:lineRule="auto"/>
        <w:rPr>
          <w:sz w:val="20"/>
          <w:szCs w:val="20"/>
          <w:color w:val="auto"/>
        </w:rPr>
      </w:pPr>
      <w:r>
        <w:rPr>
          <w:rFonts w:ascii="Times New Roman" w:cs="Times New Roman" w:eastAsia="Times New Roman" w:hAnsi="Times New Roman"/>
          <w:sz w:val="19"/>
          <w:szCs w:val="19"/>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outstanding borrowings will mature and be payable upon expiration. The Company had no borrowings at June 30, 2024 and did not borrow any amounts during fiscal 2024. During the first quarter of fiscal 2025, the Company borrowed $325,000 to fund the acquisition of Airbase Inc. in October 2024, of which it repaid $162,500 in the second half of fiscal 2025. As a result, $162,500 remained outstanding at June 30, 2025. Refer to Note 7 for further details on the Company's acquisition of Airbase Inc. The Company incurred interest expense related to any borrowings at an average interest rate of 4.20% during the year ended June 30, 2025.</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88" w:name="page89"/>
    <w:bookmarkEnd w:id="88"/>
    <w:p>
      <w:pPr>
        <w:ind w:right="40" w:firstLine="720"/>
        <w:spacing w:after="0" w:line="27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t>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44"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64"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June 30, 2025, the Company was in compliance with all of the aforementioned covenants.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Leases</w:t>
      </w:r>
    </w:p>
    <w:p>
      <w:pPr>
        <w:spacing w:after="0" w:line="25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The Company primarily leases office space under non-cancellable operating leases expiring on various dates from March 2026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June 2026 through September 2028.</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operating lease expense were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Operating lease cost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8,868</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8,772</w:t>
            </w: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Short-term lease cost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1,378</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5,358</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4,614</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4,871</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lease costs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14,527</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15,021</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Operating lease cost excludes $4,283 in lease exit gains recorded during the year ended June 30, 2024.</w:t>
      </w:r>
    </w:p>
    <w:p>
      <w:pPr>
        <w:spacing w:after="0" w:line="250" w:lineRule="exact"/>
        <w:rPr>
          <w:sz w:val="20"/>
          <w:szCs w:val="20"/>
          <w:color w:val="auto"/>
        </w:rPr>
      </w:pPr>
    </w:p>
    <w:p>
      <w:pPr>
        <w:ind w:right="640" w:firstLine="720"/>
        <w:spacing w:after="0" w:line="283" w:lineRule="auto"/>
        <w:rPr>
          <w:sz w:val="20"/>
          <w:szCs w:val="20"/>
          <w:color w:val="auto"/>
        </w:rPr>
      </w:pPr>
      <w:r>
        <w:rPr>
          <w:rFonts w:ascii="Times New Roman" w:cs="Times New Roman" w:eastAsia="Times New Roman" w:hAnsi="Times New Roman"/>
          <w:sz w:val="20"/>
          <w:szCs w:val="20"/>
          <w:color w:val="auto"/>
        </w:rPr>
        <w:t>The classification of the Company’s operating lease right-of-use assets, operating lease liabilities and other supplemental information related to the Company’s operating leases were as follows: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35"/>
        </w:trPr>
        <w:tc>
          <w:tcPr>
            <w:tcW w:w="7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r>
              <w:rPr>
                <w:rFonts w:ascii="Times New Roman" w:cs="Times New Roman" w:eastAsia="Times New Roman" w:hAnsi="Times New Roman"/>
                <w:sz w:val="20"/>
                <w:szCs w:val="20"/>
                <w:color w:val="AAA6A1"/>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20"/>
                <w:szCs w:val="20"/>
                <w:color w:val="auto"/>
              </w:rPr>
              <w:t>33,792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auto"/>
            </w:tcBorders>
          </w:tcPr>
          <w:p>
            <w:pPr>
              <w:jc w:val="right"/>
              <w:ind w:right="183"/>
              <w:spacing w:after="0"/>
              <w:rPr>
                <w:sz w:val="20"/>
                <w:szCs w:val="20"/>
                <w:color w:val="auto"/>
              </w:rPr>
            </w:pPr>
            <w:r>
              <w:rPr>
                <w:rFonts w:ascii="Times New Roman" w:cs="Times New Roman" w:eastAsia="Times New Roman" w:hAnsi="Times New Roman"/>
                <w:sz w:val="20"/>
                <w:szCs w:val="20"/>
                <w:color w:val="auto"/>
              </w:rPr>
              <w:t>35,997</w:t>
            </w:r>
          </w:p>
        </w:tc>
      </w:tr>
      <w:tr>
        <w:trPr>
          <w:trHeight w:val="287"/>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r>
              <w:rPr>
                <w:rFonts w:ascii="Times New Roman" w:cs="Times New Roman" w:eastAsia="Times New Roman" w:hAnsi="Times New Roman"/>
                <w:sz w:val="20"/>
                <w:szCs w:val="20"/>
                <w:color w:val="AAA6A1"/>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20"/>
                <w:szCs w:val="20"/>
                <w:color w:val="auto"/>
              </w:rPr>
              <w:t>7,634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8,621</w:t>
            </w:r>
          </w:p>
        </w:tc>
      </w:tr>
      <w:tr>
        <w:trPr>
          <w:trHeight w:val="313"/>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Long-term operating lease liabilities</w:t>
            </w:r>
            <w:r>
              <w:rPr>
                <w:rFonts w:ascii="Times New Roman" w:cs="Times New Roman" w:eastAsia="Times New Roman" w:hAnsi="Times New Roman"/>
                <w:sz w:val="20"/>
                <w:szCs w:val="20"/>
                <w:color w:val="AAA6A1"/>
              </w:rPr>
              <w: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20"/>
                <w:szCs w:val="20"/>
                <w:color w:val="auto"/>
              </w:rPr>
              <w:t>46,814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auto"/>
            </w:tcBorders>
          </w:tcPr>
          <w:p>
            <w:pPr>
              <w:jc w:val="right"/>
              <w:ind w:right="183"/>
              <w:spacing w:after="0"/>
              <w:rPr>
                <w:sz w:val="20"/>
                <w:szCs w:val="20"/>
                <w:color w:val="auto"/>
              </w:rPr>
            </w:pPr>
            <w:r>
              <w:rPr>
                <w:rFonts w:ascii="Times New Roman" w:cs="Times New Roman" w:eastAsia="Times New Roman" w:hAnsi="Times New Roman"/>
                <w:sz w:val="20"/>
                <w:szCs w:val="20"/>
                <w:color w:val="auto"/>
              </w:rPr>
              <w:t>46,772</w:t>
            </w:r>
          </w:p>
        </w:tc>
      </w:tr>
      <w:tr>
        <w:trPr>
          <w:trHeight w:val="287"/>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(years)</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960" w:type="dxa"/>
            <w:vAlign w:val="bottom"/>
          </w:tcPr>
          <w:p>
            <w:pPr>
              <w:jc w:val="right"/>
              <w:ind w:right="206"/>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20"/>
                <w:szCs w:val="20"/>
                <w:color w:val="auto"/>
              </w:rPr>
              <w:t>6.3</w:t>
            </w:r>
          </w:p>
        </w:tc>
      </w:tr>
      <w:tr>
        <w:trPr>
          <w:trHeight w:val="313"/>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Weighted-average discount rate </w:t>
            </w:r>
            <w:r>
              <w:rPr>
                <w:rFonts w:ascii="Times New Roman" w:cs="Times New Roman" w:eastAsia="Times New Roman" w:hAnsi="Times New Roman"/>
                <w:sz w:val="20"/>
                <w:szCs w:val="20"/>
                <w:color w:val="AAA6A1"/>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4.88 %</w:t>
            </w:r>
          </w:p>
        </w:tc>
      </w:tr>
    </w:tbl>
    <w:p>
      <w:pPr>
        <w:spacing w:after="0" w:line="20" w:lineRule="exact"/>
        <w:rPr>
          <w:sz w:val="20"/>
          <w:szCs w:val="20"/>
          <w:color w:val="auto"/>
        </w:rPr>
      </w:pP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supplemental cash flow information related to the Company’s operating leases: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operating lease</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r>
      <w:tr>
        <w:trPr>
          <w:trHeight w:val="27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color w:val="auto"/>
              </w:rPr>
              <w:t>9,850</w:t>
            </w: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Operating lease assets obtained in exchange for new liabilities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8,437</w:t>
            </w:r>
          </w:p>
        </w:tc>
      </w:tr>
    </w:tbl>
    <w:p>
      <w:pPr>
        <w:spacing w:after="0" w:line="20" w:lineRule="exact"/>
        <w:rPr>
          <w:sz w:val="20"/>
          <w:szCs w:val="20"/>
          <w:color w:val="auto"/>
        </w:rPr>
      </w:pP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89" w:name="page90"/>
    <w:bookmarkEnd w:id="89"/>
    <w:p>
      <w:pPr>
        <w:ind w:right="260" w:firstLine="72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t>The undiscounted cash flows for future maturities of the Company’s operating lease liabilities and the reconciliation to the balance of operating lease liabilities reflected on the Company’s balance sheet were as follows as of June 30, 2025:</w:t>
      </w:r>
    </w:p>
    <w:p>
      <w:pPr>
        <w:spacing w:after="0" w:line="2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Fiscal 2026</w:t>
            </w:r>
            <w:r>
              <w:rPr>
                <w:rFonts w:ascii="Times New Roman" w:cs="Times New Roman" w:eastAsia="Times New Roman" w:hAnsi="Times New Roman"/>
                <w:sz w:val="20"/>
                <w:szCs w:val="20"/>
                <w:color w:val="AAA6A1"/>
              </w:rPr>
              <w:t>.......................................................................................................................................................</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10,993</w:t>
            </w:r>
          </w:p>
        </w:tc>
      </w:tr>
      <w:tr>
        <w:trPr>
          <w:trHeight w:val="28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Fiscal 2027</w:t>
            </w:r>
            <w:r>
              <w:rPr>
                <w:rFonts w:ascii="Times New Roman" w:cs="Times New Roman" w:eastAsia="Times New Roman" w:hAnsi="Times New Roman"/>
                <w:sz w:val="20"/>
                <w:szCs w:val="20"/>
                <w:color w:val="AAA6A1"/>
              </w:rPr>
              <w:t>.......................................................................................................................................................</w:t>
            </w:r>
          </w:p>
        </w:tc>
        <w:tc>
          <w:tcPr>
            <w:tcW w:w="42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10,550</w:t>
            </w:r>
          </w:p>
        </w:tc>
      </w:tr>
      <w:tr>
        <w:trPr>
          <w:trHeight w:val="31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Fiscal 2028</w:t>
            </w:r>
            <w:r>
              <w:rPr>
                <w:rFonts w:ascii="Times New Roman" w:cs="Times New Roman" w:eastAsia="Times New Roman" w:hAnsi="Times New Roman"/>
                <w:sz w:val="20"/>
                <w:szCs w:val="20"/>
                <w:color w:val="AAA6A1"/>
              </w:rPr>
              <w:t>.......................................................................................................................................................</w:t>
            </w:r>
          </w:p>
        </w:tc>
        <w:tc>
          <w:tcPr>
            <w:tcW w:w="420" w:type="dxa"/>
            <w:vAlign w:val="bottom"/>
          </w:tcPr>
          <w:p>
            <w:pPr>
              <w:spacing w:after="0"/>
              <w:rPr>
                <w:sz w:val="24"/>
                <w:szCs w:val="24"/>
                <w:color w:val="auto"/>
              </w:rPr>
            </w:pPr>
          </w:p>
        </w:tc>
        <w:tc>
          <w:tcPr>
            <w:tcW w:w="92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10,393</w:t>
            </w:r>
          </w:p>
        </w:tc>
      </w:tr>
      <w:tr>
        <w:trPr>
          <w:trHeight w:val="28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Fiscal 2029</w:t>
            </w:r>
            <w:r>
              <w:rPr>
                <w:rFonts w:ascii="Times New Roman" w:cs="Times New Roman" w:eastAsia="Times New Roman" w:hAnsi="Times New Roman"/>
                <w:sz w:val="20"/>
                <w:szCs w:val="20"/>
                <w:color w:val="AAA6A1"/>
              </w:rPr>
              <w:t>.......................................................................................................................................................</w:t>
            </w:r>
          </w:p>
        </w:tc>
        <w:tc>
          <w:tcPr>
            <w:tcW w:w="42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9,202</w:t>
            </w:r>
          </w:p>
        </w:tc>
      </w:tr>
      <w:tr>
        <w:trPr>
          <w:trHeight w:val="31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Fiscal 2030</w:t>
            </w:r>
            <w:r>
              <w:rPr>
                <w:rFonts w:ascii="Times New Roman" w:cs="Times New Roman" w:eastAsia="Times New Roman" w:hAnsi="Times New Roman"/>
                <w:sz w:val="20"/>
                <w:szCs w:val="20"/>
                <w:color w:val="AAA6A1"/>
              </w:rPr>
              <w:t>.......................................................................................................................................................</w:t>
            </w:r>
          </w:p>
        </w:tc>
        <w:tc>
          <w:tcPr>
            <w:tcW w:w="420" w:type="dxa"/>
            <w:vAlign w:val="bottom"/>
          </w:tcPr>
          <w:p>
            <w:pPr>
              <w:spacing w:after="0"/>
              <w:rPr>
                <w:sz w:val="24"/>
                <w:szCs w:val="24"/>
                <w:color w:val="auto"/>
              </w:rPr>
            </w:pPr>
          </w:p>
        </w:tc>
        <w:tc>
          <w:tcPr>
            <w:tcW w:w="92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8,892</w:t>
            </w:r>
          </w:p>
        </w:tc>
      </w:tr>
      <w:tr>
        <w:trPr>
          <w:trHeight w:val="29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r>
              <w:rPr>
                <w:rFonts w:ascii="Times New Roman" w:cs="Times New Roman" w:eastAsia="Times New Roman" w:hAnsi="Times New Roman"/>
                <w:sz w:val="20"/>
                <w:szCs w:val="20"/>
                <w:color w:val="AAA6A1"/>
              </w:rPr>
              <w:t>.........................................................................................................................................................</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14,545</w:t>
            </w:r>
          </w:p>
        </w:tc>
      </w:tr>
      <w:tr>
        <w:trPr>
          <w:trHeight w:val="29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undiscounted cash flows</w:t>
            </w:r>
            <w:r>
              <w:rPr>
                <w:rFonts w:ascii="Times New Roman" w:cs="Times New Roman" w:eastAsia="Times New Roman" w:hAnsi="Times New Roman"/>
                <w:sz w:val="20"/>
                <w:szCs w:val="20"/>
                <w:color w:val="AAA6A1"/>
              </w:rPr>
              <w:t>.........................................................................................................................</w:t>
            </w:r>
          </w:p>
        </w:tc>
        <w:tc>
          <w:tcPr>
            <w:tcW w:w="420" w:type="dxa"/>
            <w:vAlign w:val="bottom"/>
          </w:tcPr>
          <w:p>
            <w:pPr>
              <w:spacing w:after="0"/>
              <w:rPr>
                <w:sz w:val="24"/>
                <w:szCs w:val="24"/>
                <w:color w:val="auto"/>
              </w:rPr>
            </w:pPr>
          </w:p>
        </w:tc>
        <w:tc>
          <w:tcPr>
            <w:tcW w:w="92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64,575</w:t>
            </w:r>
          </w:p>
        </w:tc>
      </w:tr>
      <w:tr>
        <w:trPr>
          <w:trHeight w:val="29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Less: Present value discount</w:t>
            </w:r>
            <w:r>
              <w:rPr>
                <w:rFonts w:ascii="Times New Roman" w:cs="Times New Roman" w:eastAsia="Times New Roman" w:hAnsi="Times New Roman"/>
                <w:sz w:val="20"/>
                <w:szCs w:val="20"/>
                <w:color w:val="AAA6A1"/>
              </w:rPr>
              <w:t>............................................................................................................................</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(9,182)</w:t>
            </w:r>
          </w:p>
        </w:tc>
      </w:tr>
      <w:tr>
        <w:trPr>
          <w:trHeight w:val="26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operating lease liabilities</w:t>
            </w:r>
            <w:r>
              <w:rPr>
                <w:rFonts w:ascii="Times New Roman" w:cs="Times New Roman" w:eastAsia="Times New Roman" w:hAnsi="Times New Roman"/>
                <w:sz w:val="20"/>
                <w:szCs w:val="20"/>
                <w:color w:val="AAA6A1"/>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55,393</w:t>
            </w:r>
          </w:p>
        </w:tc>
      </w:tr>
      <w:tr>
        <w:trPr>
          <w:trHeight w:val="20"/>
        </w:trPr>
        <w:tc>
          <w:tcPr>
            <w:tcW w:w="8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80" w:firstLine="720"/>
        <w:spacing w:after="0" w:line="283" w:lineRule="auto"/>
        <w:rPr>
          <w:sz w:val="20"/>
          <w:szCs w:val="20"/>
          <w:color w:val="auto"/>
        </w:rPr>
      </w:pPr>
      <w:r>
        <w:rPr>
          <w:rFonts w:ascii="Times New Roman" w:cs="Times New Roman" w:eastAsia="Times New Roman" w:hAnsi="Times New Roman"/>
          <w:sz w:val="20"/>
          <w:szCs w:val="20"/>
          <w:color w:val="auto"/>
        </w:rPr>
        <w:t>The table above excludes $1,157 of undiscounted future minimum lease payments for operating lease liabilities for office space that had not yet commenced for a term of seven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Income Taxes</w:t>
      </w:r>
    </w:p>
    <w:p>
      <w:pPr>
        <w:spacing w:after="0" w:line="252" w:lineRule="exact"/>
        <w:rPr>
          <w:sz w:val="20"/>
          <w:szCs w:val="20"/>
          <w:color w:val="auto"/>
        </w:rPr>
      </w:pPr>
    </w:p>
    <w:p>
      <w:pPr>
        <w:ind w:left="980" w:hanging="270"/>
        <w:spacing w:after="0"/>
        <w:tabs>
          <w:tab w:leader="none" w:pos="9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Income tax expense (benefit) for the years ended June 30, 2023, 2024 and 2025 consists of the following:</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Current taxes </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Federal</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30,900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65,188</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State and local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18,918</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999</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Deferred taxes: </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Federal</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w:t>
            </w: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State and local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940</w:t>
            </w: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International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6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Total income tax expense (benefit) </w:t>
            </w:r>
            <w:r>
              <w:rPr>
                <w:rFonts w:ascii="Times New Roman" w:cs="Times New Roman" w:eastAsia="Times New Roman" w:hAnsi="Times New Roman"/>
                <w:sz w:val="20"/>
                <w:szCs w:val="20"/>
                <w:color w:val="AAA6A1"/>
                <w:w w:val="99"/>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70,249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81,936</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90" w:name="page91"/>
    <w:bookmarkEnd w:id="90"/>
    <w:p>
      <w:pPr>
        <w:ind w:left="1000" w:hanging="290"/>
        <w:spacing w:after="0"/>
        <w:tabs>
          <w:tab w:leader="none" w:pos="10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t>Tax Rate Reconciliation</w:t>
      </w:r>
    </w:p>
    <w:p>
      <w:pPr>
        <w:spacing w:after="0" w:line="255" w:lineRule="exact"/>
        <w:rPr>
          <w:sz w:val="20"/>
          <w:szCs w:val="20"/>
          <w:color w:val="auto"/>
        </w:rPr>
      </w:pPr>
    </w:p>
    <w:p>
      <w:pPr>
        <w:ind w:right="80" w:firstLine="720"/>
        <w:spacing w:after="0" w:line="283" w:lineRule="auto"/>
        <w:rPr>
          <w:sz w:val="20"/>
          <w:szCs w:val="20"/>
          <w:color w:val="auto"/>
        </w:rPr>
      </w:pPr>
      <w:r>
        <w:rPr>
          <w:rFonts w:ascii="Times New Roman" w:cs="Times New Roman" w:eastAsia="Times New Roman" w:hAnsi="Times New Roman"/>
          <w:sz w:val="20"/>
          <w:szCs w:val="20"/>
          <w:color w:val="auto"/>
        </w:rPr>
        <w:t>Income tax expense (benefit) differed from the amounts computed by applying the U.S. federal income tax rate of 21% for the years ended June 30, 2023, 2024 and 2025 to pretax income as a result of the following:</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Income tax expense (benefit) at statutory federal rate </w:t>
            </w:r>
            <w:r>
              <w:rPr>
                <w:rFonts w:ascii="Times New Roman" w:cs="Times New Roman" w:eastAsia="Times New Roman" w:hAnsi="Times New Roman"/>
                <w:sz w:val="20"/>
                <w:szCs w:val="20"/>
                <w:color w:val="AAA6A1"/>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Increase (reduction) in income taxes resulting from:</w:t>
            </w:r>
            <w:r>
              <w:rPr>
                <w:rFonts w:ascii="Times New Roman" w:cs="Times New Roman" w:eastAsia="Times New Roman" w:hAnsi="Times New Roman"/>
                <w:sz w:val="20"/>
                <w:szCs w:val="20"/>
                <w:color w:val="AAA6A1"/>
                <w:w w:val="99"/>
              </w:rPr>
              <w:t>................................</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credit and other credits </w:t>
            </w:r>
            <w:r>
              <w:rPr>
                <w:rFonts w:ascii="Times New Roman" w:cs="Times New Roman" w:eastAsia="Times New Roman" w:hAnsi="Times New Roman"/>
                <w:sz w:val="20"/>
                <w:szCs w:val="20"/>
                <w:color w:val="AAA6A1"/>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20" w:type="dxa"/>
            <w:vAlign w:val="bottom"/>
            <w:tcBorders>
              <w:right w:val="single" w:sz="8" w:color="auto"/>
            </w:tcBorders>
          </w:tcPr>
          <w:p>
            <w:pPr>
              <w:spacing w:after="0"/>
              <w:rPr>
                <w:sz w:val="24"/>
                <w:szCs w:val="24"/>
                <w:color w:val="auto"/>
              </w:rPr>
            </w:pP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Non-deductible expenses</w:t>
            </w:r>
            <w:r>
              <w:rPr>
                <w:rFonts w:ascii="Times New Roman" w:cs="Times New Roman" w:eastAsia="Times New Roman" w:hAnsi="Times New Roman"/>
                <w:sz w:val="20"/>
                <w:szCs w:val="20"/>
                <w:color w:val="AAA6A1"/>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220" w:type="dxa"/>
            <w:vAlign w:val="bottom"/>
          </w:tcPr>
          <w:p>
            <w:pPr>
              <w:spacing w:after="0"/>
              <w:rPr>
                <w:sz w:val="24"/>
                <w:szCs w:val="24"/>
                <w:color w:val="auto"/>
              </w:rPr>
            </w:pP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valuation allowance</w:t>
            </w:r>
            <w:r>
              <w:rPr>
                <w:rFonts w:ascii="Times New Roman" w:cs="Times New Roman" w:eastAsia="Times New Roman" w:hAnsi="Times New Roman"/>
                <w:sz w:val="20"/>
                <w:szCs w:val="20"/>
                <w:color w:val="AAA6A1"/>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right w:val="single" w:sz="8" w:color="auto"/>
            </w:tcBorders>
          </w:tcPr>
          <w:p>
            <w:pPr>
              <w:spacing w:after="0"/>
              <w:rPr>
                <w:sz w:val="24"/>
                <w:szCs w:val="24"/>
                <w:color w:val="auto"/>
              </w:rPr>
            </w:pPr>
          </w:p>
        </w:tc>
      </w:tr>
      <w:tr>
        <w:trPr>
          <w:trHeight w:val="28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Stock-based compensation expense </w:t>
            </w:r>
            <w:r>
              <w:rPr>
                <w:rFonts w:ascii="Times New Roman" w:cs="Times New Roman" w:eastAsia="Times New Roman" w:hAnsi="Times New Roman"/>
                <w:sz w:val="20"/>
                <w:szCs w:val="20"/>
                <w:color w:val="AAA6A1"/>
              </w:rPr>
              <w:t>.....................................................</w:t>
            </w:r>
          </w:p>
        </w:tc>
        <w:tc>
          <w:tcPr>
            <w:tcW w:w="130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20" w:type="dxa"/>
            <w:vAlign w:val="bottom"/>
          </w:tcPr>
          <w:p>
            <w:pPr>
              <w:spacing w:after="0"/>
              <w:rPr>
                <w:sz w:val="24"/>
                <w:szCs w:val="24"/>
                <w:color w:val="auto"/>
              </w:rPr>
            </w:pPr>
          </w:p>
        </w:tc>
      </w:tr>
      <w:tr>
        <w:trPr>
          <w:trHeight w:val="313"/>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State and local income taxes, net of federal income tax benefit </w:t>
            </w:r>
            <w:r>
              <w:rPr>
                <w:rFonts w:ascii="Times New Roman" w:cs="Times New Roman" w:eastAsia="Times New Roman" w:hAnsi="Times New Roman"/>
                <w:sz w:val="20"/>
                <w:szCs w:val="20"/>
                <w:color w:val="AAA6A1"/>
              </w:rPr>
              <w:t>..........</w:t>
            </w: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rPr>
              <w:t>1.3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20" w:type="dxa"/>
            <w:vAlign w:val="bottom"/>
            <w:tcBorders>
              <w:right w:val="single" w:sz="8" w:color="auto"/>
            </w:tcBorders>
          </w:tcPr>
          <w:p>
            <w:pPr>
              <w:spacing w:after="0"/>
              <w:rPr>
                <w:sz w:val="24"/>
                <w:szCs w:val="24"/>
                <w:color w:val="auto"/>
              </w:rPr>
            </w:pPr>
          </w:p>
        </w:tc>
      </w:tr>
      <w:tr>
        <w:trPr>
          <w:trHeight w:val="29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0"/>
                <w:szCs w:val="20"/>
                <w:color w:val="AAA6A1"/>
              </w:rPr>
              <w:t>.....................................................................................................</w:t>
            </w: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20" w:type="dxa"/>
            <w:vAlign w:val="bottom"/>
            <w:tcBorders>
              <w:bottom w:val="single" w:sz="8" w:color="auto"/>
            </w:tcBorders>
          </w:tcPr>
          <w:p>
            <w:pPr>
              <w:spacing w:after="0"/>
              <w:rPr>
                <w:sz w:val="24"/>
                <w:szCs w:val="24"/>
                <w:color w:val="auto"/>
              </w:rPr>
            </w:pPr>
          </w:p>
        </w:tc>
      </w:tr>
      <w:tr>
        <w:trPr>
          <w:trHeight w:val="260"/>
        </w:trPr>
        <w:tc>
          <w:tcPr>
            <w:tcW w:w="58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25.4 %</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26.5 %</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280" w:firstLine="720"/>
        <w:spacing w:after="0" w:line="261" w:lineRule="auto"/>
        <w:rPr>
          <w:sz w:val="20"/>
          <w:szCs w:val="20"/>
          <w:color w:val="auto"/>
        </w:rPr>
      </w:pPr>
      <w:r>
        <w:rPr>
          <w:rFonts w:ascii="Times New Roman" w:cs="Times New Roman" w:eastAsia="Times New Roman" w:hAnsi="Times New Roman"/>
          <w:sz w:val="20"/>
          <w:szCs w:val="20"/>
          <w:color w:val="auto"/>
        </w:rPr>
        <w:t>The effective tax rate for the years ended June 30, 2023, 2024 and 2025 was 11.2%, 25.4% and 26.5%, respectively, on pre-tax income of $158,614, $277,015 and $309,063, respectively. The decrease in the effective tax rate for June 30, 2023 was primarily due to stock-based compensation. The increase in the effective tax rate for years ended June 30, 2024 and 2025 were primarily due to state and local income tax.</w:t>
      </w:r>
    </w:p>
    <w:p>
      <w:pPr>
        <w:spacing w:after="0" w:line="195" w:lineRule="exact"/>
        <w:rPr>
          <w:sz w:val="20"/>
          <w:szCs w:val="20"/>
          <w:color w:val="auto"/>
        </w:rPr>
      </w:pPr>
    </w:p>
    <w:p>
      <w:pPr>
        <w:ind w:left="980" w:hanging="270"/>
        <w:spacing w:after="0"/>
        <w:tabs>
          <w:tab w:leader="none" w:pos="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Components of Deferred Tax Assets and Liabilities</w:t>
      </w:r>
    </w:p>
    <w:p>
      <w:pPr>
        <w:spacing w:after="0" w:line="255" w:lineRule="exact"/>
        <w:rPr>
          <w:sz w:val="20"/>
          <w:szCs w:val="20"/>
          <w:color w:val="auto"/>
        </w:rPr>
      </w:pPr>
    </w:p>
    <w:p>
      <w:pPr>
        <w:ind w:right="720" w:firstLine="720"/>
        <w:spacing w:after="0" w:line="283" w:lineRule="auto"/>
        <w:rPr>
          <w:sz w:val="20"/>
          <w:szCs w:val="20"/>
          <w:color w:val="auto"/>
        </w:rPr>
      </w:pPr>
      <w:r>
        <w:rPr>
          <w:rFonts w:ascii="Times New Roman" w:cs="Times New Roman" w:eastAsia="Times New Roman" w:hAnsi="Times New Roman"/>
          <w:sz w:val="20"/>
          <w:szCs w:val="20"/>
          <w:color w:val="auto"/>
        </w:rPr>
        <w:t>The tax effects of temporary differences that give rise to significant portions of the deferred tax assets and deferred tax liabilities at June 30, 2024 and 2025 are presented below.</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35"/>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Deferred tax assets: </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28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lease liabilities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14,457</w:t>
            </w:r>
          </w:p>
        </w:tc>
      </w:tr>
      <w:tr>
        <w:trPr>
          <w:trHeight w:val="31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Accrued expenses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23,101</w:t>
            </w:r>
          </w:p>
        </w:tc>
      </w:tr>
      <w:tr>
        <w:trPr>
          <w:trHeight w:val="28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Stock-based compensation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28,595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25,970</w:t>
            </w:r>
          </w:p>
        </w:tc>
      </w:tr>
      <w:tr>
        <w:trPr>
          <w:trHeight w:val="31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operating loss carryforwards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20,471</w:t>
            </w:r>
          </w:p>
        </w:tc>
      </w:tr>
      <w:tr>
        <w:trPr>
          <w:trHeight w:val="28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Federal and state tax credits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16,196</w:t>
            </w:r>
          </w:p>
        </w:tc>
      </w:tr>
      <w:tr>
        <w:trPr>
          <w:trHeight w:val="30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Research and development costs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29,718</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60,611</w:t>
            </w:r>
          </w:p>
        </w:tc>
      </w:tr>
      <w:tr>
        <w:trPr>
          <w:trHeight w:val="27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deferred tax assets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160,806</w:t>
            </w:r>
          </w:p>
        </w:tc>
      </w:tr>
      <w:tr>
        <w:trPr>
          <w:trHeight w:val="30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Valuation allowance</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w:t>
            </w:r>
          </w:p>
        </w:tc>
      </w:tr>
      <w:tr>
        <w:trPr>
          <w:trHeight w:val="27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deferred tax assets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114,349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160,574</w:t>
            </w:r>
          </w:p>
        </w:tc>
      </w:tr>
      <w:tr>
        <w:trPr>
          <w:trHeight w:val="31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Deferred tax liabilities: </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28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Deferred contract costs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(116,004)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(134,448)</w:t>
            </w:r>
          </w:p>
        </w:tc>
      </w:tr>
      <w:tr>
        <w:trPr>
          <w:trHeight w:val="31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Operating lease right-of-use assets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(9,400)</w:t>
            </w:r>
          </w:p>
        </w:tc>
      </w:tr>
      <w:tr>
        <w:trPr>
          <w:trHeight w:val="287"/>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Intangible assets</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(20,269)</w:t>
            </w:r>
          </w:p>
        </w:tc>
      </w:tr>
      <w:tr>
        <w:trPr>
          <w:trHeight w:val="313"/>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(8,976)</w:t>
            </w:r>
          </w:p>
        </w:tc>
      </w:tr>
      <w:tr>
        <w:trPr>
          <w:trHeight w:val="29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(2,286)</w:t>
            </w:r>
          </w:p>
        </w:tc>
      </w:tr>
      <w:tr>
        <w:trPr>
          <w:trHeight w:val="265"/>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deferred tax liabilities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(138,357)</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(175,379)</w:t>
            </w:r>
          </w:p>
        </w:tc>
      </w:tr>
      <w:tr>
        <w:trPr>
          <w:trHeight w:val="260"/>
        </w:trPr>
        <w:tc>
          <w:tcPr>
            <w:tcW w:w="7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deferred tax liabilities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(14,805)</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880" w:h="15481" w:orient="portrait"/>
          <w:cols w:equalWidth="0" w:num="1">
            <w:col w:w="9900"/>
          </w:cols>
          <w:pgMar w:left="1000" w:top="393"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3" w:right="981" w:bottom="0" w:gutter="0" w:footer="0" w:header="0"/>
          <w:type w:val="continuous"/>
        </w:sectPr>
      </w:pPr>
    </w:p>
    <w:bookmarkStart w:id="91" w:name="page92"/>
    <w:bookmarkEnd w:id="91"/>
    <w:p>
      <w:pPr>
        <w:jc w:val="both"/>
        <w:ind w:left="10" w:right="260" w:firstLine="720"/>
        <w:spacing w:after="0" w:line="28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t>As of June 30, 2025, the Company maintains a valuation allowance of $232 for certain state tax benefits which may not be realized. The increase to the valuation allowance is mainly due to the acquisition of certain Airbase Inc. state tax net operating loss carryforwards. Such assessment may change in the future as further evidence becomes available.</w:t>
      </w:r>
    </w:p>
    <w:p>
      <w:pPr>
        <w:spacing w:after="0" w:line="176" w:lineRule="exact"/>
        <w:rPr>
          <w:sz w:val="20"/>
          <w:szCs w:val="20"/>
          <w:color w:val="auto"/>
        </w:rPr>
      </w:pPr>
    </w:p>
    <w:p>
      <w:pPr>
        <w:ind w:left="10" w:right="340" w:firstLine="720"/>
        <w:spacing w:after="0" w:line="257" w:lineRule="auto"/>
        <w:rPr>
          <w:sz w:val="20"/>
          <w:szCs w:val="20"/>
          <w:color w:val="auto"/>
        </w:rPr>
      </w:pPr>
      <w:r>
        <w:rPr>
          <w:rFonts w:ascii="Times New Roman" w:cs="Times New Roman" w:eastAsia="Times New Roman" w:hAnsi="Times New Roman"/>
          <w:sz w:val="20"/>
          <w:szCs w:val="20"/>
          <w:color w:val="auto"/>
        </w:rPr>
        <w:t>At June 30, 2025, the Company has gross net operating loss carryforwards for federal income tax purposes of approximately $56,746, all of which can be carried forward indefinitely. The Company has gross net operating loss carryforwards for state income tax purposes of approximately $125,204, of which $111,008 expire from 2030 to 2045, while the remaining $14,196 can be carried forward indefinitely. The Company also has gross state research and development tax credits and other state credit carryforwards of approximately $20,501, which expire between 2026 and 2045.</w:t>
      </w:r>
    </w:p>
    <w:p>
      <w:pPr>
        <w:spacing w:after="0" w:line="202" w:lineRule="exact"/>
        <w:rPr>
          <w:sz w:val="20"/>
          <w:szCs w:val="20"/>
          <w:color w:val="auto"/>
        </w:rPr>
      </w:pPr>
    </w:p>
    <w:p>
      <w:pPr>
        <w:ind w:left="10" w:right="280" w:firstLine="720"/>
        <w:spacing w:after="0" w:line="266" w:lineRule="auto"/>
        <w:rPr>
          <w:sz w:val="20"/>
          <w:szCs w:val="20"/>
          <w:color w:val="auto"/>
        </w:rPr>
      </w:pPr>
      <w:r>
        <w:rPr>
          <w:rFonts w:ascii="Times New Roman" w:cs="Times New Roman" w:eastAsia="Times New Roman" w:hAnsi="Times New Roman"/>
          <w:sz w:val="20"/>
          <w:szCs w:val="20"/>
          <w:color w:val="auto"/>
        </w:rPr>
        <w:t>As of June 30, 2024 and 2025, the Company’s liabilities for unrecognized tax benefits, which would impact the Company’s effective tax rate if recognized, are presented below. The Company will include applicable penalties and interest when the benefit is recognized:</w:t>
      </w:r>
    </w:p>
    <w:p>
      <w:pPr>
        <w:spacing w:after="0" w:line="285" w:lineRule="exact"/>
        <w:rPr>
          <w:sz w:val="20"/>
          <w:szCs w:val="20"/>
          <w:color w:val="auto"/>
        </w:rPr>
      </w:pPr>
    </w:p>
    <w:tbl>
      <w:tblPr>
        <w:tblLayout w:type="fixed"/>
        <w:tblInd w:w="50" w:type="dxa"/>
        <w:tblCellMar>
          <w:top w:w="0" w:type="dxa"/>
          <w:left w:w="0" w:type="dxa"/>
          <w:bottom w:w="0" w:type="dxa"/>
          <w:right w:w="0" w:type="dxa"/>
        </w:tblCellMar>
      </w:tblPr>
      <w:tr>
        <w:trPr>
          <w:trHeight w:val="219"/>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35"/>
        </w:trPr>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Unrecognized tax benefits at beginning of the year </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2,435</w:t>
            </w:r>
          </w:p>
        </w:tc>
      </w:tr>
      <w:tr>
        <w:trPr>
          <w:trHeight w:val="28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Additions for current year tax positions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848</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Additions for tax positions of prior periods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23</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Unrecognized tax benefit at end of year</w:t>
            </w:r>
            <w:r>
              <w:rPr>
                <w:rFonts w:ascii="Times New Roman" w:cs="Times New Roman" w:eastAsia="Times New Roman" w:hAnsi="Times New Roman"/>
                <w:sz w:val="20"/>
                <w:szCs w:val="20"/>
                <w:color w:val="AAA6A1"/>
              </w:rPr>
              <w: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3,306</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auto"/>
        </w:rPr>
        <w:t>The Company files income tax returns with the United States federal government and various state jurisdictions. Certain tax years remain open for federal and state tax reporting jurisdictions in which the Company does business due to net operating loss and tax credit carryforwards from such years or utilized in a period remaining open for audit under normal statute of limitations relating to income tax liabilities. The Company, including its domestic subsidiaries, files a consolidated federal income tax return. For years before fiscal year ended June 30, 2022, the Company is no longer subject to U.S. federal examination; however, the Internal Revenue Service (IRS) has the ability to review years prior to fiscal year 2022 to the extent the Company utilized tax attributes carried forward from those prior years. The statute of limitations on state filings is generally three to four years.</w:t>
      </w:r>
    </w:p>
    <w:p>
      <w:pPr>
        <w:spacing w:after="0" w:line="205" w:lineRule="exact"/>
        <w:rPr>
          <w:sz w:val="20"/>
          <w:szCs w:val="20"/>
          <w:color w:val="auto"/>
        </w:rPr>
      </w:pPr>
    </w:p>
    <w:p>
      <w:pPr>
        <w:ind w:left="10" w:right="140" w:firstLine="720"/>
        <w:spacing w:after="0" w:line="241" w:lineRule="auto"/>
        <w:rPr>
          <w:sz w:val="20"/>
          <w:szCs w:val="20"/>
          <w:color w:val="auto"/>
        </w:rPr>
      </w:pPr>
      <w:r>
        <w:rPr>
          <w:rFonts w:ascii="Times New Roman" w:cs="Times New Roman" w:eastAsia="Times New Roman" w:hAnsi="Times New Roman"/>
          <w:sz w:val="20"/>
          <w:szCs w:val="20"/>
          <w:color w:val="auto"/>
        </w:rPr>
        <w:t>On July 4, 2025, the One Big Beautiful Bill Act (the “Act”) was enacted into law. The Act includes changes to U.S. income tax law that will be applicable to the Company beginning in fiscal 2026. The Act includes significant provisions such as accelerated tax deductions for qualified property and research expenditures. While the Company is still assessing the effects of these provisions, it is expected to mostly impact the Company’s consolidated balance sheet with material impacts to deferred tax assets and liabilities and income taxes payable in fiscal 2026.</w:t>
      </w:r>
    </w:p>
    <w:p>
      <w:pPr>
        <w:spacing w:after="0" w:line="198" w:lineRule="exact"/>
        <w:rPr>
          <w:sz w:val="20"/>
          <w:szCs w:val="20"/>
          <w:color w:val="auto"/>
        </w:rPr>
      </w:pPr>
    </w:p>
    <w:p>
      <w:pPr>
        <w:ind w:left="730" w:right="7720" w:hanging="730"/>
        <w:spacing w:after="0" w:line="531" w:lineRule="auto"/>
        <w:tabs>
          <w:tab w:leader="none" w:pos="393"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Stockholders’ Equity </w:t>
      </w:r>
      <w:r>
        <w:rPr>
          <w:rFonts w:ascii="Times New Roman" w:cs="Times New Roman" w:eastAsia="Times New Roman" w:hAnsi="Times New Roman"/>
          <w:sz w:val="19"/>
          <w:szCs w:val="19"/>
          <w:b w:val="1"/>
          <w:bCs w:val="1"/>
          <w:i w:val="1"/>
          <w:iCs w:val="1"/>
          <w:color w:val="auto"/>
        </w:rPr>
        <w:t>Common Stock</w:t>
      </w:r>
    </w:p>
    <w:p>
      <w:pPr>
        <w:ind w:left="10" w:right="160" w:firstLine="720"/>
        <w:spacing w:after="0" w:line="266" w:lineRule="auto"/>
        <w:rPr>
          <w:sz w:val="20"/>
          <w:szCs w:val="20"/>
          <w:color w:val="auto"/>
        </w:rPr>
      </w:pPr>
      <w:r>
        <w:rPr>
          <w:rFonts w:ascii="Times New Roman" w:cs="Times New Roman" w:eastAsia="Times New Roman" w:hAnsi="Times New Roman"/>
          <w:sz w:val="20"/>
          <w:szCs w:val="20"/>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8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218" w:lineRule="exact"/>
        <w:rPr>
          <w:sz w:val="20"/>
          <w:szCs w:val="20"/>
          <w:color w:val="auto"/>
        </w:rPr>
      </w:pPr>
    </w:p>
    <w:p>
      <w:pPr>
        <w:ind w:left="10" w:right="160" w:firstLine="720"/>
        <w:spacing w:after="0" w:line="263" w:lineRule="auto"/>
        <w:rPr>
          <w:sz w:val="20"/>
          <w:szCs w:val="20"/>
          <w:color w:val="auto"/>
        </w:rPr>
      </w:pPr>
      <w:r>
        <w:rPr>
          <w:rFonts w:ascii="Times New Roman" w:cs="Times New Roman" w:eastAsia="Times New Roman" w:hAnsi="Times New Roman"/>
          <w:sz w:val="19"/>
          <w:szCs w:val="19"/>
          <w:color w:val="auto"/>
        </w:rPr>
        <w:t>On April 30, 2024, the Company's board of directors approved a share repurchase program (the "Repurchase Program") under which the Company is authorized to purchase (in the aggregate) up to $500,000 of its issued and outstanding common stock. Under the Repurchase Program, shares may be repurchased from time-to-time in open market transactions at prevailing market prices, privately negotiated transactions or by other means, including the use of Rule</w:t>
      </w:r>
    </w:p>
    <w:p>
      <w:pPr>
        <w:spacing w:after="0" w:line="2" w:lineRule="exact"/>
        <w:rPr>
          <w:sz w:val="20"/>
          <w:szCs w:val="20"/>
          <w:color w:val="auto"/>
        </w:rPr>
      </w:pPr>
    </w:p>
    <w:p>
      <w:pPr>
        <w:ind w:left="10" w:right="140"/>
        <w:spacing w:after="0" w:line="263" w:lineRule="auto"/>
        <w:rPr>
          <w:sz w:val="20"/>
          <w:szCs w:val="20"/>
          <w:color w:val="auto"/>
        </w:rPr>
      </w:pPr>
      <w:r>
        <w:rPr>
          <w:rFonts w:ascii="Times New Roman" w:cs="Times New Roman" w:eastAsia="Times New Roman" w:hAnsi="Times New Roman"/>
          <w:sz w:val="19"/>
          <w:szCs w:val="19"/>
          <w:color w:val="auto"/>
        </w:rPr>
        <w:t>10b5-1 trading plans entered into by the Company. The actual timing, number and value of shares repurchased under the Repurchase Program will depend on the market price of its common stock, trading volume, general market conditions and other corporate and economic considerations. The Repurchase Program does not obligate the Company to repurchase any specific number of shares and may be modified, suspended or terminated at any time. During the years ended June 30,</w:t>
      </w:r>
    </w:p>
    <w:p>
      <w:pPr>
        <w:spacing w:after="0" w:line="2" w:lineRule="exact"/>
        <w:rPr>
          <w:sz w:val="20"/>
          <w:szCs w:val="20"/>
          <w:color w:val="auto"/>
        </w:rPr>
      </w:pPr>
    </w:p>
    <w:p>
      <w:pPr>
        <w:ind w:left="10" w:right="40"/>
        <w:spacing w:after="0" w:line="283" w:lineRule="auto"/>
        <w:rPr>
          <w:sz w:val="20"/>
          <w:szCs w:val="20"/>
          <w:color w:val="auto"/>
        </w:rPr>
      </w:pPr>
      <w:r>
        <w:rPr>
          <w:rFonts w:ascii="Times New Roman" w:cs="Times New Roman" w:eastAsia="Times New Roman" w:hAnsi="Times New Roman"/>
          <w:sz w:val="20"/>
          <w:szCs w:val="20"/>
          <w:color w:val="auto"/>
        </w:rPr>
        <w:t>2024 and 2025, the Company repurchased 1,050 and 787 shares, respectively, for $150,000 and $149,638, respectively. All shares of common stock repurchased were retired.</w:t>
      </w:r>
    </w:p>
    <w:p>
      <w:pPr>
        <w:sectPr>
          <w:pgSz w:w="11880" w:h="15481" w:orient="portrait"/>
          <w:cols w:equalWidth="0" w:num="1">
            <w:col w:w="9910"/>
          </w:cols>
          <w:pgMar w:left="990" w:top="398" w:right="981"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230505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6907530</wp:posOffset>
            </wp:positionH>
            <wp:positionV relativeFrom="paragraph">
              <wp:posOffset>230505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10"/>
          </w:cols>
          <w:pgMar w:left="990" w:top="398" w:right="981"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t>(16) Benefit Plans</w:t>
      </w:r>
    </w:p>
    <w:p>
      <w:pPr>
        <w:spacing w:after="0" w:line="252" w:lineRule="exact"/>
        <w:rPr>
          <w:sz w:val="20"/>
          <w:szCs w:val="20"/>
          <w:color w:val="auto"/>
        </w:rPr>
      </w:pPr>
    </w:p>
    <w:p>
      <w:pPr>
        <w:ind w:left="980" w:hanging="270"/>
        <w:spacing w:after="0"/>
        <w:tabs>
          <w:tab w:leader="none" w:pos="9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Equity Incentive Plans</w:t>
      </w:r>
    </w:p>
    <w:p>
      <w:pPr>
        <w:spacing w:after="0" w:line="255" w:lineRule="exact"/>
        <w:rPr>
          <w:sz w:val="20"/>
          <w:szCs w:val="20"/>
          <w:color w:val="auto"/>
        </w:rPr>
      </w:pPr>
    </w:p>
    <w:p>
      <w:pPr>
        <w:ind w:right="140" w:firstLine="720"/>
        <w:spacing w:after="0" w:line="257" w:lineRule="auto"/>
        <w:rPr>
          <w:sz w:val="20"/>
          <w:szCs w:val="20"/>
          <w:color w:val="auto"/>
        </w:rPr>
      </w:pPr>
      <w:r>
        <w:rPr>
          <w:rFonts w:ascii="Times New Roman" w:cs="Times New Roman" w:eastAsia="Times New Roman" w:hAnsi="Times New Roman"/>
          <w:sz w:val="20"/>
          <w:szCs w:val="20"/>
          <w:color w:val="auto"/>
        </w:rPr>
        <w:t>The Company maintained a 2014 Equity Incentive Plan (the “2014 Plan”) and continues to maintain a 2023 Equity Incentive Plan (the “2023 Plan”). The 2023 Plan serves as the successor to the 2014 Plan and permits the granting of restricted stock units (“RSUs”), performance stock units (“PSUs”), market stock units (“MSUs”) and other equity incentives at the discretion of the compensation committee of the Company’s board of directors (“the Committee”). No new awards have been or will be issued under the 2014 Plan since the effective date of the 2023 Plan. Outstanding awards under the 2014 Plan continue to be subject to the terms and conditions of the 2014 Plan.</w:t>
      </w:r>
    </w:p>
    <w:p>
      <w:pPr>
        <w:spacing w:after="0" w:line="202"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As of June 30, 2025, the Company had 3,283 shares allocated to the plans, of which 1,583 shares were subject to outstanding options or awards. Generally, the Company issues previously unissued shares for the exercise of stock options or vesting of awards; however, shares previously subject to 2023 Plan grants or awards that are forfeited or net settled at exercise or release may be reissued to satisfy future issuances.</w:t>
      </w:r>
    </w:p>
    <w:p>
      <w:pPr>
        <w:spacing w:after="0" w:line="200" w:lineRule="exact"/>
        <w:rPr>
          <w:sz w:val="20"/>
          <w:szCs w:val="20"/>
          <w:color w:val="auto"/>
        </w:rPr>
      </w:pPr>
    </w:p>
    <w:p>
      <w:pPr>
        <w:ind w:right="60" w:firstLine="720"/>
        <w:spacing w:after="0" w:line="266" w:lineRule="auto"/>
        <w:rPr>
          <w:sz w:val="20"/>
          <w:szCs w:val="20"/>
          <w:color w:val="auto"/>
        </w:rPr>
      </w:pPr>
      <w:r>
        <w:rPr>
          <w:rFonts w:ascii="Times New Roman" w:cs="Times New Roman" w:eastAsia="Times New Roman" w:hAnsi="Times New Roman"/>
          <w:sz w:val="20"/>
          <w:szCs w:val="20"/>
          <w:color w:val="auto"/>
        </w:rPr>
        <w:t>Stock-based compensation expense related to RSUs, PSUs, MSUs and the Employee Stock Purchase Plan (as described below) was included in the following line items in the accompanying Consolidated Statements of Operations and Comprehensive Income:</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revenues</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17,101</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17,945</w:t>
            </w: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Sales and marketing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35,536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35,305</w:t>
            </w:r>
          </w:p>
        </w:tc>
      </w:tr>
      <w:tr>
        <w:trPr>
          <w:trHeight w:val="31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36,072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35,786</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General and administrative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56,794</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55,497</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53,784</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Total stock-based compensation expense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147,300</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146,032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142,820</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240" w:firstLine="720"/>
        <w:spacing w:after="0" w:line="283" w:lineRule="auto"/>
        <w:rPr>
          <w:sz w:val="20"/>
          <w:szCs w:val="20"/>
          <w:color w:val="auto"/>
        </w:rPr>
      </w:pPr>
      <w:r>
        <w:rPr>
          <w:rFonts w:ascii="Times New Roman" w:cs="Times New Roman" w:eastAsia="Times New Roman" w:hAnsi="Times New Roman"/>
          <w:sz w:val="20"/>
          <w:szCs w:val="20"/>
          <w:color w:val="auto"/>
        </w:rPr>
        <w:t>In addition, the Company capitalized $11,901, $14,376 and $12,996 of stock-based compensation expense in its capitalized internal-use software costs in the years ended June 30, 2023, 2024 and 2025, respectively.</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represents stock option activity during the year ended June 30, 2025:</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2"/>
        </w:trPr>
        <w:tc>
          <w:tcPr>
            <w:tcW w:w="4460" w:type="dxa"/>
            <w:vAlign w:val="bottom"/>
          </w:tcPr>
          <w:p>
            <w:pPr>
              <w:spacing w:after="0"/>
              <w:rPr>
                <w:sz w:val="16"/>
                <w:szCs w:val="16"/>
                <w:color w:val="auto"/>
              </w:rPr>
            </w:pPr>
          </w:p>
        </w:tc>
        <w:tc>
          <w:tcPr>
            <w:tcW w:w="1300" w:type="dxa"/>
            <w:vAlign w:val="bottom"/>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9"/>
        </w:trPr>
        <w:tc>
          <w:tcPr>
            <w:tcW w:w="4460" w:type="dxa"/>
            <w:vAlign w:val="bottom"/>
          </w:tcPr>
          <w:p>
            <w:pPr>
              <w:spacing w:after="0"/>
              <w:rPr>
                <w:sz w:val="19"/>
                <w:szCs w:val="19"/>
                <w:color w:val="auto"/>
              </w:rPr>
            </w:pPr>
          </w:p>
        </w:tc>
        <w:tc>
          <w:tcPr>
            <w:tcW w:w="13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July 1, 2024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20"/>
                <w:szCs w:val="20"/>
                <w:color w:val="auto"/>
              </w:rPr>
              <w:t>17,301</w:t>
            </w: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Options exercised</w:t>
            </w:r>
            <w:r>
              <w:rPr>
                <w:rFonts w:ascii="Times New Roman" w:cs="Times New Roman" w:eastAsia="Times New Roman" w:hAnsi="Times New Roman"/>
                <w:sz w:val="20"/>
                <w:szCs w:val="20"/>
                <w:color w:val="AAA6A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Balance at June 30, 2025 </w:t>
            </w:r>
            <w:r>
              <w:rPr>
                <w:rFonts w:ascii="Times New Roman" w:cs="Times New Roman" w:eastAsia="Times New Roman" w:hAnsi="Times New Roman"/>
                <w:sz w:val="20"/>
                <w:szCs w:val="20"/>
                <w:color w:val="AAA6A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p>
    <w:p>
      <w:pPr>
        <w:spacing w:after="0" w:line="227" w:lineRule="exact"/>
        <w:rPr>
          <w:sz w:val="20"/>
          <w:szCs w:val="20"/>
          <w:color w:val="auto"/>
        </w:rPr>
      </w:pPr>
    </w:p>
    <w:p>
      <w:pPr>
        <w:jc w:val="both"/>
        <w:ind w:right="20" w:firstLine="720"/>
        <w:spacing w:after="0" w:line="310" w:lineRule="auto"/>
        <w:rPr>
          <w:sz w:val="20"/>
          <w:szCs w:val="20"/>
          <w:color w:val="auto"/>
        </w:rPr>
      </w:pPr>
      <w:r>
        <w:rPr>
          <w:rFonts w:ascii="Times New Roman" w:cs="Times New Roman" w:eastAsia="Times New Roman" w:hAnsi="Times New Roman"/>
          <w:sz w:val="19"/>
          <w:szCs w:val="19"/>
          <w:color w:val="auto"/>
        </w:rPr>
        <w:t>There were no stock options granted during the years ended June 30, 2023, 2024 or 2025. The total intrinsic value of options exercised during the years ended June 30, 2023, 2024 and 2025 was $52,985, $18,438 and $22,819, respectively.</w:t>
      </w:r>
    </w:p>
    <w:p>
      <w:pPr>
        <w:sectPr>
          <w:pgSz w:w="11880" w:h="15481" w:orient="portrait"/>
          <w:cols w:equalWidth="0" w:num="1">
            <w:col w:w="9900"/>
          </w:cols>
          <w:pgMar w:left="1000" w:top="391"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1" w:right="981" w:bottom="0" w:gutter="0" w:footer="0" w:header="0"/>
          <w:type w:val="continuous"/>
        </w:sectPr>
      </w:pPr>
    </w:p>
    <w:bookmarkStart w:id="93" w:name="page94"/>
    <w:bookmarkEnd w:id="93"/>
    <w:p>
      <w:pPr>
        <w:ind w:right="460" w:firstLine="72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t>The Company grants RSUs under its equity incentive plans with terms determined at the discretion of the Committee. RSUs generally vest over four years following the grant date and have time-based vesting conditions. The following table represents restricted stock unit activity during the year ended June 30, 2025:</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8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2"/>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192"/>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9"/>
        </w:trPr>
        <w:tc>
          <w:tcPr>
            <w:tcW w:w="7180" w:type="dxa"/>
            <w:vAlign w:val="bottom"/>
          </w:tcPr>
          <w:p>
            <w:pPr>
              <w:spacing w:after="0"/>
              <w:rPr>
                <w:sz w:val="19"/>
                <w:szCs w:val="19"/>
                <w:color w:val="auto"/>
              </w:rPr>
            </w:pPr>
          </w:p>
        </w:tc>
        <w:tc>
          <w:tcPr>
            <w:tcW w:w="13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7"/>
              </w:rPr>
              <w:t>fair value</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RSU balance at July 1, 2024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ind w:right="29"/>
              <w:spacing w:after="0"/>
              <w:rPr>
                <w:sz w:val="20"/>
                <w:szCs w:val="20"/>
                <w:color w:val="auto"/>
              </w:rPr>
            </w:pPr>
            <w:r>
              <w:rPr>
                <w:rFonts w:ascii="Times New Roman" w:cs="Times New Roman" w:eastAsia="Times New Roman" w:hAnsi="Times New Roman"/>
                <w:sz w:val="20"/>
                <w:szCs w:val="20"/>
                <w:color w:val="auto"/>
              </w:rPr>
              <w:t>214.98</w:t>
            </w:r>
          </w:p>
        </w:tc>
      </w:tr>
      <w:tr>
        <w:trPr>
          <w:trHeight w:val="28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RSUs granted</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157.79</w:t>
            </w:r>
          </w:p>
        </w:tc>
      </w:tr>
      <w:tr>
        <w:trPr>
          <w:trHeight w:val="31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RSUs vested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ind w:right="29"/>
              <w:spacing w:after="0"/>
              <w:rPr>
                <w:sz w:val="20"/>
                <w:szCs w:val="20"/>
                <w:color w:val="auto"/>
              </w:rPr>
            </w:pPr>
            <w:r>
              <w:rPr>
                <w:rFonts w:ascii="Times New Roman" w:cs="Times New Roman" w:eastAsia="Times New Roman" w:hAnsi="Times New Roman"/>
                <w:sz w:val="20"/>
                <w:szCs w:val="20"/>
                <w:color w:val="auto"/>
              </w:rPr>
              <w:t>201.45</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RSUs forfeited</w:t>
            </w:r>
            <w:r>
              <w:rPr>
                <w:rFonts w:ascii="Times New Roman" w:cs="Times New Roman" w:eastAsia="Times New Roman" w:hAnsi="Times New Roman"/>
                <w:sz w:val="20"/>
                <w:szCs w:val="20"/>
                <w:color w:val="AAA6A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199.77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RSU balance at June 30, 2025</w:t>
            </w:r>
            <w:r>
              <w:rPr>
                <w:rFonts w:ascii="Times New Roman" w:cs="Times New Roman" w:eastAsia="Times New Roman" w:hAnsi="Times New Roman"/>
                <w:sz w:val="20"/>
                <w:szCs w:val="20"/>
                <w:color w:val="AAA6A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ind w:right="29"/>
              <w:spacing w:after="0"/>
              <w:rPr>
                <w:sz w:val="20"/>
                <w:szCs w:val="20"/>
                <w:color w:val="auto"/>
              </w:rPr>
            </w:pPr>
            <w:r>
              <w:rPr>
                <w:rFonts w:ascii="Times New Roman" w:cs="Times New Roman" w:eastAsia="Times New Roman" w:hAnsi="Times New Roman"/>
                <w:sz w:val="20"/>
                <w:szCs w:val="20"/>
                <w:color w:val="auto"/>
              </w:rPr>
              <w:t>187.32</w:t>
            </w:r>
          </w:p>
        </w:tc>
      </w:tr>
    </w:tbl>
    <w:p>
      <w:pPr>
        <w:spacing w:after="0" w:line="20" w:lineRule="exact"/>
        <w:rPr>
          <w:sz w:val="20"/>
          <w:szCs w:val="20"/>
          <w:color w:val="auto"/>
        </w:rPr>
      </w:pPr>
    </w:p>
    <w:p>
      <w:pPr>
        <w:spacing w:after="0" w:line="227"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The Company also grants PSUs under the 2023 Plan with terms determined at the discretion of the Committee. During the year ended June 30, 2025, the Company granted approximately 55 PSUs with a grant date fair value of $155.95 per share, all which remained outstanding at June 30, 2025. The actual number of PSUs that will be eligible to vest is based on the achievement of Recurring and other revenue targets over a one year period with vesting taking place annually over three years. Up to 200% of the target number of shares subject to each PSU are eligible to be earned.</w:t>
      </w:r>
    </w:p>
    <w:p>
      <w:pPr>
        <w:spacing w:after="0" w:line="164" w:lineRule="exact"/>
        <w:rPr>
          <w:sz w:val="20"/>
          <w:szCs w:val="20"/>
          <w:color w:val="auto"/>
        </w:rPr>
      </w:pPr>
    </w:p>
    <w:p>
      <w:pPr>
        <w:ind w:right="80" w:firstLine="720"/>
        <w:spacing w:after="0" w:line="257" w:lineRule="auto"/>
        <w:rPr>
          <w:sz w:val="20"/>
          <w:szCs w:val="20"/>
          <w:color w:val="auto"/>
        </w:rPr>
      </w:pPr>
      <w:r>
        <w:rPr>
          <w:rFonts w:ascii="Times New Roman" w:cs="Times New Roman" w:eastAsia="Times New Roman" w:hAnsi="Times New Roman"/>
          <w:sz w:val="20"/>
          <w:szCs w:val="20"/>
          <w:color w:val="auto"/>
        </w:rPr>
        <w:t>The Company also grants MSUs under its equity incentive plans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cliff-vest at the end of the TSR measurement period, and up to 200% of the target number of shares subject to each MSU are eligible to be earned. The following table represents market share unit activity during the year ended June 30, 2025:</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8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2"/>
        </w:trPr>
        <w:tc>
          <w:tcPr>
            <w:tcW w:w="7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69"/>
              <w:spacing w:after="0" w:line="182"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82"/>
        </w:trPr>
        <w:tc>
          <w:tcPr>
            <w:tcW w:w="7180" w:type="dxa"/>
            <w:vAlign w:val="bottom"/>
          </w:tcPr>
          <w:p>
            <w:pPr>
              <w:spacing w:after="0"/>
              <w:rPr>
                <w:sz w:val="15"/>
                <w:szCs w:val="15"/>
                <w:color w:val="auto"/>
              </w:rPr>
            </w:pP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69"/>
              <w:spacing w:after="0" w:line="18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7"/>
        </w:trPr>
        <w:tc>
          <w:tcPr>
            <w:tcW w:w="718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6"/>
                <w:szCs w:val="16"/>
                <w:b w:val="1"/>
                <w:bCs w:val="1"/>
                <w:color w:val="auto"/>
                <w:w w:val="97"/>
              </w:rPr>
              <w:t>fair value</w:t>
            </w:r>
          </w:p>
        </w:tc>
        <w:tc>
          <w:tcPr>
            <w:tcW w:w="0" w:type="dxa"/>
            <w:vAlign w:val="bottom"/>
          </w:tcPr>
          <w:p>
            <w:pPr>
              <w:spacing w:after="0"/>
              <w:rPr>
                <w:sz w:val="1"/>
                <w:szCs w:val="1"/>
                <w:color w:val="auto"/>
              </w:rPr>
            </w:pPr>
          </w:p>
        </w:tc>
      </w:tr>
      <w:tr>
        <w:trPr>
          <w:trHeight w:val="292"/>
        </w:trPr>
        <w:tc>
          <w:tcPr>
            <w:tcW w:w="8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MSU balance at July 1, 2024</w:t>
            </w:r>
            <w:r>
              <w:rPr>
                <w:rFonts w:ascii="Times New Roman" w:cs="Times New Roman" w:eastAsia="Times New Roman" w:hAnsi="Times New Roman"/>
                <w:sz w:val="20"/>
                <w:szCs w:val="20"/>
                <w:color w:val="AAA6A1"/>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335.79</w:t>
            </w:r>
          </w:p>
        </w:tc>
        <w:tc>
          <w:tcPr>
            <w:tcW w:w="0" w:type="dxa"/>
            <w:vAlign w:val="bottom"/>
          </w:tcPr>
          <w:p>
            <w:pPr>
              <w:spacing w:after="0"/>
              <w:rPr>
                <w:sz w:val="1"/>
                <w:szCs w:val="1"/>
                <w:color w:val="auto"/>
              </w:rPr>
            </w:pPr>
          </w:p>
        </w:tc>
      </w:tr>
      <w:tr>
        <w:trPr>
          <w:trHeight w:val="272"/>
        </w:trPr>
        <w:tc>
          <w:tcPr>
            <w:tcW w:w="8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MSUs granted</w:t>
            </w:r>
            <w:r>
              <w:rPr>
                <w:rFonts w:ascii="Times New Roman" w:cs="Times New Roman" w:eastAsia="Times New Roman" w:hAnsi="Times New Roman"/>
                <w:sz w:val="20"/>
                <w:szCs w:val="20"/>
                <w:color w:val="AAA6A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211.45</w:t>
            </w:r>
          </w:p>
        </w:tc>
        <w:tc>
          <w:tcPr>
            <w:tcW w:w="0" w:type="dxa"/>
            <w:vAlign w:val="bottom"/>
          </w:tcPr>
          <w:p>
            <w:pPr>
              <w:spacing w:after="0"/>
              <w:rPr>
                <w:sz w:val="1"/>
                <w:szCs w:val="1"/>
                <w:color w:val="auto"/>
              </w:rPr>
            </w:pPr>
          </w:p>
        </w:tc>
      </w:tr>
      <w:tr>
        <w:trPr>
          <w:trHeight w:val="313"/>
        </w:trPr>
        <w:tc>
          <w:tcPr>
            <w:tcW w:w="8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MSUs vested</w:t>
            </w:r>
            <w:r>
              <w:rPr>
                <w:rFonts w:ascii="Times New Roman" w:cs="Times New Roman" w:eastAsia="Times New Roman" w:hAnsi="Times New Roman"/>
                <w:sz w:val="20"/>
                <w:szCs w:val="20"/>
                <w:color w:val="AAA6A1"/>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361.87</w:t>
            </w:r>
          </w:p>
        </w:tc>
        <w:tc>
          <w:tcPr>
            <w:tcW w:w="0" w:type="dxa"/>
            <w:vAlign w:val="bottom"/>
          </w:tcPr>
          <w:p>
            <w:pPr>
              <w:spacing w:after="0"/>
              <w:rPr>
                <w:sz w:val="1"/>
                <w:szCs w:val="1"/>
                <w:color w:val="auto"/>
              </w:rPr>
            </w:pPr>
          </w:p>
        </w:tc>
      </w:tr>
      <w:tr>
        <w:trPr>
          <w:trHeight w:val="27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MSUs forfeited </w:t>
            </w:r>
            <w:r>
              <w:rPr>
                <w:rFonts w:ascii="Times New Roman" w:cs="Times New Roman" w:eastAsia="Times New Roman" w:hAnsi="Times New Roman"/>
                <w:sz w:val="20"/>
                <w:szCs w:val="20"/>
                <w:color w:val="AAA6A1"/>
              </w:rPr>
              <w:t>.....................................................................................................................</w:t>
            </w:r>
          </w:p>
        </w:tc>
        <w:tc>
          <w:tcPr>
            <w:tcW w:w="9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339.60</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MSU balance at June 30, 2025</w:t>
            </w:r>
            <w:r>
              <w:rPr>
                <w:rFonts w:ascii="Times New Roman" w:cs="Times New Roman" w:eastAsia="Times New Roman" w:hAnsi="Times New Roman"/>
                <w:sz w:val="20"/>
                <w:szCs w:val="20"/>
                <w:color w:val="AAA6A1"/>
              </w:rPr>
              <w:t>.............................................................................................</w:t>
            </w: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311.38</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right="740" w:firstLine="720"/>
        <w:spacing w:after="0" w:line="283" w:lineRule="auto"/>
        <w:rPr>
          <w:sz w:val="20"/>
          <w:szCs w:val="20"/>
          <w:color w:val="auto"/>
        </w:rPr>
      </w:pPr>
      <w:r>
        <w:rPr>
          <w:rFonts w:ascii="Times New Roman" w:cs="Times New Roman" w:eastAsia="Times New Roman" w:hAnsi="Times New Roman"/>
          <w:sz w:val="20"/>
          <w:szCs w:val="20"/>
          <w:color w:val="auto"/>
        </w:rPr>
        <w:t>The Company estimated the grant date fair value of the MSUs using a Monte Carlo simulation model that included the following assumptions: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6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180" w:type="dxa"/>
            <w:vAlign w:val="bottom"/>
            <w:tcBorders>
              <w:bottom w:val="single" w:sz="8" w:color="auto"/>
            </w:tcBorders>
          </w:tcPr>
          <w:p>
            <w:pPr>
              <w:spacing w:after="0"/>
              <w:rPr>
                <w:sz w:val="19"/>
                <w:szCs w:val="19"/>
                <w:color w:val="auto"/>
              </w:rPr>
            </w:pPr>
          </w:p>
        </w:tc>
      </w:tr>
      <w:tr>
        <w:trPr>
          <w:trHeight w:val="233"/>
        </w:trPr>
        <w:tc>
          <w:tcPr>
            <w:tcW w:w="5620" w:type="dxa"/>
            <w:vAlign w:val="bottom"/>
          </w:tcPr>
          <w:p>
            <w:pPr>
              <w:spacing w:after="0"/>
              <w:rPr>
                <w:sz w:val="20"/>
                <w:szCs w:val="20"/>
                <w:color w:val="auto"/>
              </w:rPr>
            </w:pPr>
          </w:p>
        </w:tc>
        <w:tc>
          <w:tcPr>
            <w:tcW w:w="1300" w:type="dxa"/>
            <w:vAlign w:val="bottom"/>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Valuation assumptions: </w:t>
            </w:r>
            <w:r>
              <w:rPr>
                <w:rFonts w:ascii="Times New Roman" w:cs="Times New Roman" w:eastAsia="Times New Roman" w:hAnsi="Times New Roman"/>
                <w:sz w:val="20"/>
                <w:szCs w:val="20"/>
                <w:color w:val="AAA6A1"/>
              </w:rPr>
              <w:t>.........................................................................</w:t>
            </w: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r>
      <w:tr>
        <w:trPr>
          <w:trHeight w:val="287"/>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Expected dividend yield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w:t>
            </w:r>
          </w:p>
        </w:tc>
      </w:tr>
      <w:tr>
        <w:trPr>
          <w:trHeight w:val="31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51.0 - 52.7%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r>
      <w:tr>
        <w:trPr>
          <w:trHeight w:val="287"/>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2.75 - 3.04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r>
      <w:tr>
        <w:trPr>
          <w:trHeight w:val="313"/>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Risk</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 xml:space="preserve">free interest rate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3.11 - 4.01%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w:t>
            </w:r>
          </w:p>
        </w:tc>
      </w:tr>
    </w:tbl>
    <w:p>
      <w:pPr>
        <w:spacing w:after="0" w:line="20" w:lineRule="exact"/>
        <w:rPr>
          <w:sz w:val="20"/>
          <w:szCs w:val="20"/>
          <w:color w:val="auto"/>
        </w:rPr>
      </w:pPr>
    </w:p>
    <w:p>
      <w:pPr>
        <w:spacing w:after="0" w:line="257"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20"/>
          <w:szCs w:val="20"/>
          <w:color w:val="auto"/>
        </w:rPr>
        <w:t>At June 30, 2025, there was $108,846 of total unrecognized compensation cost, net of estimated forfeitures, related to unvested RSUs, PSUs and MSUs. That cost is expected to be recognized over a weighted average period of 1.6 years.</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94" w:name="page95"/>
    <w:bookmarkEnd w:id="94"/>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t>The total of excess income tax benefits for stock-based compensation arrangements was $113,903 and $9,374 for the years ended June 30, 2023 and 2024, respectively. The Company recognized a tax shortfall of $2,598 for stock-based compensation arrangements for the year ended June 30, 2025. The tax impacts for all years were recognized through Income tax expense (benefit).</w:t>
      </w:r>
    </w:p>
    <w:p>
      <w:pPr>
        <w:spacing w:after="0" w:line="195" w:lineRule="exact"/>
        <w:rPr>
          <w:sz w:val="20"/>
          <w:szCs w:val="20"/>
          <w:color w:val="auto"/>
        </w:rPr>
      </w:pPr>
    </w:p>
    <w:p>
      <w:pPr>
        <w:ind w:left="1000" w:hanging="290"/>
        <w:spacing w:after="0"/>
        <w:tabs>
          <w:tab w:leader="none" w:pos="10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5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June 30, 2025, a total of 1,897 shares of common stock were reserved for future issuances under the ESPP.</w:t>
      </w:r>
    </w:p>
    <w:p>
      <w:pPr>
        <w:spacing w:after="0" w:line="25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Company issued a total of 127 shares upon the completion of its six-month offering periods ending November 15, 2024 and May 15, 2025. The Company recorded compensation expense attributable to the ESPP of $6,393, $6,378 and $5,988 for the years ended June 30, 2023, 2024 and 2025, respectively, which is included in the summary of stock-based compensation expense above. The grant date fair values of the ESPP offering periods were estimated using the following assumptions: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22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13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Valuation assumptions: </w:t>
            </w:r>
            <w:r>
              <w:rPr>
                <w:rFonts w:ascii="Times New Roman" w:cs="Times New Roman" w:eastAsia="Times New Roman" w:hAnsi="Times New Roman"/>
                <w:sz w:val="20"/>
                <w:szCs w:val="20"/>
                <w:color w:val="AAA6A1"/>
              </w:rPr>
              <w:t>.............................................................................</w:t>
            </w: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Expected dividend yield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w:t>
            </w:r>
          </w:p>
        </w:tc>
      </w:tr>
      <w:tr>
        <w:trPr>
          <w:trHeight w:val="31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Expected volatility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41.1 - 57.5%</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32.9 - 43.3%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31.3 - 33.4%</w:t>
            </w: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Expected term (years) </w:t>
            </w:r>
            <w:r>
              <w:rPr>
                <w:rFonts w:ascii="Times New Roman" w:cs="Times New Roman" w:eastAsia="Times New Roman" w:hAnsi="Times New Roman"/>
                <w:sz w:val="20"/>
                <w:szCs w:val="20"/>
                <w:color w:val="AAA6A1"/>
              </w:rPr>
              <w:t>..............................................................................</w:t>
            </w: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auto"/>
              </w:rPr>
              <w:t>0.5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0.5</w:t>
            </w:r>
          </w:p>
        </w:tc>
      </w:tr>
      <w:tr>
        <w:trPr>
          <w:trHeight w:val="31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Risk</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 xml:space="preserve">free interest rate </w:t>
            </w:r>
            <w:r>
              <w:rPr>
                <w:rFonts w:ascii="Times New Roman" w:cs="Times New Roman" w:eastAsia="Times New Roman" w:hAnsi="Times New Roman"/>
                <w:sz w:val="20"/>
                <w:szCs w:val="20"/>
                <w:color w:val="AAA6A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1.54 - 5.26%</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5.26 - 5.41%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4.30 - 5.41%</w:t>
            </w:r>
          </w:p>
        </w:tc>
      </w:tr>
    </w:tbl>
    <w:p>
      <w:pPr>
        <w:spacing w:after="0" w:line="20" w:lineRule="exact"/>
        <w:rPr>
          <w:sz w:val="20"/>
          <w:szCs w:val="20"/>
          <w:color w:val="auto"/>
        </w:rPr>
      </w:pP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b w:val="1"/>
          <w:bCs w:val="1"/>
          <w:i w:val="1"/>
          <w:iCs w:val="1"/>
          <w:color w:val="auto"/>
        </w:rPr>
        <w:t>401(k) Plan</w:t>
      </w:r>
    </w:p>
    <w:p>
      <w:pPr>
        <w:spacing w:after="0" w:line="255"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The Company maintains a 401(k) plan with a matching provision that covers all eligible employees. The Company matches 50% of employees’ contributions up to 8% of their gross pay. Contributions were $15,083, $17,377 and $18,946 for the years ended June 30, 2023, 2024 and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Commitments and Contingencies</w:t>
      </w:r>
    </w:p>
    <w:p>
      <w:pPr>
        <w:spacing w:after="0" w:line="252" w:lineRule="exact"/>
        <w:rPr>
          <w:sz w:val="20"/>
          <w:szCs w:val="20"/>
          <w:color w:val="auto"/>
        </w:rPr>
      </w:pPr>
    </w:p>
    <w:p>
      <w:pPr>
        <w:ind w:left="980" w:hanging="270"/>
        <w:spacing w:after="0"/>
        <w:tabs>
          <w:tab w:leader="none" w:pos="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Employment Agreements</w:t>
      </w:r>
    </w:p>
    <w:p>
      <w:pPr>
        <w:spacing w:after="0" w:line="255" w:lineRule="exact"/>
        <w:rPr>
          <w:sz w:val="20"/>
          <w:szCs w:val="20"/>
          <w:color w:val="auto"/>
        </w:rPr>
      </w:pPr>
    </w:p>
    <w:p>
      <w:pPr>
        <w:jc w:val="both"/>
        <w:ind w:right="520" w:firstLine="720"/>
        <w:spacing w:after="0" w:line="266" w:lineRule="auto"/>
        <w:rPr>
          <w:sz w:val="20"/>
          <w:szCs w:val="20"/>
          <w:color w:val="auto"/>
        </w:rPr>
      </w:pPr>
      <w:r>
        <w:rPr>
          <w:rFonts w:ascii="Times New Roman" w:cs="Times New Roman" w:eastAsia="Times New Roman" w:hAnsi="Times New Roman"/>
          <w:sz w:val="20"/>
          <w:szCs w:val="20"/>
          <w:color w:val="auto"/>
        </w:rPr>
        <w:t>The Company has employment agreements with certain of its key officers. The agreements allow for annual compensation increases, participation in equity incentive plans and bonuses for annual performance as well as certain change of control events as defined in the agreements.</w:t>
      </w:r>
    </w:p>
    <w:p>
      <w:pPr>
        <w:spacing w:after="0" w:line="190" w:lineRule="exact"/>
        <w:rPr>
          <w:sz w:val="20"/>
          <w:szCs w:val="20"/>
          <w:color w:val="auto"/>
        </w:rPr>
      </w:pPr>
    </w:p>
    <w:p>
      <w:pPr>
        <w:ind w:left="1000" w:hanging="290"/>
        <w:spacing w:after="0"/>
        <w:tabs>
          <w:tab w:leader="none" w:pos="10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15"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spacing w:after="0" w:line="204"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20"/>
          <w:szCs w:val="20"/>
          <w:color w:val="auto"/>
        </w:rPr>
        <w:t>On September 11, 2023, a second potential class action complaint was filed against the Company with the Circuit Court of Cook County that alleges violations of the Illinois Biometric Information Privacy Act that overlap with claims in the first action. On June 13, 2025, the Company settled this matter without a material impact on the Company’s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222885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222885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sectPr>
      </w:pPr>
    </w:p>
    <w:bookmarkStart w:id="95" w:name="page96"/>
    <w:bookmarkEnd w:id="95"/>
    <w:p>
      <w:pPr>
        <w:ind w:right="140" w:firstLine="720"/>
        <w:spacing w:after="0" w:line="25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t>Additionally, 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Net Income Per Share</w:t>
      </w:r>
    </w:p>
    <w:p>
      <w:pPr>
        <w:spacing w:after="0" w:line="257" w:lineRule="exact"/>
        <w:rPr>
          <w:sz w:val="20"/>
          <w:szCs w:val="20"/>
          <w:color w:val="auto"/>
        </w:rPr>
      </w:pPr>
    </w:p>
    <w:p>
      <w:pPr>
        <w:ind w:right="40" w:firstLine="720"/>
        <w:spacing w:after="0" w:line="257" w:lineRule="auto"/>
        <w:rPr>
          <w:sz w:val="20"/>
          <w:szCs w:val="20"/>
          <w:color w:val="auto"/>
        </w:rPr>
      </w:pPr>
      <w:r>
        <w:rPr>
          <w:rFonts w:ascii="Times New Roman" w:cs="Times New Roman" w:eastAsia="Times New Roman" w:hAnsi="Times New Roman"/>
          <w:sz w:val="20"/>
          <w:szCs w:val="20"/>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and the shares purchasable via the employee stock purchase plan as of the balance sheet date.</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presents the calculation of basic and diluted net income per share:</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xml:space="preserve">Numerator: </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income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140,822</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206,766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227,127</w:t>
            </w:r>
          </w:p>
        </w:tc>
      </w:tr>
      <w:tr>
        <w:trPr>
          <w:trHeight w:val="61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Denominator:</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Weighted-average shares used in computing net income per share:</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55,706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55,649</w:t>
            </w: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Weighted-average effect of potentially dilutive shares:</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9"/>
        </w:trPr>
        <w:tc>
          <w:tcPr>
            <w:tcW w:w="58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Employee stock options, restricted stock units, performance stock</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units and market stock units </w:t>
            </w:r>
            <w:r>
              <w:rPr>
                <w:rFonts w:ascii="Times New Roman" w:cs="Times New Roman" w:eastAsia="Times New Roman" w:hAnsi="Times New Roman"/>
                <w:sz w:val="20"/>
                <w:szCs w:val="20"/>
                <w:color w:val="AAA6A1"/>
              </w:rPr>
              <w:t>.................................................................</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901</w:t>
            </w:r>
          </w:p>
        </w:tc>
      </w:tr>
      <w:tr>
        <w:trPr>
          <w:trHeight w:val="277"/>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w:t>
            </w:r>
            <w:r>
              <w:rPr>
                <w:rFonts w:ascii="Times New Roman" w:cs="Times New Roman" w:eastAsia="Times New Roman" w:hAnsi="Times New Roman"/>
                <w:sz w:val="20"/>
                <w:szCs w:val="20"/>
                <w:color w:val="AAA6A1"/>
              </w:rPr>
              <w: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56,596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56,550</w:t>
            </w:r>
          </w:p>
        </w:tc>
      </w:tr>
      <w:tr>
        <w:trPr>
          <w:trHeight w:val="615"/>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income per share:</w:t>
            </w:r>
            <w:r>
              <w:rPr>
                <w:rFonts w:ascii="Times New Roman" w:cs="Times New Roman" w:eastAsia="Times New Roman" w:hAnsi="Times New Roman"/>
                <w:sz w:val="20"/>
                <w:szCs w:val="20"/>
                <w:color w:val="AAA6A1"/>
                <w:w w:val="99"/>
              </w:rPr>
              <w: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Basic </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4.08</w:t>
            </w:r>
          </w:p>
        </w:tc>
      </w:tr>
      <w:tr>
        <w:trPr>
          <w:trHeight w:val="300"/>
        </w:trPr>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w:t>
            </w:r>
            <w:r>
              <w:rPr>
                <w:rFonts w:ascii="Times New Roman" w:cs="Times New Roman" w:eastAsia="Times New Roman" w:hAnsi="Times New Roman"/>
                <w:sz w:val="20"/>
                <w:szCs w:val="20"/>
                <w:color w:val="AAA6A1"/>
              </w:rPr>
              <w:t>..................................................................................................</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4.02</w:t>
            </w:r>
          </w:p>
        </w:tc>
      </w:tr>
    </w:tbl>
    <w:p>
      <w:pPr>
        <w:spacing w:after="0" w:line="290" w:lineRule="exact"/>
        <w:rPr>
          <w:sz w:val="20"/>
          <w:szCs w:val="20"/>
          <w:color w:val="auto"/>
        </w:rPr>
      </w:pPr>
    </w:p>
    <w:p>
      <w:pPr>
        <w:ind w:right="380" w:firstLine="72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outstanding restricted stock units and market stock units as of the balance sheet date that were excluded from the diluted per share calculation for the periods presented because to include them would have been anti-dilutive:</w:t>
      </w:r>
    </w:p>
    <w:p>
      <w:pPr>
        <w:spacing w:after="0" w:line="28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Restricted stock units </w:t>
            </w:r>
            <w:r>
              <w:rPr>
                <w:rFonts w:ascii="Times New Roman" w:cs="Times New Roman" w:eastAsia="Times New Roman" w:hAnsi="Times New Roman"/>
                <w:sz w:val="20"/>
                <w:szCs w:val="20"/>
                <w:color w:val="AAA6A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8</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Market stock units </w:t>
            </w:r>
            <w:r>
              <w:rPr>
                <w:rFonts w:ascii="Times New Roman" w:cs="Times New Roman" w:eastAsia="Times New Roman" w:hAnsi="Times New Roman"/>
                <w:sz w:val="20"/>
                <w:szCs w:val="20"/>
                <w:color w:val="AAA6A1"/>
              </w:rPr>
              <w:t>.....................................................................................</w:t>
            </w: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68</w:t>
            </w:r>
          </w:p>
        </w:tc>
      </w:tr>
      <w:tr>
        <w:trPr>
          <w:trHeight w:val="260"/>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Total </w:t>
            </w:r>
            <w:r>
              <w:rPr>
                <w:rFonts w:ascii="Times New Roman" w:cs="Times New Roman" w:eastAsia="Times New Roman" w:hAnsi="Times New Roman"/>
                <w:sz w:val="20"/>
                <w:szCs w:val="20"/>
                <w:color w:val="AAA6A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76</w:t>
            </w:r>
          </w:p>
        </w:tc>
      </w:tr>
      <w:tr>
        <w:trPr>
          <w:trHeight w:val="20"/>
        </w:trPr>
        <w:tc>
          <w:tcPr>
            <w:tcW w:w="5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Segment Reporting</w:t>
      </w:r>
    </w:p>
    <w:p>
      <w:pPr>
        <w:spacing w:after="0" w:line="257" w:lineRule="exact"/>
        <w:rPr>
          <w:sz w:val="20"/>
          <w:szCs w:val="20"/>
          <w:color w:val="auto"/>
        </w:rPr>
      </w:pPr>
    </w:p>
    <w:p>
      <w:pPr>
        <w:ind w:right="40" w:firstLine="720"/>
        <w:spacing w:after="0" w:line="257" w:lineRule="auto"/>
        <w:rPr>
          <w:sz w:val="20"/>
          <w:szCs w:val="20"/>
          <w:color w:val="auto"/>
        </w:rPr>
      </w:pPr>
      <w:r>
        <w:rPr>
          <w:rFonts w:ascii="Times New Roman" w:cs="Times New Roman" w:eastAsia="Times New Roman" w:hAnsi="Times New Roman"/>
          <w:sz w:val="20"/>
          <w:szCs w:val="20"/>
          <w:color w:val="auto"/>
        </w:rPr>
        <w:t>As disclosed in Note 2, the Company determined that it operates as one reportable segment and derives revenues from customers by providing its human capital management, payroll and spend management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96" w:name="page97"/>
    <w:bookmarkEnd w:id="96"/>
    <w:p>
      <w:pPr>
        <w:jc w:val="both"/>
        <w:ind w:right="80" w:firstLine="72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table presents the Company’s revenue, significant expenses and other segment items as included in consolidated net income:</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5"/>
        </w:trPr>
        <w:tc>
          <w:tcPr>
            <w:tcW w:w="5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r>
              <w:rPr>
                <w:rFonts w:ascii="Times New Roman" w:cs="Times New Roman" w:eastAsia="Times New Roman" w:hAnsi="Times New Roman"/>
                <w:sz w:val="20"/>
                <w:szCs w:val="20"/>
                <w:color w:val="AAA6A1"/>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1,174,598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1,402,515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1,595,221</w:t>
            </w:r>
          </w:p>
        </w:tc>
      </w:tr>
      <w:tr>
        <w:trPr>
          <w:trHeight w:val="30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Adjusted cost of revenue</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(309,720)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(367,757)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(401,428)</w:t>
            </w:r>
          </w:p>
        </w:tc>
      </w:tr>
      <w:tr>
        <w:trPr>
          <w:trHeight w:val="32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Adjusted sales and marketing</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(258,318)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(297,944)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(335,775)</w:t>
            </w:r>
          </w:p>
        </w:tc>
      </w:tr>
      <w:tr>
        <w:trPr>
          <w:trHeight w:val="30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Adjusted research and development</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(139,109)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(165,063)</w:t>
            </w:r>
          </w:p>
        </w:tc>
      </w:tr>
      <w:tr>
        <w:trPr>
          <w:trHeight w:val="32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Adjusted general and administrative</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(129,319)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(130,575)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(148,618)</w:t>
            </w:r>
          </w:p>
        </w:tc>
      </w:tr>
      <w:tr>
        <w:trPr>
          <w:trHeight w:val="30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5,039</w:t>
            </w:r>
          </w:p>
        </w:tc>
      </w:tr>
      <w:tr>
        <w:trPr>
          <w:trHeight w:val="32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Income tax expense </w:t>
            </w:r>
            <w:r>
              <w:rPr>
                <w:rFonts w:ascii="Times New Roman" w:cs="Times New Roman" w:eastAsia="Times New Roman" w:hAnsi="Times New Roman"/>
                <w:sz w:val="20"/>
                <w:szCs w:val="20"/>
                <w:color w:val="AAA6A1"/>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(70,249)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(81,936)</w:t>
            </w:r>
          </w:p>
        </w:tc>
      </w:tr>
      <w:tr>
        <w:trPr>
          <w:trHeight w:val="30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0"/>
                <w:szCs w:val="20"/>
                <w:color w:val="AAA6A1"/>
              </w:rPr>
              <w: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(197,339)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(207,037)</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(240,313)</w:t>
            </w:r>
          </w:p>
        </w:tc>
      </w:tr>
      <w:tr>
        <w:trPr>
          <w:trHeight w:val="30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Net income </w:t>
            </w:r>
            <w:r>
              <w:rPr>
                <w:rFonts w:ascii="Times New Roman" w:cs="Times New Roman" w:eastAsia="Times New Roman" w:hAnsi="Times New Roman"/>
                <w:sz w:val="20"/>
                <w:szCs w:val="20"/>
                <w:color w:val="AAA6A1"/>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140,822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206,766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227,127</w:t>
            </w:r>
          </w:p>
        </w:tc>
      </w:tr>
    </w:tbl>
    <w:p>
      <w:pPr>
        <w:spacing w:after="0" w:line="20" w:lineRule="exact"/>
        <w:rPr>
          <w:sz w:val="20"/>
          <w:szCs w:val="20"/>
          <w:color w:val="auto"/>
        </w:rPr>
      </w:pPr>
    </w:p>
    <w:p>
      <w:pPr>
        <w:spacing w:after="0" w:line="257" w:lineRule="exact"/>
        <w:rPr>
          <w:sz w:val="20"/>
          <w:szCs w:val="20"/>
          <w:color w:val="auto"/>
        </w:rPr>
      </w:pPr>
    </w:p>
    <w:p>
      <w:pPr>
        <w:ind w:right="260" w:firstLine="720"/>
        <w:spacing w:after="0" w:line="283" w:lineRule="auto"/>
        <w:rPr>
          <w:sz w:val="20"/>
          <w:szCs w:val="20"/>
          <w:color w:val="auto"/>
        </w:rPr>
      </w:pPr>
      <w:r>
        <w:rPr>
          <w:rFonts w:ascii="Times New Roman" w:cs="Times New Roman" w:eastAsia="Times New Roman" w:hAnsi="Times New Roman"/>
          <w:sz w:val="20"/>
          <w:szCs w:val="20"/>
          <w:color w:val="auto"/>
        </w:rPr>
        <w:t>Other segment items primarily include amortization of capitalized internal-use software and acquired intangible assets and stock-based compensation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Subsequent Events</w:t>
      </w:r>
    </w:p>
    <w:p>
      <w:pPr>
        <w:spacing w:after="0" w:line="257"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auto"/>
        </w:rPr>
        <w:t>In July 2025, the Company’s board of directors approved an increase to the Company’s share repurchase program under which the Company is authorized to purchase (in the aggregate) an additional $500,000 of its issued and outstanding common stock. Refer to Note 15 for additional information about the Company’s share repurchase program.</w:t>
      </w:r>
    </w:p>
    <w:p>
      <w:pPr>
        <w:sectPr>
          <w:pgSz w:w="11880" w:h="15481" w:orient="portrait"/>
          <w:cols w:equalWidth="0" w:num="1">
            <w:col w:w="9900"/>
          </w:cols>
          <w:pgMar w:left="1000" w:top="398" w:right="98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230505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6901180</wp:posOffset>
            </wp:positionH>
            <wp:positionV relativeFrom="paragraph">
              <wp:posOffset>230505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1" w:orient="portrait"/>
          <w:cols w:equalWidth="0" w:num="1">
            <w:col w:w="9900"/>
          </w:cols>
          <w:pgMar w:left="1000" w:top="398" w:right="981" w:bottom="0" w:gutter="0" w:footer="0" w:header="0"/>
          <w:type w:val="continuous"/>
        </w:sectPr>
      </w:pPr>
    </w:p>
    <w:bookmarkStart w:id="97" w:name="page98"/>
    <w:bookmarkEnd w:id="97"/>
    <w:p>
      <w:pPr>
        <w:spacing w:after="0" w:line="20" w:lineRule="exact"/>
        <w:rPr>
          <w:sz w:val="20"/>
          <w:szCs w:val="20"/>
          <w:color w:val="auto"/>
        </w:rPr>
      </w:pPr>
    </w:p>
    <w:p>
      <w:pPr>
        <w:sectPr>
          <w:pgSz w:w="11880" w:h="15481"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rFonts w:ascii="Arial" w:cs="Arial" w:eastAsia="Arial" w:hAnsi="Arial"/>
          <w:sz w:val="40"/>
          <w:szCs w:val="40"/>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7">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Appendix A:</w:t>
      </w:r>
    </w:p>
    <w:p>
      <w:pPr>
        <w:spacing w:after="0" w:line="204" w:lineRule="exact"/>
        <w:rPr>
          <w:sz w:val="20"/>
          <w:szCs w:val="20"/>
          <w:color w:val="auto"/>
        </w:rPr>
      </w:pPr>
    </w:p>
    <w:p>
      <w:pPr>
        <w:ind w:right="1540"/>
        <w:spacing w:after="0" w:line="268" w:lineRule="auto"/>
        <w:rPr>
          <w:sz w:val="20"/>
          <w:szCs w:val="20"/>
          <w:color w:val="auto"/>
        </w:rPr>
      </w:pPr>
      <w:r>
        <w:rPr>
          <w:rFonts w:ascii="Arial" w:cs="Arial" w:eastAsia="Arial" w:hAnsi="Arial"/>
          <w:sz w:val="50"/>
          <w:szCs w:val="50"/>
          <w:b w:val="1"/>
          <w:bCs w:val="1"/>
          <w:color w:val="000005"/>
        </w:rPr>
        <w:t>Reconciliation of GAAP to Non-GAAP Financial Measures</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b w:val="1"/>
          <w:bCs w:val="1"/>
          <w:color w:val="000005"/>
        </w:rPr>
        <w:t>Long-Term Financial Targets</w:t>
      </w:r>
    </w:p>
    <w:p>
      <w:pPr>
        <w:spacing w:after="0" w:line="22" w:lineRule="exact"/>
        <w:rPr>
          <w:sz w:val="20"/>
          <w:szCs w:val="20"/>
          <w:color w:val="auto"/>
        </w:rPr>
      </w:pPr>
    </w:p>
    <w:p>
      <w:pPr>
        <w:ind w:right="280"/>
        <w:spacing w:after="0" w:line="263" w:lineRule="auto"/>
        <w:rPr>
          <w:sz w:val="20"/>
          <w:szCs w:val="20"/>
          <w:color w:val="auto"/>
        </w:rPr>
      </w:pPr>
      <w:r>
        <w:rPr>
          <w:rFonts w:ascii="Arial" w:cs="Arial" w:eastAsia="Arial" w:hAnsi="Arial"/>
          <w:sz w:val="20"/>
          <w:szCs w:val="20"/>
          <w:color w:val="000005"/>
        </w:rPr>
        <w:t>We are unable to reconcile the forward-looking non-GAAP financial measures of Adjusted Gross Profit, Non-GAAP total R&amp;D, Non-GAAP Sales and Marketing, Non-GAAP General &amp; Administrative, Adjusted EBITDA, and Free Cash Flow to their directly comparable GAAP financial measures, because the information needed to complete the reconciliations is unavailable at this time without unreasonable effort.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Pr>
          <w:p>
            <w:pPr>
              <w:ind w:left="60"/>
              <w:spacing w:after="0"/>
              <w:rPr>
                <w:sz w:val="20"/>
                <w:szCs w:val="20"/>
                <w:color w:val="auto"/>
              </w:rPr>
            </w:pPr>
            <w:r>
              <w:rPr>
                <w:rFonts w:ascii="Arial" w:cs="Arial" w:eastAsia="Arial" w:hAnsi="Arial"/>
                <w:sz w:val="24"/>
                <w:szCs w:val="24"/>
                <w:b w:val="1"/>
                <w:bCs w:val="1"/>
                <w:color w:val="000005"/>
              </w:rPr>
              <w:t xml:space="preserve">Adjusted EBITDA </w:t>
            </w:r>
            <w:r>
              <w:rPr>
                <w:rFonts w:ascii="Arial" w:cs="Arial" w:eastAsia="Arial" w:hAnsi="Arial"/>
                <w:sz w:val="16"/>
                <w:szCs w:val="16"/>
                <w:color w:val="000005"/>
              </w:rPr>
              <w:t>$ Millions</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6"/>
                <w:szCs w:val="16"/>
                <w:color w:val="000005"/>
              </w:rPr>
              <w:t>For the years ended June 30,</w:t>
            </w:r>
          </w:p>
        </w:tc>
        <w:tc>
          <w:tcPr>
            <w:tcW w:w="0" w:type="dxa"/>
            <w:vAlign w:val="bottom"/>
          </w:tcPr>
          <w:p>
            <w:pPr>
              <w:spacing w:after="0"/>
              <w:rPr>
                <w:sz w:val="1"/>
                <w:szCs w:val="1"/>
                <w:color w:val="auto"/>
              </w:rPr>
            </w:pPr>
          </w:p>
        </w:tc>
      </w:tr>
      <w:tr>
        <w:trPr>
          <w:trHeight w:val="350"/>
        </w:trPr>
        <w:tc>
          <w:tcPr>
            <w:tcW w:w="5040" w:type="dxa"/>
            <w:vAlign w:val="bottom"/>
          </w:tcPr>
          <w:p>
            <w:pPr>
              <w:ind w:left="100"/>
              <w:spacing w:after="0"/>
              <w:rPr>
                <w:sz w:val="20"/>
                <w:szCs w:val="20"/>
                <w:color w:val="auto"/>
              </w:rPr>
            </w:pPr>
            <w:r>
              <w:rPr>
                <w:rFonts w:ascii="Arial" w:cs="Arial" w:eastAsia="Arial" w:hAnsi="Arial"/>
                <w:sz w:val="16"/>
                <w:szCs w:val="16"/>
                <w:b w:val="1"/>
                <w:bCs w:val="1"/>
                <w:color w:val="FFFFFF"/>
                <w:w w:val="97"/>
              </w:rPr>
              <w:t>Reconciliation from Net income to Adjusted EBITDA and Adjusted</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FFFFFF"/>
              </w:rPr>
              <w:t>2022</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FFFFFF"/>
              </w:rPr>
              <w:t>2023</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FFFFFF"/>
              </w:rPr>
              <w:t>2024</w:t>
            </w: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2025</w:t>
            </w:r>
          </w:p>
        </w:tc>
        <w:tc>
          <w:tcPr>
            <w:tcW w:w="0" w:type="dxa"/>
            <w:vAlign w:val="bottom"/>
          </w:tcPr>
          <w:p>
            <w:pPr>
              <w:spacing w:after="0"/>
              <w:rPr>
                <w:sz w:val="1"/>
                <w:szCs w:val="1"/>
                <w:color w:val="auto"/>
              </w:rPr>
            </w:pPr>
          </w:p>
        </w:tc>
      </w:tr>
      <w:tr>
        <w:trPr>
          <w:trHeight w:val="122"/>
        </w:trPr>
        <w:tc>
          <w:tcPr>
            <w:tcW w:w="5040" w:type="dxa"/>
            <w:vAlign w:val="bottom"/>
            <w:vMerge w:val="restart"/>
          </w:tcPr>
          <w:p>
            <w:pPr>
              <w:ind w:left="100"/>
              <w:spacing w:after="0"/>
              <w:rPr>
                <w:sz w:val="20"/>
                <w:szCs w:val="20"/>
                <w:color w:val="auto"/>
              </w:rPr>
            </w:pPr>
            <w:r>
              <w:rPr>
                <w:rFonts w:ascii="Arial" w:cs="Arial" w:eastAsia="Arial" w:hAnsi="Arial"/>
                <w:sz w:val="16"/>
                <w:szCs w:val="16"/>
                <w:b w:val="1"/>
                <w:bCs w:val="1"/>
                <w:color w:val="FFFFFF"/>
              </w:rPr>
              <w:t>EBITDA excluding interest income on funds held for clients:</w:t>
            </w:r>
          </w:p>
        </w:tc>
        <w:tc>
          <w:tcPr>
            <w:tcW w:w="12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0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5040" w:type="dxa"/>
            <w:vAlign w:val="bottom"/>
            <w:vMerge w:val="restart"/>
          </w:tcPr>
          <w:p>
            <w:pPr>
              <w:ind w:left="100"/>
              <w:spacing w:after="0"/>
              <w:rPr>
                <w:sz w:val="20"/>
                <w:szCs w:val="20"/>
                <w:color w:val="auto"/>
              </w:rPr>
            </w:pPr>
            <w:r>
              <w:rPr>
                <w:rFonts w:ascii="Arial" w:cs="Arial" w:eastAsia="Arial" w:hAnsi="Arial"/>
                <w:sz w:val="16"/>
                <w:szCs w:val="16"/>
                <w:color w:val="000005"/>
              </w:rPr>
              <w:t>Net income</w:t>
            </w:r>
          </w:p>
        </w:tc>
        <w:tc>
          <w:tcPr>
            <w:tcW w:w="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000005"/>
              </w:rPr>
              <w:t>$ 90.8</w:t>
            </w:r>
          </w:p>
        </w:tc>
        <w:tc>
          <w:tcPr>
            <w:tcW w:w="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000005"/>
              </w:rPr>
              <w:t>$ 140.8</w:t>
            </w:r>
          </w:p>
        </w:tc>
        <w:tc>
          <w:tcPr>
            <w:tcW w:w="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000005"/>
              </w:rPr>
              <w:t>$ 206.8</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5040" w:type="dxa"/>
            <w:vAlign w:val="bottom"/>
            <w:vMerge w:val="continue"/>
          </w:tcPr>
          <w:p>
            <w:pPr>
              <w:spacing w:after="0"/>
              <w:rPr>
                <w:sz w:val="23"/>
                <w:szCs w:val="23"/>
                <w:color w:val="auto"/>
              </w:rPr>
            </w:pPr>
          </w:p>
        </w:tc>
        <w:tc>
          <w:tcPr>
            <w:tcW w:w="20" w:type="dxa"/>
            <w:vAlign w:val="bottom"/>
            <w:shd w:val="clear" w:color="auto" w:fill="D7D1C0"/>
          </w:tcPr>
          <w:p>
            <w:pPr>
              <w:spacing w:after="0"/>
              <w:rPr>
                <w:sz w:val="23"/>
                <w:szCs w:val="23"/>
                <w:color w:val="auto"/>
              </w:rPr>
            </w:pPr>
          </w:p>
        </w:tc>
        <w:tc>
          <w:tcPr>
            <w:tcW w:w="1240" w:type="dxa"/>
            <w:vAlign w:val="bottom"/>
            <w:vMerge w:val="continue"/>
          </w:tcPr>
          <w:p>
            <w:pPr>
              <w:spacing w:after="0"/>
              <w:rPr>
                <w:sz w:val="23"/>
                <w:szCs w:val="23"/>
                <w:color w:val="auto"/>
              </w:rPr>
            </w:pPr>
          </w:p>
        </w:tc>
        <w:tc>
          <w:tcPr>
            <w:tcW w:w="20" w:type="dxa"/>
            <w:vAlign w:val="bottom"/>
            <w:shd w:val="clear" w:color="auto" w:fill="D7D1C0"/>
          </w:tcPr>
          <w:p>
            <w:pPr>
              <w:spacing w:after="0"/>
              <w:rPr>
                <w:sz w:val="23"/>
                <w:szCs w:val="23"/>
                <w:color w:val="auto"/>
              </w:rPr>
            </w:pPr>
          </w:p>
        </w:tc>
        <w:tc>
          <w:tcPr>
            <w:tcW w:w="1240" w:type="dxa"/>
            <w:vAlign w:val="bottom"/>
            <w:vMerge w:val="continue"/>
          </w:tcPr>
          <w:p>
            <w:pPr>
              <w:spacing w:after="0"/>
              <w:rPr>
                <w:sz w:val="23"/>
                <w:szCs w:val="23"/>
                <w:color w:val="auto"/>
              </w:rPr>
            </w:pPr>
          </w:p>
        </w:tc>
        <w:tc>
          <w:tcPr>
            <w:tcW w:w="20" w:type="dxa"/>
            <w:vAlign w:val="bottom"/>
            <w:shd w:val="clear" w:color="auto" w:fill="D7D1C0"/>
          </w:tcPr>
          <w:p>
            <w:pPr>
              <w:spacing w:after="0"/>
              <w:rPr>
                <w:sz w:val="23"/>
                <w:szCs w:val="23"/>
                <w:color w:val="auto"/>
              </w:rPr>
            </w:pPr>
          </w:p>
        </w:tc>
        <w:tc>
          <w:tcPr>
            <w:tcW w:w="1240" w:type="dxa"/>
            <w:vAlign w:val="bottom"/>
            <w:vMerge w:val="continue"/>
          </w:tcPr>
          <w:p>
            <w:pPr>
              <w:spacing w:after="0"/>
              <w:rPr>
                <w:sz w:val="23"/>
                <w:szCs w:val="23"/>
                <w:color w:val="auto"/>
              </w:rPr>
            </w:pPr>
          </w:p>
        </w:tc>
        <w:tc>
          <w:tcPr>
            <w:tcW w:w="1260" w:type="dxa"/>
            <w:vAlign w:val="bottom"/>
            <w:tcBorders>
              <w:left w:val="single" w:sz="8" w:color="D5CFC1"/>
            </w:tcBorders>
          </w:tcPr>
          <w:p>
            <w:pPr>
              <w:jc w:val="right"/>
              <w:spacing w:after="0"/>
              <w:rPr>
                <w:sz w:val="20"/>
                <w:szCs w:val="20"/>
                <w:color w:val="auto"/>
              </w:rPr>
            </w:pPr>
            <w:r>
              <w:rPr>
                <w:rFonts w:ascii="Arial" w:cs="Arial" w:eastAsia="Arial" w:hAnsi="Arial"/>
                <w:sz w:val="16"/>
                <w:szCs w:val="16"/>
                <w:color w:val="000005"/>
              </w:rPr>
              <w:t>$ 227.1</w:t>
            </w:r>
          </w:p>
        </w:tc>
        <w:tc>
          <w:tcPr>
            <w:tcW w:w="0" w:type="dxa"/>
            <w:vAlign w:val="bottom"/>
          </w:tcPr>
          <w:p>
            <w:pPr>
              <w:spacing w:after="0"/>
              <w:rPr>
                <w:sz w:val="1"/>
                <w:szCs w:val="1"/>
                <w:color w:val="auto"/>
              </w:rPr>
            </w:pPr>
          </w:p>
        </w:tc>
      </w:tr>
      <w:tr>
        <w:trPr>
          <w:trHeight w:val="73"/>
        </w:trPr>
        <w:tc>
          <w:tcPr>
            <w:tcW w:w="50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1260" w:type="dxa"/>
            <w:vAlign w:val="bottom"/>
            <w:tcBorders>
              <w:left w:val="single" w:sz="8" w:color="D5CFC1"/>
              <w:bottom w:val="single" w:sz="8" w:color="D7D1C0"/>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5040" w:type="dxa"/>
            <w:vAlign w:val="bottom"/>
          </w:tcPr>
          <w:p>
            <w:pPr>
              <w:ind w:left="100"/>
              <w:spacing w:after="0"/>
              <w:rPr>
                <w:sz w:val="20"/>
                <w:szCs w:val="20"/>
                <w:color w:val="auto"/>
              </w:rPr>
            </w:pPr>
            <w:r>
              <w:rPr>
                <w:rFonts w:ascii="Arial" w:cs="Arial" w:eastAsia="Arial" w:hAnsi="Arial"/>
                <w:sz w:val="16"/>
                <w:szCs w:val="16"/>
                <w:color w:val="000005"/>
              </w:rPr>
              <w:t>Interest expense</w:t>
            </w:r>
          </w:p>
        </w:tc>
        <w:tc>
          <w:tcPr>
            <w:tcW w:w="20" w:type="dxa"/>
            <w:vAlign w:val="bottom"/>
            <w:tcBorders>
              <w:bottom w:val="single" w:sz="8" w:color="D7D1C0"/>
            </w:tcBorders>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0.5</w:t>
            </w:r>
          </w:p>
        </w:tc>
        <w:tc>
          <w:tcPr>
            <w:tcW w:w="20" w:type="dxa"/>
            <w:vAlign w:val="bottom"/>
            <w:tcBorders>
              <w:bottom w:val="single" w:sz="8" w:color="D7D1C0"/>
            </w:tcBorders>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0.7</w:t>
            </w:r>
          </w:p>
        </w:tc>
        <w:tc>
          <w:tcPr>
            <w:tcW w:w="20" w:type="dxa"/>
            <w:vAlign w:val="bottom"/>
            <w:tcBorders>
              <w:bottom w:val="single" w:sz="8" w:color="D7D1C0"/>
            </w:tcBorders>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0.8</w:t>
            </w:r>
          </w:p>
        </w:tc>
        <w:tc>
          <w:tcPr>
            <w:tcW w:w="1260" w:type="dxa"/>
            <w:vAlign w:val="bottom"/>
            <w:tcBorders>
              <w:left w:val="single" w:sz="8" w:color="D5CFC1"/>
            </w:tcBorders>
          </w:tcPr>
          <w:p>
            <w:pPr>
              <w:jc w:val="right"/>
              <w:spacing w:after="0"/>
              <w:rPr>
                <w:sz w:val="20"/>
                <w:szCs w:val="20"/>
                <w:color w:val="auto"/>
              </w:rPr>
            </w:pPr>
            <w:r>
              <w:rPr>
                <w:rFonts w:ascii="Arial" w:cs="Arial" w:eastAsia="Arial" w:hAnsi="Arial"/>
                <w:sz w:val="16"/>
                <w:szCs w:val="16"/>
                <w:color w:val="000005"/>
              </w:rPr>
              <w:t>13.1</w:t>
            </w:r>
          </w:p>
        </w:tc>
        <w:tc>
          <w:tcPr>
            <w:tcW w:w="0" w:type="dxa"/>
            <w:vAlign w:val="bottom"/>
          </w:tcPr>
          <w:p>
            <w:pPr>
              <w:spacing w:after="0"/>
              <w:rPr>
                <w:sz w:val="1"/>
                <w:szCs w:val="1"/>
                <w:color w:val="auto"/>
              </w:rPr>
            </w:pPr>
          </w:p>
        </w:tc>
      </w:tr>
      <w:tr>
        <w:trPr>
          <w:trHeight w:val="279"/>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000005"/>
              </w:rPr>
              <w:t>Income tax expense (benefit)</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(7.2)</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17.8</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70.2</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color w:val="000005"/>
              </w:rPr>
              <w:t>81.9</w:t>
            </w:r>
          </w:p>
        </w:tc>
        <w:tc>
          <w:tcPr>
            <w:tcW w:w="0" w:type="dxa"/>
            <w:vAlign w:val="bottom"/>
          </w:tcPr>
          <w:p>
            <w:pPr>
              <w:spacing w:after="0"/>
              <w:rPr>
                <w:sz w:val="1"/>
                <w:szCs w:val="1"/>
                <w:color w:val="auto"/>
              </w:rPr>
            </w:pPr>
          </w:p>
        </w:tc>
      </w:tr>
      <w:tr>
        <w:trPr>
          <w:trHeight w:val="275"/>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000005"/>
              </w:rPr>
              <w:t>Depreciation and amortization expense</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50.2</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60.9</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76.4</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color w:val="000005"/>
              </w:rPr>
              <w:t>99.6</w:t>
            </w:r>
          </w:p>
        </w:tc>
        <w:tc>
          <w:tcPr>
            <w:tcW w:w="0" w:type="dxa"/>
            <w:vAlign w:val="bottom"/>
          </w:tcPr>
          <w:p>
            <w:pPr>
              <w:spacing w:after="0"/>
              <w:rPr>
                <w:sz w:val="1"/>
                <w:szCs w:val="1"/>
                <w:color w:val="auto"/>
              </w:rPr>
            </w:pPr>
          </w:p>
        </w:tc>
      </w:tr>
      <w:tr>
        <w:trPr>
          <w:trHeight w:val="279"/>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b w:val="1"/>
                <w:bCs w:val="1"/>
                <w:color w:val="000005"/>
              </w:rPr>
              <w:t>EBITDA</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b w:val="1"/>
                <w:bCs w:val="1"/>
                <w:color w:val="000005"/>
              </w:rPr>
              <w:t>$ 134.3</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b w:val="1"/>
                <w:bCs w:val="1"/>
                <w:color w:val="000005"/>
              </w:rPr>
              <w:t>$ 220.2</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b w:val="1"/>
                <w:bCs w:val="1"/>
                <w:color w:val="000005"/>
              </w:rPr>
              <w:t>$ 354.2</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b w:val="1"/>
                <w:bCs w:val="1"/>
                <w:color w:val="000005"/>
              </w:rPr>
              <w:t>$ 421.8</w:t>
            </w:r>
          </w:p>
        </w:tc>
        <w:tc>
          <w:tcPr>
            <w:tcW w:w="0" w:type="dxa"/>
            <w:vAlign w:val="bottom"/>
          </w:tcPr>
          <w:p>
            <w:pPr>
              <w:spacing w:after="0"/>
              <w:rPr>
                <w:sz w:val="1"/>
                <w:szCs w:val="1"/>
                <w:color w:val="auto"/>
              </w:rPr>
            </w:pPr>
          </w:p>
        </w:tc>
      </w:tr>
      <w:tr>
        <w:trPr>
          <w:trHeight w:val="220"/>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000005"/>
              </w:rPr>
              <w:t>Stock-based compensation expense and employer payroll</w:t>
            </w:r>
          </w:p>
        </w:tc>
        <w:tc>
          <w:tcPr>
            <w:tcW w:w="20" w:type="dxa"/>
            <w:vAlign w:val="bottom"/>
            <w:tcBorders>
              <w:top w:val="single" w:sz="8" w:color="D7D1C0"/>
            </w:tcBorders>
            <w:shd w:val="clear" w:color="auto" w:fill="D7D1C0"/>
          </w:tcPr>
          <w:p>
            <w:pPr>
              <w:spacing w:after="0"/>
              <w:rPr>
                <w:sz w:val="19"/>
                <w:szCs w:val="19"/>
                <w:color w:val="auto"/>
              </w:rPr>
            </w:pPr>
          </w:p>
        </w:tc>
        <w:tc>
          <w:tcPr>
            <w:tcW w:w="1240" w:type="dxa"/>
            <w:vAlign w:val="bottom"/>
            <w:tcBorders>
              <w:top w:val="single" w:sz="8" w:color="D7D1C0"/>
            </w:tcBorders>
            <w:vMerge w:val="restart"/>
          </w:tcPr>
          <w:p>
            <w:pPr>
              <w:jc w:val="right"/>
              <w:spacing w:after="0"/>
              <w:rPr>
                <w:sz w:val="20"/>
                <w:szCs w:val="20"/>
                <w:color w:val="auto"/>
              </w:rPr>
            </w:pPr>
            <w:r>
              <w:rPr>
                <w:rFonts w:ascii="Arial" w:cs="Arial" w:eastAsia="Arial" w:hAnsi="Arial"/>
                <w:sz w:val="16"/>
                <w:szCs w:val="16"/>
                <w:color w:val="000005"/>
              </w:rPr>
              <w:t>101.1</w:t>
            </w:r>
          </w:p>
        </w:tc>
        <w:tc>
          <w:tcPr>
            <w:tcW w:w="20" w:type="dxa"/>
            <w:vAlign w:val="bottom"/>
            <w:tcBorders>
              <w:top w:val="single" w:sz="8" w:color="D7D1C0"/>
            </w:tcBorders>
            <w:shd w:val="clear" w:color="auto" w:fill="D7D1C0"/>
          </w:tcPr>
          <w:p>
            <w:pPr>
              <w:spacing w:after="0"/>
              <w:rPr>
                <w:sz w:val="19"/>
                <w:szCs w:val="19"/>
                <w:color w:val="auto"/>
              </w:rPr>
            </w:pPr>
          </w:p>
        </w:tc>
        <w:tc>
          <w:tcPr>
            <w:tcW w:w="1240" w:type="dxa"/>
            <w:vAlign w:val="bottom"/>
            <w:tcBorders>
              <w:top w:val="single" w:sz="8" w:color="D7D1C0"/>
            </w:tcBorders>
            <w:vMerge w:val="restart"/>
          </w:tcPr>
          <w:p>
            <w:pPr>
              <w:jc w:val="right"/>
              <w:spacing w:after="0"/>
              <w:rPr>
                <w:sz w:val="20"/>
                <w:szCs w:val="20"/>
                <w:color w:val="auto"/>
              </w:rPr>
            </w:pPr>
            <w:r>
              <w:rPr>
                <w:rFonts w:ascii="Arial" w:cs="Arial" w:eastAsia="Arial" w:hAnsi="Arial"/>
                <w:sz w:val="16"/>
                <w:szCs w:val="16"/>
                <w:color w:val="000005"/>
              </w:rPr>
              <w:t>154.5</w:t>
            </w:r>
          </w:p>
        </w:tc>
        <w:tc>
          <w:tcPr>
            <w:tcW w:w="20" w:type="dxa"/>
            <w:vAlign w:val="bottom"/>
            <w:tcBorders>
              <w:top w:val="single" w:sz="8" w:color="D7D1C0"/>
            </w:tcBorders>
            <w:shd w:val="clear" w:color="auto" w:fill="D7D1C0"/>
          </w:tcPr>
          <w:p>
            <w:pPr>
              <w:spacing w:after="0"/>
              <w:rPr>
                <w:sz w:val="19"/>
                <w:szCs w:val="19"/>
                <w:color w:val="auto"/>
              </w:rPr>
            </w:pPr>
          </w:p>
        </w:tc>
        <w:tc>
          <w:tcPr>
            <w:tcW w:w="1240" w:type="dxa"/>
            <w:vAlign w:val="bottom"/>
            <w:tcBorders>
              <w:top w:val="single" w:sz="8" w:color="D7D1C0"/>
            </w:tcBorders>
            <w:vMerge w:val="restart"/>
          </w:tcPr>
          <w:p>
            <w:pPr>
              <w:jc w:val="right"/>
              <w:spacing w:after="0"/>
              <w:rPr>
                <w:sz w:val="20"/>
                <w:szCs w:val="20"/>
                <w:color w:val="auto"/>
              </w:rPr>
            </w:pPr>
            <w:r>
              <w:rPr>
                <w:rFonts w:ascii="Arial" w:cs="Arial" w:eastAsia="Arial" w:hAnsi="Arial"/>
                <w:sz w:val="16"/>
                <w:szCs w:val="16"/>
                <w:color w:val="000005"/>
              </w:rPr>
              <w:t>152.5</w:t>
            </w:r>
          </w:p>
        </w:tc>
        <w:tc>
          <w:tcPr>
            <w:tcW w:w="1260" w:type="dxa"/>
            <w:vAlign w:val="bottom"/>
            <w:tcBorders>
              <w:top w:val="single" w:sz="8" w:color="D7D1C0"/>
              <w:left w:val="single" w:sz="8" w:color="D5CFC1"/>
            </w:tcBorders>
            <w:vMerge w:val="restart"/>
          </w:tcPr>
          <w:p>
            <w:pPr>
              <w:jc w:val="right"/>
              <w:spacing w:after="0"/>
              <w:rPr>
                <w:sz w:val="20"/>
                <w:szCs w:val="20"/>
                <w:color w:val="auto"/>
              </w:rPr>
            </w:pPr>
            <w:r>
              <w:rPr>
                <w:rFonts w:ascii="Arial" w:cs="Arial" w:eastAsia="Arial" w:hAnsi="Arial"/>
                <w:sz w:val="16"/>
                <w:szCs w:val="16"/>
                <w:color w:val="000005"/>
              </w:rPr>
              <w:t>150.1</w:t>
            </w:r>
          </w:p>
        </w:tc>
        <w:tc>
          <w:tcPr>
            <w:tcW w:w="0" w:type="dxa"/>
            <w:vAlign w:val="bottom"/>
          </w:tcPr>
          <w:p>
            <w:pPr>
              <w:spacing w:after="0"/>
              <w:rPr>
                <w:sz w:val="1"/>
                <w:szCs w:val="1"/>
                <w:color w:val="auto"/>
              </w:rPr>
            </w:pPr>
          </w:p>
        </w:tc>
      </w:tr>
      <w:tr>
        <w:trPr>
          <w:trHeight w:val="112"/>
        </w:trPr>
        <w:tc>
          <w:tcPr>
            <w:tcW w:w="5040" w:type="dxa"/>
            <w:vAlign w:val="bottom"/>
            <w:vMerge w:val="restart"/>
          </w:tcPr>
          <w:p>
            <w:pPr>
              <w:ind w:left="100"/>
              <w:spacing w:after="0"/>
              <w:rPr>
                <w:sz w:val="20"/>
                <w:szCs w:val="20"/>
                <w:color w:val="auto"/>
              </w:rPr>
            </w:pPr>
            <w:r>
              <w:rPr>
                <w:rFonts w:ascii="Arial" w:cs="Arial" w:eastAsia="Arial" w:hAnsi="Arial"/>
                <w:sz w:val="16"/>
                <w:szCs w:val="16"/>
                <w:color w:val="000005"/>
              </w:rPr>
              <w:t>taxes related to stock releases and option exercises</w:t>
            </w:r>
          </w:p>
        </w:tc>
        <w:tc>
          <w:tcPr>
            <w:tcW w:w="20" w:type="dxa"/>
            <w:vAlign w:val="bottom"/>
            <w:shd w:val="clear" w:color="auto" w:fill="D7D1C0"/>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shd w:val="clear" w:color="auto" w:fill="D7D1C0"/>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shd w:val="clear" w:color="auto" w:fill="D7D1C0"/>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tcBorders>
              <w:left w:val="single" w:sz="8" w:color="D5CFC1"/>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040" w:type="dxa"/>
            <w:vAlign w:val="bottom"/>
            <w:vMerge w:val="continue"/>
          </w:tcPr>
          <w:p>
            <w:pPr>
              <w:spacing w:after="0"/>
              <w:rPr>
                <w:sz w:val="12"/>
                <w:szCs w:val="12"/>
                <w:color w:val="auto"/>
              </w:rPr>
            </w:pPr>
          </w:p>
        </w:tc>
        <w:tc>
          <w:tcPr>
            <w:tcW w:w="20" w:type="dxa"/>
            <w:vAlign w:val="bottom"/>
            <w:tcBorders>
              <w:bottom w:val="single" w:sz="8" w:color="D7D1C0"/>
            </w:tcBorders>
            <w:shd w:val="clear" w:color="auto" w:fill="D7D1C0"/>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Borders>
              <w:bottom w:val="single" w:sz="8" w:color="D7D1C0"/>
            </w:tcBorders>
            <w:shd w:val="clear" w:color="auto" w:fill="D7D1C0"/>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Borders>
              <w:bottom w:val="single" w:sz="8" w:color="D7D1C0"/>
            </w:tcBorders>
            <w:shd w:val="clear" w:color="auto" w:fill="D7D1C0"/>
          </w:tcPr>
          <w:p>
            <w:pPr>
              <w:spacing w:after="0"/>
              <w:rPr>
                <w:sz w:val="12"/>
                <w:szCs w:val="12"/>
                <w:color w:val="auto"/>
              </w:rPr>
            </w:pPr>
          </w:p>
        </w:tc>
        <w:tc>
          <w:tcPr>
            <w:tcW w:w="1240" w:type="dxa"/>
            <w:vAlign w:val="bottom"/>
          </w:tcPr>
          <w:p>
            <w:pPr>
              <w:spacing w:after="0"/>
              <w:rPr>
                <w:sz w:val="12"/>
                <w:szCs w:val="12"/>
                <w:color w:val="auto"/>
              </w:rPr>
            </w:pPr>
          </w:p>
        </w:tc>
        <w:tc>
          <w:tcPr>
            <w:tcW w:w="1260" w:type="dxa"/>
            <w:vAlign w:val="bottom"/>
            <w:tcBorders>
              <w:left w:val="single" w:sz="8" w:color="D5CFC1"/>
            </w:tcBorders>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000005"/>
              </w:rPr>
              <w:t>Other items(1)</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2.4</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0.5</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(1.1)</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color w:val="000005"/>
              </w:rPr>
              <w:t>11.2</w:t>
            </w:r>
          </w:p>
        </w:tc>
        <w:tc>
          <w:tcPr>
            <w:tcW w:w="0" w:type="dxa"/>
            <w:vAlign w:val="bottom"/>
          </w:tcPr>
          <w:p>
            <w:pPr>
              <w:spacing w:after="0"/>
              <w:rPr>
                <w:sz w:val="1"/>
                <w:szCs w:val="1"/>
                <w:color w:val="auto"/>
              </w:rPr>
            </w:pPr>
          </w:p>
        </w:tc>
      </w:tr>
      <w:tr>
        <w:trPr>
          <w:trHeight w:val="266"/>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b w:val="1"/>
                <w:bCs w:val="1"/>
                <w:color w:val="000005"/>
              </w:rPr>
              <w:t>Adjusted EBITDA</w:t>
            </w:r>
          </w:p>
        </w:tc>
        <w:tc>
          <w:tcPr>
            <w:tcW w:w="20" w:type="dxa"/>
            <w:vAlign w:val="bottom"/>
            <w:tcBorders>
              <w:top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b w:val="1"/>
                <w:bCs w:val="1"/>
                <w:color w:val="000005"/>
              </w:rPr>
              <w:t>$ 237.8</w:t>
            </w:r>
          </w:p>
        </w:tc>
        <w:tc>
          <w:tcPr>
            <w:tcW w:w="20" w:type="dxa"/>
            <w:vAlign w:val="bottom"/>
            <w:tcBorders>
              <w:top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b w:val="1"/>
                <w:bCs w:val="1"/>
                <w:color w:val="000005"/>
              </w:rPr>
              <w:t>$ 375.2</w:t>
            </w:r>
          </w:p>
        </w:tc>
        <w:tc>
          <w:tcPr>
            <w:tcW w:w="20" w:type="dxa"/>
            <w:vAlign w:val="bottom"/>
            <w:tcBorders>
              <w:top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b w:val="1"/>
                <w:bCs w:val="1"/>
                <w:color w:val="000005"/>
              </w:rPr>
              <w:t>$ 505.6</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b w:val="1"/>
                <w:bCs w:val="1"/>
                <w:color w:val="000005"/>
              </w:rPr>
              <w:t>$ 583.0</w:t>
            </w:r>
          </w:p>
        </w:tc>
        <w:tc>
          <w:tcPr>
            <w:tcW w:w="0" w:type="dxa"/>
            <w:vAlign w:val="bottom"/>
          </w:tcPr>
          <w:p>
            <w:pPr>
              <w:spacing w:after="0"/>
              <w:rPr>
                <w:sz w:val="1"/>
                <w:szCs w:val="1"/>
                <w:color w:val="auto"/>
              </w:rPr>
            </w:pPr>
          </w:p>
        </w:tc>
      </w:tr>
      <w:tr>
        <w:trPr>
          <w:trHeight w:val="74"/>
        </w:trPr>
        <w:tc>
          <w:tcPr>
            <w:tcW w:w="50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1260" w:type="dxa"/>
            <w:vAlign w:val="bottom"/>
            <w:tcBorders>
              <w:left w:val="single" w:sz="8" w:color="D5CFC1"/>
              <w:bottom w:val="single" w:sz="8" w:color="D7D1C0"/>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5040" w:type="dxa"/>
            <w:vAlign w:val="bottom"/>
          </w:tcPr>
          <w:p>
            <w:pPr>
              <w:ind w:left="100"/>
              <w:spacing w:after="0"/>
              <w:rPr>
                <w:sz w:val="20"/>
                <w:szCs w:val="20"/>
                <w:color w:val="auto"/>
              </w:rPr>
            </w:pPr>
            <w:r>
              <w:rPr>
                <w:rFonts w:ascii="Arial" w:cs="Arial" w:eastAsia="Arial" w:hAnsi="Arial"/>
                <w:sz w:val="16"/>
                <w:szCs w:val="16"/>
                <w:color w:val="000005"/>
              </w:rPr>
              <w:t>Interest income on funds held for clients</w:t>
            </w:r>
          </w:p>
        </w:tc>
        <w:tc>
          <w:tcPr>
            <w:tcW w:w="20" w:type="dxa"/>
            <w:vAlign w:val="bottom"/>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(5.0)</w:t>
            </w:r>
          </w:p>
        </w:tc>
        <w:tc>
          <w:tcPr>
            <w:tcW w:w="20" w:type="dxa"/>
            <w:vAlign w:val="bottom"/>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(76.6)</w:t>
            </w:r>
          </w:p>
        </w:tc>
        <w:tc>
          <w:tcPr>
            <w:tcW w:w="20" w:type="dxa"/>
            <w:vAlign w:val="bottom"/>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(120.9)</w:t>
            </w:r>
          </w:p>
        </w:tc>
        <w:tc>
          <w:tcPr>
            <w:tcW w:w="1260" w:type="dxa"/>
            <w:vAlign w:val="bottom"/>
            <w:tcBorders>
              <w:left w:val="single" w:sz="8" w:color="D5CFC1"/>
            </w:tcBorders>
          </w:tcPr>
          <w:p>
            <w:pPr>
              <w:jc w:val="right"/>
              <w:spacing w:after="0"/>
              <w:rPr>
                <w:sz w:val="20"/>
                <w:szCs w:val="20"/>
                <w:color w:val="auto"/>
              </w:rPr>
            </w:pPr>
            <w:r>
              <w:rPr>
                <w:rFonts w:ascii="Arial" w:cs="Arial" w:eastAsia="Arial" w:hAnsi="Arial"/>
                <w:sz w:val="16"/>
                <w:szCs w:val="16"/>
                <w:color w:val="000005"/>
              </w:rPr>
              <w:t>(123.4)</w:t>
            </w:r>
          </w:p>
        </w:tc>
        <w:tc>
          <w:tcPr>
            <w:tcW w:w="0" w:type="dxa"/>
            <w:vAlign w:val="bottom"/>
          </w:tcPr>
          <w:p>
            <w:pPr>
              <w:spacing w:after="0"/>
              <w:rPr>
                <w:sz w:val="1"/>
                <w:szCs w:val="1"/>
                <w:color w:val="auto"/>
              </w:rPr>
            </w:pPr>
          </w:p>
        </w:tc>
      </w:tr>
      <w:tr>
        <w:trPr>
          <w:trHeight w:val="75"/>
        </w:trPr>
        <w:tc>
          <w:tcPr>
            <w:tcW w:w="50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1260" w:type="dxa"/>
            <w:vAlign w:val="bottom"/>
            <w:tcBorders>
              <w:left w:val="single" w:sz="8" w:color="D5CFC1"/>
              <w:bottom w:val="single" w:sz="8" w:color="D7D1C0"/>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040" w:type="dxa"/>
            <w:vAlign w:val="bottom"/>
          </w:tcPr>
          <w:p>
            <w:pPr>
              <w:ind w:left="100"/>
              <w:spacing w:after="0"/>
              <w:rPr>
                <w:sz w:val="20"/>
                <w:szCs w:val="20"/>
                <w:color w:val="auto"/>
              </w:rPr>
            </w:pPr>
            <w:r>
              <w:rPr>
                <w:rFonts w:ascii="Arial" w:cs="Arial" w:eastAsia="Arial" w:hAnsi="Arial"/>
                <w:sz w:val="16"/>
                <w:szCs w:val="16"/>
                <w:b w:val="1"/>
                <w:bCs w:val="1"/>
                <w:color w:val="000005"/>
              </w:rPr>
              <w:t>Adjusted EBITDA excluding interest income</w:t>
            </w:r>
          </w:p>
        </w:tc>
        <w:tc>
          <w:tcPr>
            <w:tcW w:w="20" w:type="dxa"/>
            <w:vAlign w:val="bottom"/>
            <w:shd w:val="clear" w:color="auto" w:fill="D7D1C0"/>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0005"/>
              </w:rPr>
              <w:t>$ 232.8</w:t>
            </w:r>
          </w:p>
        </w:tc>
        <w:tc>
          <w:tcPr>
            <w:tcW w:w="20" w:type="dxa"/>
            <w:vAlign w:val="bottom"/>
            <w:shd w:val="clear" w:color="auto" w:fill="D7D1C0"/>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0005"/>
              </w:rPr>
              <w:t>$ 298.6</w:t>
            </w:r>
          </w:p>
        </w:tc>
        <w:tc>
          <w:tcPr>
            <w:tcW w:w="20" w:type="dxa"/>
            <w:vAlign w:val="bottom"/>
            <w:shd w:val="clear" w:color="auto" w:fill="D7D1C0"/>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000005"/>
              </w:rPr>
              <w:t>$ 384.7</w:t>
            </w:r>
          </w:p>
        </w:tc>
        <w:tc>
          <w:tcPr>
            <w:tcW w:w="1260" w:type="dxa"/>
            <w:vAlign w:val="bottom"/>
            <w:tcBorders>
              <w:left w:val="single" w:sz="8" w:color="D5CFC1"/>
            </w:tcBorders>
            <w:vMerge w:val="restart"/>
          </w:tcPr>
          <w:p>
            <w:pPr>
              <w:jc w:val="right"/>
              <w:spacing w:after="0"/>
              <w:rPr>
                <w:sz w:val="20"/>
                <w:szCs w:val="20"/>
                <w:color w:val="auto"/>
              </w:rPr>
            </w:pPr>
            <w:r>
              <w:rPr>
                <w:rFonts w:ascii="Arial" w:cs="Arial" w:eastAsia="Arial" w:hAnsi="Arial"/>
                <w:sz w:val="16"/>
                <w:szCs w:val="16"/>
                <w:b w:val="1"/>
                <w:bCs w:val="1"/>
                <w:color w:val="000005"/>
              </w:rPr>
              <w:t>$ 459.6</w:t>
            </w:r>
          </w:p>
        </w:tc>
        <w:tc>
          <w:tcPr>
            <w:tcW w:w="0" w:type="dxa"/>
            <w:vAlign w:val="bottom"/>
          </w:tcPr>
          <w:p>
            <w:pPr>
              <w:spacing w:after="0"/>
              <w:rPr>
                <w:sz w:val="1"/>
                <w:szCs w:val="1"/>
                <w:color w:val="auto"/>
              </w:rPr>
            </w:pPr>
          </w:p>
        </w:tc>
      </w:tr>
      <w:tr>
        <w:trPr>
          <w:trHeight w:val="122"/>
        </w:trPr>
        <w:tc>
          <w:tcPr>
            <w:tcW w:w="5040" w:type="dxa"/>
            <w:vAlign w:val="bottom"/>
            <w:vMerge w:val="restart"/>
          </w:tcPr>
          <w:p>
            <w:pPr>
              <w:ind w:left="100"/>
              <w:spacing w:after="0"/>
              <w:rPr>
                <w:sz w:val="20"/>
                <w:szCs w:val="20"/>
                <w:color w:val="auto"/>
              </w:rPr>
            </w:pPr>
            <w:r>
              <w:rPr>
                <w:rFonts w:ascii="Arial" w:cs="Arial" w:eastAsia="Arial" w:hAnsi="Arial"/>
                <w:sz w:val="16"/>
                <w:szCs w:val="16"/>
                <w:b w:val="1"/>
                <w:bCs w:val="1"/>
                <w:color w:val="000005"/>
              </w:rPr>
              <w:t>on funds held for clients</w:t>
            </w:r>
          </w:p>
        </w:tc>
        <w:tc>
          <w:tcPr>
            <w:tcW w:w="20" w:type="dxa"/>
            <w:vAlign w:val="bottom"/>
            <w:shd w:val="clear" w:color="auto" w:fill="D7D1C0"/>
          </w:tcPr>
          <w:p>
            <w:pPr>
              <w:spacing w:after="0"/>
              <w:rPr>
                <w:sz w:val="10"/>
                <w:szCs w:val="10"/>
                <w:color w:val="auto"/>
              </w:rPr>
            </w:pPr>
          </w:p>
        </w:tc>
        <w:tc>
          <w:tcPr>
            <w:tcW w:w="1240" w:type="dxa"/>
            <w:vAlign w:val="bottom"/>
            <w:vMerge w:val="continue"/>
          </w:tcPr>
          <w:p>
            <w:pPr>
              <w:spacing w:after="0"/>
              <w:rPr>
                <w:sz w:val="10"/>
                <w:szCs w:val="10"/>
                <w:color w:val="auto"/>
              </w:rPr>
            </w:pPr>
          </w:p>
        </w:tc>
        <w:tc>
          <w:tcPr>
            <w:tcW w:w="20" w:type="dxa"/>
            <w:vAlign w:val="bottom"/>
            <w:shd w:val="clear" w:color="auto" w:fill="D7D1C0"/>
          </w:tcPr>
          <w:p>
            <w:pPr>
              <w:spacing w:after="0"/>
              <w:rPr>
                <w:sz w:val="10"/>
                <w:szCs w:val="10"/>
                <w:color w:val="auto"/>
              </w:rPr>
            </w:pPr>
          </w:p>
        </w:tc>
        <w:tc>
          <w:tcPr>
            <w:tcW w:w="1240" w:type="dxa"/>
            <w:vAlign w:val="bottom"/>
            <w:vMerge w:val="continue"/>
          </w:tcPr>
          <w:p>
            <w:pPr>
              <w:spacing w:after="0"/>
              <w:rPr>
                <w:sz w:val="10"/>
                <w:szCs w:val="10"/>
                <w:color w:val="auto"/>
              </w:rPr>
            </w:pPr>
          </w:p>
        </w:tc>
        <w:tc>
          <w:tcPr>
            <w:tcW w:w="20" w:type="dxa"/>
            <w:vAlign w:val="bottom"/>
            <w:shd w:val="clear" w:color="auto" w:fill="D7D1C0"/>
          </w:tcPr>
          <w:p>
            <w:pPr>
              <w:spacing w:after="0"/>
              <w:rPr>
                <w:sz w:val="10"/>
                <w:szCs w:val="10"/>
                <w:color w:val="auto"/>
              </w:rPr>
            </w:pPr>
          </w:p>
        </w:tc>
        <w:tc>
          <w:tcPr>
            <w:tcW w:w="1240" w:type="dxa"/>
            <w:vAlign w:val="bottom"/>
            <w:vMerge w:val="continue"/>
          </w:tcPr>
          <w:p>
            <w:pPr>
              <w:spacing w:after="0"/>
              <w:rPr>
                <w:sz w:val="10"/>
                <w:szCs w:val="10"/>
                <w:color w:val="auto"/>
              </w:rPr>
            </w:pPr>
          </w:p>
        </w:tc>
        <w:tc>
          <w:tcPr>
            <w:tcW w:w="1260" w:type="dxa"/>
            <w:vAlign w:val="bottom"/>
            <w:tcBorders>
              <w:left w:val="single" w:sz="8" w:color="D5CFC1"/>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040" w:type="dxa"/>
            <w:vAlign w:val="bottom"/>
            <w:vMerge w:val="continue"/>
          </w:tcPr>
          <w:p>
            <w:pPr>
              <w:spacing w:after="0"/>
              <w:rPr>
                <w:sz w:val="10"/>
                <w:szCs w:val="10"/>
                <w:color w:val="auto"/>
              </w:rPr>
            </w:pPr>
          </w:p>
        </w:tc>
        <w:tc>
          <w:tcPr>
            <w:tcW w:w="20" w:type="dxa"/>
            <w:vAlign w:val="bottom"/>
            <w:tcBorders>
              <w:bottom w:val="single" w:sz="8" w:color="D7D1C0"/>
            </w:tcBorders>
            <w:shd w:val="clear" w:color="auto" w:fill="D7D1C0"/>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Borders>
              <w:bottom w:val="single" w:sz="8" w:color="D7D1C0"/>
            </w:tcBorders>
            <w:shd w:val="clear" w:color="auto" w:fill="D7D1C0"/>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Borders>
              <w:bottom w:val="single" w:sz="8" w:color="D7D1C0"/>
            </w:tcBorders>
            <w:shd w:val="clear" w:color="auto" w:fill="D7D1C0"/>
          </w:tcPr>
          <w:p>
            <w:pPr>
              <w:spacing w:after="0"/>
              <w:rPr>
                <w:sz w:val="10"/>
                <w:szCs w:val="10"/>
                <w:color w:val="auto"/>
              </w:rPr>
            </w:pPr>
          </w:p>
        </w:tc>
        <w:tc>
          <w:tcPr>
            <w:tcW w:w="1240" w:type="dxa"/>
            <w:vAlign w:val="bottom"/>
          </w:tcPr>
          <w:p>
            <w:pPr>
              <w:spacing w:after="0"/>
              <w:rPr>
                <w:sz w:val="10"/>
                <w:szCs w:val="10"/>
                <w:color w:val="auto"/>
              </w:rPr>
            </w:pPr>
          </w:p>
        </w:tc>
        <w:tc>
          <w:tcPr>
            <w:tcW w:w="1260" w:type="dxa"/>
            <w:vAlign w:val="bottom"/>
            <w:tcBorders>
              <w:left w:val="single" w:sz="8" w:color="D5CFC1"/>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4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4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40" w:type="dxa"/>
            <w:vAlign w:val="bottom"/>
            <w:shd w:val="clear" w:color="auto" w:fill="D7D1C0"/>
          </w:tcPr>
          <w:p>
            <w:pPr>
              <w:spacing w:after="0" w:line="20" w:lineRule="exact"/>
              <w:rPr>
                <w:sz w:val="1"/>
                <w:szCs w:val="1"/>
                <w:color w:val="auto"/>
              </w:rPr>
            </w:pPr>
          </w:p>
        </w:tc>
        <w:tc>
          <w:tcPr>
            <w:tcW w:w="1260" w:type="dxa"/>
            <w:vAlign w:val="bottom"/>
            <w:tcBorders>
              <w:left w:val="single" w:sz="8" w:color="D7D1C0"/>
            </w:tcBorders>
            <w:shd w:val="clear" w:color="auto" w:fill="D7D1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right="480"/>
        <w:spacing w:after="0" w:line="297" w:lineRule="auto"/>
        <w:tabs>
          <w:tab w:leader="none" w:pos="203" w:val="left"/>
        </w:tabs>
        <w:numPr>
          <w:ilvl w:val="0"/>
          <w:numId w:val="51"/>
        </w:numPr>
        <w:rPr>
          <w:rFonts w:ascii="Arial" w:cs="Arial" w:eastAsia="Arial" w:hAnsi="Arial"/>
          <w:sz w:val="16"/>
          <w:szCs w:val="16"/>
          <w:color w:val="756F73"/>
        </w:rPr>
      </w:pPr>
      <w:r>
        <w:rPr>
          <w:rFonts w:ascii="Arial" w:cs="Arial" w:eastAsia="Arial" w:hAnsi="Arial"/>
          <w:sz w:val="16"/>
          <w:szCs w:val="16"/>
          <w:color w:val="756F73"/>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Pr>
          <w:p>
            <w:pPr>
              <w:ind w:left="60"/>
              <w:spacing w:after="0"/>
              <w:rPr>
                <w:sz w:val="20"/>
                <w:szCs w:val="20"/>
                <w:color w:val="auto"/>
              </w:rPr>
            </w:pPr>
            <w:r>
              <w:rPr>
                <w:rFonts w:ascii="Arial" w:cs="Arial" w:eastAsia="Arial" w:hAnsi="Arial"/>
                <w:sz w:val="24"/>
                <w:szCs w:val="24"/>
                <w:b w:val="1"/>
                <w:bCs w:val="1"/>
                <w:color w:val="000005"/>
              </w:rPr>
              <w:t xml:space="preserve">Free Cash Flow </w:t>
            </w:r>
            <w:r>
              <w:rPr>
                <w:rFonts w:ascii="Arial" w:cs="Arial" w:eastAsia="Arial" w:hAnsi="Arial"/>
                <w:sz w:val="16"/>
                <w:szCs w:val="16"/>
                <w:color w:val="000005"/>
              </w:rPr>
              <w:t>$ Millions</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6"/>
                <w:szCs w:val="16"/>
                <w:color w:val="000005"/>
              </w:rPr>
              <w:t>For the years ended June 30,</w:t>
            </w:r>
          </w:p>
        </w:tc>
        <w:tc>
          <w:tcPr>
            <w:tcW w:w="0" w:type="dxa"/>
            <w:vAlign w:val="bottom"/>
          </w:tcPr>
          <w:p>
            <w:pPr>
              <w:spacing w:after="0"/>
              <w:rPr>
                <w:sz w:val="1"/>
                <w:szCs w:val="1"/>
                <w:color w:val="auto"/>
              </w:rPr>
            </w:pPr>
          </w:p>
        </w:tc>
      </w:tr>
      <w:tr>
        <w:trPr>
          <w:trHeight w:val="350"/>
        </w:trPr>
        <w:tc>
          <w:tcPr>
            <w:tcW w:w="5040" w:type="dxa"/>
            <w:vAlign w:val="bottom"/>
          </w:tcPr>
          <w:p>
            <w:pPr>
              <w:ind w:left="100"/>
              <w:spacing w:after="0"/>
              <w:rPr>
                <w:sz w:val="20"/>
                <w:szCs w:val="20"/>
                <w:color w:val="auto"/>
              </w:rPr>
            </w:pPr>
            <w:r>
              <w:rPr>
                <w:rFonts w:ascii="Arial" w:cs="Arial" w:eastAsia="Arial" w:hAnsi="Arial"/>
                <w:sz w:val="16"/>
                <w:szCs w:val="16"/>
                <w:b w:val="1"/>
                <w:bCs w:val="1"/>
                <w:color w:val="FFFFFF"/>
              </w:rPr>
              <w:t>Reconciliation of Free cash flow and Free cash flow excluding</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FFFFFF"/>
              </w:rPr>
              <w:t>2022</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FFFFFF"/>
              </w:rPr>
              <w:t>2023</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FFFFFF"/>
              </w:rPr>
              <w:t>2024</w:t>
            </w: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FFFFFF"/>
              </w:rPr>
              <w:t>2025</w:t>
            </w:r>
          </w:p>
        </w:tc>
        <w:tc>
          <w:tcPr>
            <w:tcW w:w="0" w:type="dxa"/>
            <w:vAlign w:val="bottom"/>
          </w:tcPr>
          <w:p>
            <w:pPr>
              <w:spacing w:after="0"/>
              <w:rPr>
                <w:sz w:val="1"/>
                <w:szCs w:val="1"/>
                <w:color w:val="auto"/>
              </w:rPr>
            </w:pPr>
          </w:p>
        </w:tc>
      </w:tr>
      <w:tr>
        <w:trPr>
          <w:trHeight w:val="122"/>
        </w:trPr>
        <w:tc>
          <w:tcPr>
            <w:tcW w:w="5040" w:type="dxa"/>
            <w:vAlign w:val="bottom"/>
            <w:vMerge w:val="restart"/>
          </w:tcPr>
          <w:p>
            <w:pPr>
              <w:ind w:left="100"/>
              <w:spacing w:after="0"/>
              <w:rPr>
                <w:sz w:val="20"/>
                <w:szCs w:val="20"/>
                <w:color w:val="auto"/>
              </w:rPr>
            </w:pPr>
            <w:r>
              <w:rPr>
                <w:rFonts w:ascii="Arial" w:cs="Arial" w:eastAsia="Arial" w:hAnsi="Arial"/>
                <w:sz w:val="16"/>
                <w:szCs w:val="16"/>
                <w:b w:val="1"/>
                <w:bCs w:val="1"/>
                <w:color w:val="FFFFFF"/>
              </w:rPr>
              <w:t>interest income on funds held for clients:</w:t>
            </w:r>
          </w:p>
        </w:tc>
        <w:tc>
          <w:tcPr>
            <w:tcW w:w="12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0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5040" w:type="dxa"/>
            <w:vAlign w:val="bottom"/>
            <w:vMerge w:val="restart"/>
          </w:tcPr>
          <w:p>
            <w:pPr>
              <w:ind w:left="100"/>
              <w:spacing w:after="0"/>
              <w:rPr>
                <w:sz w:val="20"/>
                <w:szCs w:val="20"/>
                <w:color w:val="auto"/>
              </w:rPr>
            </w:pPr>
            <w:r>
              <w:rPr>
                <w:rFonts w:ascii="Arial" w:cs="Arial" w:eastAsia="Arial" w:hAnsi="Arial"/>
                <w:sz w:val="16"/>
                <w:szCs w:val="16"/>
                <w:color w:val="000005"/>
              </w:rPr>
              <w:t>Net cash provided by operating activities</w:t>
            </w:r>
          </w:p>
        </w:tc>
        <w:tc>
          <w:tcPr>
            <w:tcW w:w="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000005"/>
              </w:rPr>
              <w:t>$ 155.1</w:t>
            </w:r>
          </w:p>
        </w:tc>
        <w:tc>
          <w:tcPr>
            <w:tcW w:w="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000005"/>
              </w:rPr>
              <w:t>$ 282.7</w:t>
            </w:r>
          </w:p>
        </w:tc>
        <w:tc>
          <w:tcPr>
            <w:tcW w:w="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000005"/>
              </w:rPr>
              <w:t>$ 384.7</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5040" w:type="dxa"/>
            <w:vAlign w:val="bottom"/>
            <w:vMerge w:val="continue"/>
          </w:tcPr>
          <w:p>
            <w:pPr>
              <w:spacing w:after="0"/>
              <w:rPr>
                <w:sz w:val="23"/>
                <w:szCs w:val="23"/>
                <w:color w:val="auto"/>
              </w:rPr>
            </w:pPr>
          </w:p>
        </w:tc>
        <w:tc>
          <w:tcPr>
            <w:tcW w:w="20" w:type="dxa"/>
            <w:vAlign w:val="bottom"/>
            <w:shd w:val="clear" w:color="auto" w:fill="D7D1C0"/>
          </w:tcPr>
          <w:p>
            <w:pPr>
              <w:spacing w:after="0"/>
              <w:rPr>
                <w:sz w:val="23"/>
                <w:szCs w:val="23"/>
                <w:color w:val="auto"/>
              </w:rPr>
            </w:pPr>
          </w:p>
        </w:tc>
        <w:tc>
          <w:tcPr>
            <w:tcW w:w="1240" w:type="dxa"/>
            <w:vAlign w:val="bottom"/>
            <w:vMerge w:val="continue"/>
          </w:tcPr>
          <w:p>
            <w:pPr>
              <w:spacing w:after="0"/>
              <w:rPr>
                <w:sz w:val="23"/>
                <w:szCs w:val="23"/>
                <w:color w:val="auto"/>
              </w:rPr>
            </w:pPr>
          </w:p>
        </w:tc>
        <w:tc>
          <w:tcPr>
            <w:tcW w:w="20" w:type="dxa"/>
            <w:vAlign w:val="bottom"/>
            <w:shd w:val="clear" w:color="auto" w:fill="D7D1C0"/>
          </w:tcPr>
          <w:p>
            <w:pPr>
              <w:spacing w:after="0"/>
              <w:rPr>
                <w:sz w:val="23"/>
                <w:szCs w:val="23"/>
                <w:color w:val="auto"/>
              </w:rPr>
            </w:pPr>
          </w:p>
        </w:tc>
        <w:tc>
          <w:tcPr>
            <w:tcW w:w="1240" w:type="dxa"/>
            <w:vAlign w:val="bottom"/>
            <w:vMerge w:val="continue"/>
          </w:tcPr>
          <w:p>
            <w:pPr>
              <w:spacing w:after="0"/>
              <w:rPr>
                <w:sz w:val="23"/>
                <w:szCs w:val="23"/>
                <w:color w:val="auto"/>
              </w:rPr>
            </w:pPr>
          </w:p>
        </w:tc>
        <w:tc>
          <w:tcPr>
            <w:tcW w:w="20" w:type="dxa"/>
            <w:vAlign w:val="bottom"/>
            <w:shd w:val="clear" w:color="auto" w:fill="D7D1C0"/>
          </w:tcPr>
          <w:p>
            <w:pPr>
              <w:spacing w:after="0"/>
              <w:rPr>
                <w:sz w:val="23"/>
                <w:szCs w:val="23"/>
                <w:color w:val="auto"/>
              </w:rPr>
            </w:pPr>
          </w:p>
        </w:tc>
        <w:tc>
          <w:tcPr>
            <w:tcW w:w="1240" w:type="dxa"/>
            <w:vAlign w:val="bottom"/>
            <w:vMerge w:val="continue"/>
          </w:tcPr>
          <w:p>
            <w:pPr>
              <w:spacing w:after="0"/>
              <w:rPr>
                <w:sz w:val="23"/>
                <w:szCs w:val="23"/>
                <w:color w:val="auto"/>
              </w:rPr>
            </w:pPr>
          </w:p>
        </w:tc>
        <w:tc>
          <w:tcPr>
            <w:tcW w:w="1260" w:type="dxa"/>
            <w:vAlign w:val="bottom"/>
            <w:tcBorders>
              <w:left w:val="single" w:sz="8" w:color="D5CFC1"/>
            </w:tcBorders>
          </w:tcPr>
          <w:p>
            <w:pPr>
              <w:jc w:val="right"/>
              <w:spacing w:after="0"/>
              <w:rPr>
                <w:sz w:val="20"/>
                <w:szCs w:val="20"/>
                <w:color w:val="auto"/>
              </w:rPr>
            </w:pPr>
            <w:r>
              <w:rPr>
                <w:rFonts w:ascii="Arial" w:cs="Arial" w:eastAsia="Arial" w:hAnsi="Arial"/>
                <w:sz w:val="16"/>
                <w:szCs w:val="16"/>
                <w:color w:val="000005"/>
              </w:rPr>
              <w:t>$ 418.2</w:t>
            </w:r>
          </w:p>
        </w:tc>
        <w:tc>
          <w:tcPr>
            <w:tcW w:w="0" w:type="dxa"/>
            <w:vAlign w:val="bottom"/>
          </w:tcPr>
          <w:p>
            <w:pPr>
              <w:spacing w:after="0"/>
              <w:rPr>
                <w:sz w:val="1"/>
                <w:szCs w:val="1"/>
                <w:color w:val="auto"/>
              </w:rPr>
            </w:pPr>
          </w:p>
        </w:tc>
      </w:tr>
      <w:tr>
        <w:trPr>
          <w:trHeight w:val="73"/>
        </w:trPr>
        <w:tc>
          <w:tcPr>
            <w:tcW w:w="50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20" w:type="dxa"/>
            <w:vAlign w:val="bottom"/>
            <w:tcBorders>
              <w:bottom w:val="single" w:sz="8" w:color="D7D1C0"/>
            </w:tcBorders>
            <w:shd w:val="clear" w:color="auto" w:fill="D7D1C0"/>
          </w:tcPr>
          <w:p>
            <w:pPr>
              <w:spacing w:after="0"/>
              <w:rPr>
                <w:sz w:val="6"/>
                <w:szCs w:val="6"/>
                <w:color w:val="auto"/>
              </w:rPr>
            </w:pPr>
          </w:p>
        </w:tc>
        <w:tc>
          <w:tcPr>
            <w:tcW w:w="1240" w:type="dxa"/>
            <w:vAlign w:val="bottom"/>
            <w:tcBorders>
              <w:bottom w:val="single" w:sz="8" w:color="D7D1C0"/>
            </w:tcBorders>
          </w:tcPr>
          <w:p>
            <w:pPr>
              <w:spacing w:after="0"/>
              <w:rPr>
                <w:sz w:val="6"/>
                <w:szCs w:val="6"/>
                <w:color w:val="auto"/>
              </w:rPr>
            </w:pPr>
          </w:p>
        </w:tc>
        <w:tc>
          <w:tcPr>
            <w:tcW w:w="1260" w:type="dxa"/>
            <w:vAlign w:val="bottom"/>
            <w:tcBorders>
              <w:left w:val="single" w:sz="8" w:color="D5CFC1"/>
              <w:bottom w:val="single" w:sz="8" w:color="D7D1C0"/>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5040" w:type="dxa"/>
            <w:vAlign w:val="bottom"/>
          </w:tcPr>
          <w:p>
            <w:pPr>
              <w:ind w:left="100"/>
              <w:spacing w:after="0"/>
              <w:rPr>
                <w:sz w:val="20"/>
                <w:szCs w:val="20"/>
                <w:color w:val="auto"/>
              </w:rPr>
            </w:pPr>
            <w:r>
              <w:rPr>
                <w:rFonts w:ascii="Arial" w:cs="Arial" w:eastAsia="Arial" w:hAnsi="Arial"/>
                <w:sz w:val="16"/>
                <w:szCs w:val="16"/>
                <w:color w:val="000005"/>
              </w:rPr>
              <w:t>Capitalized internal-use software costs</w:t>
            </w:r>
          </w:p>
        </w:tc>
        <w:tc>
          <w:tcPr>
            <w:tcW w:w="20" w:type="dxa"/>
            <w:vAlign w:val="bottom"/>
            <w:tcBorders>
              <w:bottom w:val="single" w:sz="8" w:color="D7D1C0"/>
            </w:tcBorders>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(34.5)</w:t>
            </w:r>
          </w:p>
        </w:tc>
        <w:tc>
          <w:tcPr>
            <w:tcW w:w="20" w:type="dxa"/>
            <w:vAlign w:val="bottom"/>
            <w:tcBorders>
              <w:bottom w:val="single" w:sz="8" w:color="D7D1C0"/>
            </w:tcBorders>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(45.0)</w:t>
            </w:r>
          </w:p>
        </w:tc>
        <w:tc>
          <w:tcPr>
            <w:tcW w:w="20" w:type="dxa"/>
            <w:vAlign w:val="bottom"/>
            <w:tcBorders>
              <w:bottom w:val="single" w:sz="8" w:color="D7D1C0"/>
            </w:tcBorders>
            <w:shd w:val="clear" w:color="auto" w:fill="D7D1C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000005"/>
              </w:rPr>
              <w:t>(60.7)</w:t>
            </w:r>
          </w:p>
        </w:tc>
        <w:tc>
          <w:tcPr>
            <w:tcW w:w="1260" w:type="dxa"/>
            <w:vAlign w:val="bottom"/>
            <w:tcBorders>
              <w:left w:val="single" w:sz="8" w:color="D5CFC1"/>
            </w:tcBorders>
          </w:tcPr>
          <w:p>
            <w:pPr>
              <w:jc w:val="right"/>
              <w:spacing w:after="0"/>
              <w:rPr>
                <w:sz w:val="20"/>
                <w:szCs w:val="20"/>
                <w:color w:val="auto"/>
              </w:rPr>
            </w:pPr>
            <w:r>
              <w:rPr>
                <w:rFonts w:ascii="Arial" w:cs="Arial" w:eastAsia="Arial" w:hAnsi="Arial"/>
                <w:sz w:val="16"/>
                <w:szCs w:val="16"/>
                <w:color w:val="000005"/>
              </w:rPr>
              <w:t>(62.4)</w:t>
            </w:r>
          </w:p>
        </w:tc>
        <w:tc>
          <w:tcPr>
            <w:tcW w:w="0" w:type="dxa"/>
            <w:vAlign w:val="bottom"/>
          </w:tcPr>
          <w:p>
            <w:pPr>
              <w:spacing w:after="0"/>
              <w:rPr>
                <w:sz w:val="1"/>
                <w:szCs w:val="1"/>
                <w:color w:val="auto"/>
              </w:rPr>
            </w:pPr>
          </w:p>
        </w:tc>
      </w:tr>
      <w:tr>
        <w:trPr>
          <w:trHeight w:val="279"/>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000005"/>
              </w:rPr>
              <w:t>Purchases of property and equipment</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(18.1)</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(21.9)</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(18.1)</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color w:val="000005"/>
              </w:rPr>
              <w:t>(13.1)</w:t>
            </w:r>
          </w:p>
        </w:tc>
        <w:tc>
          <w:tcPr>
            <w:tcW w:w="0" w:type="dxa"/>
            <w:vAlign w:val="bottom"/>
          </w:tcPr>
          <w:p>
            <w:pPr>
              <w:spacing w:after="0"/>
              <w:rPr>
                <w:sz w:val="1"/>
                <w:szCs w:val="1"/>
                <w:color w:val="auto"/>
              </w:rPr>
            </w:pPr>
          </w:p>
        </w:tc>
      </w:tr>
      <w:tr>
        <w:trPr>
          <w:trHeight w:val="321"/>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b w:val="1"/>
                <w:bCs w:val="1"/>
                <w:color w:val="000005"/>
              </w:rPr>
              <w:t>Free cash flow</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8"/>
                <w:szCs w:val="18"/>
                <w:b w:val="1"/>
                <w:bCs w:val="1"/>
                <w:color w:val="000005"/>
              </w:rPr>
              <w:t>$ 102.5</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8"/>
                <w:szCs w:val="18"/>
                <w:b w:val="1"/>
                <w:bCs w:val="1"/>
                <w:color w:val="000005"/>
              </w:rPr>
              <w:t>$ 215.8</w:t>
            </w:r>
          </w:p>
        </w:tc>
        <w:tc>
          <w:tcPr>
            <w:tcW w:w="20" w:type="dxa"/>
            <w:vAlign w:val="bottom"/>
            <w:tcBorders>
              <w:top w:val="single" w:sz="8" w:color="D7D1C0"/>
              <w:bottom w:val="single" w:sz="8" w:color="D7D1C0"/>
            </w:tcBorders>
            <w:shd w:val="clear" w:color="auto" w:fill="D7D1C0"/>
          </w:tcPr>
          <w:p>
            <w:pPr>
              <w:spacing w:after="0"/>
              <w:rPr>
                <w:sz w:val="24"/>
                <w:szCs w:val="24"/>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8"/>
                <w:szCs w:val="18"/>
                <w:b w:val="1"/>
                <w:bCs w:val="1"/>
                <w:color w:val="000005"/>
              </w:rPr>
              <w:t>$ 305.9</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b w:val="1"/>
                <w:bCs w:val="1"/>
                <w:color w:val="000005"/>
              </w:rPr>
              <w:t>$ 342.8</w:t>
            </w:r>
          </w:p>
        </w:tc>
        <w:tc>
          <w:tcPr>
            <w:tcW w:w="0" w:type="dxa"/>
            <w:vAlign w:val="bottom"/>
          </w:tcPr>
          <w:p>
            <w:pPr>
              <w:spacing w:after="0"/>
              <w:rPr>
                <w:sz w:val="1"/>
                <w:szCs w:val="1"/>
                <w:color w:val="auto"/>
              </w:rPr>
            </w:pPr>
          </w:p>
        </w:tc>
      </w:tr>
      <w:tr>
        <w:trPr>
          <w:trHeight w:val="275"/>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color w:val="000005"/>
              </w:rPr>
              <w:t>Interest income on funds held for clients</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(5.0)</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(76.6)</w:t>
            </w:r>
          </w:p>
        </w:tc>
        <w:tc>
          <w:tcPr>
            <w:tcW w:w="20" w:type="dxa"/>
            <w:vAlign w:val="bottom"/>
            <w:tcBorders>
              <w:top w:val="single" w:sz="8" w:color="D7D1C0"/>
              <w:bottom w:val="single" w:sz="8" w:color="D7D1C0"/>
            </w:tcBorders>
            <w:shd w:val="clear" w:color="auto" w:fill="D7D1C0"/>
          </w:tcPr>
          <w:p>
            <w:pPr>
              <w:spacing w:after="0"/>
              <w:rPr>
                <w:sz w:val="23"/>
                <w:szCs w:val="23"/>
                <w:color w:val="auto"/>
              </w:rPr>
            </w:pPr>
          </w:p>
        </w:tc>
        <w:tc>
          <w:tcPr>
            <w:tcW w:w="1240" w:type="dxa"/>
            <w:vAlign w:val="bottom"/>
            <w:tcBorders>
              <w:top w:val="single" w:sz="8" w:color="D7D1C0"/>
            </w:tcBorders>
          </w:tcPr>
          <w:p>
            <w:pPr>
              <w:jc w:val="right"/>
              <w:spacing w:after="0"/>
              <w:rPr>
                <w:sz w:val="20"/>
                <w:szCs w:val="20"/>
                <w:color w:val="auto"/>
              </w:rPr>
            </w:pPr>
            <w:r>
              <w:rPr>
                <w:rFonts w:ascii="Arial" w:cs="Arial" w:eastAsia="Arial" w:hAnsi="Arial"/>
                <w:sz w:val="16"/>
                <w:szCs w:val="16"/>
                <w:color w:val="000005"/>
              </w:rPr>
              <w:t>(120.9)</w:t>
            </w:r>
          </w:p>
        </w:tc>
        <w:tc>
          <w:tcPr>
            <w:tcW w:w="1260" w:type="dxa"/>
            <w:vAlign w:val="bottom"/>
            <w:tcBorders>
              <w:top w:val="single" w:sz="8" w:color="D7D1C0"/>
              <w:left w:val="single" w:sz="8" w:color="D5CFC1"/>
            </w:tcBorders>
          </w:tcPr>
          <w:p>
            <w:pPr>
              <w:jc w:val="right"/>
              <w:spacing w:after="0"/>
              <w:rPr>
                <w:sz w:val="20"/>
                <w:szCs w:val="20"/>
                <w:color w:val="auto"/>
              </w:rPr>
            </w:pPr>
            <w:r>
              <w:rPr>
                <w:rFonts w:ascii="Arial" w:cs="Arial" w:eastAsia="Arial" w:hAnsi="Arial"/>
                <w:sz w:val="16"/>
                <w:szCs w:val="16"/>
                <w:color w:val="000005"/>
              </w:rPr>
              <w:t>(123.4)</w:t>
            </w:r>
          </w:p>
        </w:tc>
        <w:tc>
          <w:tcPr>
            <w:tcW w:w="0" w:type="dxa"/>
            <w:vAlign w:val="bottom"/>
          </w:tcPr>
          <w:p>
            <w:pPr>
              <w:spacing w:after="0"/>
              <w:rPr>
                <w:sz w:val="1"/>
                <w:szCs w:val="1"/>
                <w:color w:val="auto"/>
              </w:rPr>
            </w:pPr>
          </w:p>
        </w:tc>
      </w:tr>
      <w:tr>
        <w:trPr>
          <w:trHeight w:val="214"/>
        </w:trPr>
        <w:tc>
          <w:tcPr>
            <w:tcW w:w="5040" w:type="dxa"/>
            <w:vAlign w:val="bottom"/>
            <w:tcBorders>
              <w:top w:val="single" w:sz="8" w:color="D7D1C0"/>
            </w:tcBorders>
          </w:tcPr>
          <w:p>
            <w:pPr>
              <w:ind w:left="100"/>
              <w:spacing w:after="0"/>
              <w:rPr>
                <w:sz w:val="20"/>
                <w:szCs w:val="20"/>
                <w:color w:val="auto"/>
              </w:rPr>
            </w:pPr>
            <w:r>
              <w:rPr>
                <w:rFonts w:ascii="Arial" w:cs="Arial" w:eastAsia="Arial" w:hAnsi="Arial"/>
                <w:sz w:val="16"/>
                <w:szCs w:val="16"/>
                <w:b w:val="1"/>
                <w:bCs w:val="1"/>
                <w:color w:val="000005"/>
              </w:rPr>
              <w:t>Free cash flow excluding interest income</w:t>
            </w:r>
          </w:p>
        </w:tc>
        <w:tc>
          <w:tcPr>
            <w:tcW w:w="20" w:type="dxa"/>
            <w:vAlign w:val="bottom"/>
            <w:tcBorders>
              <w:top w:val="single" w:sz="8" w:color="D7D1C0"/>
            </w:tcBorders>
            <w:shd w:val="clear" w:color="auto" w:fill="D7D1C0"/>
          </w:tcPr>
          <w:p>
            <w:pPr>
              <w:spacing w:after="0"/>
              <w:rPr>
                <w:sz w:val="18"/>
                <w:szCs w:val="18"/>
                <w:color w:val="auto"/>
              </w:rPr>
            </w:pPr>
          </w:p>
        </w:tc>
        <w:tc>
          <w:tcPr>
            <w:tcW w:w="1240" w:type="dxa"/>
            <w:vAlign w:val="bottom"/>
            <w:tcBorders>
              <w:top w:val="single" w:sz="8" w:color="D7D1C0"/>
            </w:tcBorders>
            <w:vMerge w:val="restart"/>
          </w:tcPr>
          <w:p>
            <w:pPr>
              <w:jc w:val="right"/>
              <w:spacing w:after="0"/>
              <w:rPr>
                <w:sz w:val="20"/>
                <w:szCs w:val="20"/>
                <w:color w:val="auto"/>
              </w:rPr>
            </w:pPr>
            <w:r>
              <w:rPr>
                <w:rFonts w:ascii="Arial" w:cs="Arial" w:eastAsia="Arial" w:hAnsi="Arial"/>
                <w:sz w:val="18"/>
                <w:szCs w:val="18"/>
                <w:b w:val="1"/>
                <w:bCs w:val="1"/>
                <w:color w:val="000005"/>
              </w:rPr>
              <w:t>$ 97.5</w:t>
            </w:r>
          </w:p>
        </w:tc>
        <w:tc>
          <w:tcPr>
            <w:tcW w:w="20" w:type="dxa"/>
            <w:vAlign w:val="bottom"/>
            <w:tcBorders>
              <w:top w:val="single" w:sz="8" w:color="D7D1C0"/>
            </w:tcBorders>
            <w:shd w:val="clear" w:color="auto" w:fill="D7D1C0"/>
          </w:tcPr>
          <w:p>
            <w:pPr>
              <w:spacing w:after="0"/>
              <w:rPr>
                <w:sz w:val="18"/>
                <w:szCs w:val="18"/>
                <w:color w:val="auto"/>
              </w:rPr>
            </w:pPr>
          </w:p>
        </w:tc>
        <w:tc>
          <w:tcPr>
            <w:tcW w:w="1240" w:type="dxa"/>
            <w:vAlign w:val="bottom"/>
            <w:tcBorders>
              <w:top w:val="single" w:sz="8" w:color="D7D1C0"/>
            </w:tcBorders>
            <w:vMerge w:val="restart"/>
          </w:tcPr>
          <w:p>
            <w:pPr>
              <w:jc w:val="right"/>
              <w:spacing w:after="0"/>
              <w:rPr>
                <w:sz w:val="20"/>
                <w:szCs w:val="20"/>
                <w:color w:val="auto"/>
              </w:rPr>
            </w:pPr>
            <w:r>
              <w:rPr>
                <w:rFonts w:ascii="Arial" w:cs="Arial" w:eastAsia="Arial" w:hAnsi="Arial"/>
                <w:sz w:val="18"/>
                <w:szCs w:val="18"/>
                <w:b w:val="1"/>
                <w:bCs w:val="1"/>
                <w:color w:val="000005"/>
              </w:rPr>
              <w:t>$ 139.2</w:t>
            </w:r>
          </w:p>
        </w:tc>
        <w:tc>
          <w:tcPr>
            <w:tcW w:w="20" w:type="dxa"/>
            <w:vAlign w:val="bottom"/>
            <w:tcBorders>
              <w:top w:val="single" w:sz="8" w:color="D7D1C0"/>
            </w:tcBorders>
            <w:shd w:val="clear" w:color="auto" w:fill="D7D1C0"/>
          </w:tcPr>
          <w:p>
            <w:pPr>
              <w:spacing w:after="0"/>
              <w:rPr>
                <w:sz w:val="18"/>
                <w:szCs w:val="18"/>
                <w:color w:val="auto"/>
              </w:rPr>
            </w:pPr>
          </w:p>
        </w:tc>
        <w:tc>
          <w:tcPr>
            <w:tcW w:w="1240" w:type="dxa"/>
            <w:vAlign w:val="bottom"/>
            <w:tcBorders>
              <w:top w:val="single" w:sz="8" w:color="D7D1C0"/>
            </w:tcBorders>
            <w:vMerge w:val="restart"/>
          </w:tcPr>
          <w:p>
            <w:pPr>
              <w:jc w:val="right"/>
              <w:spacing w:after="0"/>
              <w:rPr>
                <w:sz w:val="20"/>
                <w:szCs w:val="20"/>
                <w:color w:val="auto"/>
              </w:rPr>
            </w:pPr>
            <w:r>
              <w:rPr>
                <w:rFonts w:ascii="Arial" w:cs="Arial" w:eastAsia="Arial" w:hAnsi="Arial"/>
                <w:sz w:val="18"/>
                <w:szCs w:val="18"/>
                <w:b w:val="1"/>
                <w:bCs w:val="1"/>
                <w:color w:val="000005"/>
              </w:rPr>
              <w:t>$ 185.1</w:t>
            </w:r>
          </w:p>
        </w:tc>
        <w:tc>
          <w:tcPr>
            <w:tcW w:w="1260" w:type="dxa"/>
            <w:vAlign w:val="bottom"/>
            <w:tcBorders>
              <w:top w:val="single" w:sz="8" w:color="D7D1C0"/>
              <w:left w:val="single" w:sz="8" w:color="D5CFC1"/>
            </w:tcBorders>
            <w:vMerge w:val="restart"/>
          </w:tcPr>
          <w:p>
            <w:pPr>
              <w:jc w:val="right"/>
              <w:spacing w:after="0"/>
              <w:rPr>
                <w:sz w:val="20"/>
                <w:szCs w:val="20"/>
                <w:color w:val="auto"/>
              </w:rPr>
            </w:pPr>
            <w:r>
              <w:rPr>
                <w:rFonts w:ascii="Arial" w:cs="Arial" w:eastAsia="Arial" w:hAnsi="Arial"/>
                <w:sz w:val="16"/>
                <w:szCs w:val="16"/>
                <w:b w:val="1"/>
                <w:bCs w:val="1"/>
                <w:color w:val="000005"/>
              </w:rPr>
              <w:t>$ 219.3</w:t>
            </w:r>
          </w:p>
        </w:tc>
        <w:tc>
          <w:tcPr>
            <w:tcW w:w="0" w:type="dxa"/>
            <w:vAlign w:val="bottom"/>
          </w:tcPr>
          <w:p>
            <w:pPr>
              <w:spacing w:after="0"/>
              <w:rPr>
                <w:sz w:val="1"/>
                <w:szCs w:val="1"/>
                <w:color w:val="auto"/>
              </w:rPr>
            </w:pPr>
          </w:p>
        </w:tc>
      </w:tr>
      <w:tr>
        <w:trPr>
          <w:trHeight w:val="135"/>
        </w:trPr>
        <w:tc>
          <w:tcPr>
            <w:tcW w:w="5040" w:type="dxa"/>
            <w:vAlign w:val="bottom"/>
            <w:vMerge w:val="restart"/>
          </w:tcPr>
          <w:p>
            <w:pPr>
              <w:ind w:left="100"/>
              <w:spacing w:after="0"/>
              <w:rPr>
                <w:sz w:val="20"/>
                <w:szCs w:val="20"/>
                <w:color w:val="auto"/>
              </w:rPr>
            </w:pPr>
            <w:r>
              <w:rPr>
                <w:rFonts w:ascii="Arial" w:cs="Arial" w:eastAsia="Arial" w:hAnsi="Arial"/>
                <w:sz w:val="16"/>
                <w:szCs w:val="16"/>
                <w:b w:val="1"/>
                <w:bCs w:val="1"/>
                <w:color w:val="000005"/>
              </w:rPr>
              <w:t>on funds held for clients</w:t>
            </w:r>
          </w:p>
        </w:tc>
        <w:tc>
          <w:tcPr>
            <w:tcW w:w="20" w:type="dxa"/>
            <w:vAlign w:val="bottom"/>
            <w:shd w:val="clear" w:color="auto" w:fill="D7D1C0"/>
          </w:tcPr>
          <w:p>
            <w:pPr>
              <w:spacing w:after="0"/>
              <w:rPr>
                <w:sz w:val="11"/>
                <w:szCs w:val="11"/>
                <w:color w:val="auto"/>
              </w:rPr>
            </w:pPr>
          </w:p>
        </w:tc>
        <w:tc>
          <w:tcPr>
            <w:tcW w:w="1240" w:type="dxa"/>
            <w:vAlign w:val="bottom"/>
            <w:vMerge w:val="continue"/>
          </w:tcPr>
          <w:p>
            <w:pPr>
              <w:spacing w:after="0"/>
              <w:rPr>
                <w:sz w:val="11"/>
                <w:szCs w:val="11"/>
                <w:color w:val="auto"/>
              </w:rPr>
            </w:pPr>
          </w:p>
        </w:tc>
        <w:tc>
          <w:tcPr>
            <w:tcW w:w="20" w:type="dxa"/>
            <w:vAlign w:val="bottom"/>
            <w:shd w:val="clear" w:color="auto" w:fill="D7D1C0"/>
          </w:tcPr>
          <w:p>
            <w:pPr>
              <w:spacing w:after="0"/>
              <w:rPr>
                <w:sz w:val="11"/>
                <w:szCs w:val="11"/>
                <w:color w:val="auto"/>
              </w:rPr>
            </w:pPr>
          </w:p>
        </w:tc>
        <w:tc>
          <w:tcPr>
            <w:tcW w:w="1240" w:type="dxa"/>
            <w:vAlign w:val="bottom"/>
            <w:vMerge w:val="continue"/>
          </w:tcPr>
          <w:p>
            <w:pPr>
              <w:spacing w:after="0"/>
              <w:rPr>
                <w:sz w:val="11"/>
                <w:szCs w:val="11"/>
                <w:color w:val="auto"/>
              </w:rPr>
            </w:pPr>
          </w:p>
        </w:tc>
        <w:tc>
          <w:tcPr>
            <w:tcW w:w="20" w:type="dxa"/>
            <w:vAlign w:val="bottom"/>
            <w:shd w:val="clear" w:color="auto" w:fill="D7D1C0"/>
          </w:tcPr>
          <w:p>
            <w:pPr>
              <w:spacing w:after="0"/>
              <w:rPr>
                <w:sz w:val="11"/>
                <w:szCs w:val="11"/>
                <w:color w:val="auto"/>
              </w:rPr>
            </w:pPr>
          </w:p>
        </w:tc>
        <w:tc>
          <w:tcPr>
            <w:tcW w:w="1240" w:type="dxa"/>
            <w:vAlign w:val="bottom"/>
            <w:vMerge w:val="continue"/>
          </w:tcPr>
          <w:p>
            <w:pPr>
              <w:spacing w:after="0"/>
              <w:rPr>
                <w:sz w:val="11"/>
                <w:szCs w:val="11"/>
                <w:color w:val="auto"/>
              </w:rPr>
            </w:pPr>
          </w:p>
        </w:tc>
        <w:tc>
          <w:tcPr>
            <w:tcW w:w="1260" w:type="dxa"/>
            <w:vAlign w:val="bottom"/>
            <w:tcBorders>
              <w:left w:val="single" w:sz="8" w:color="D5CFC1"/>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5040" w:type="dxa"/>
            <w:vAlign w:val="bottom"/>
            <w:vMerge w:val="continue"/>
          </w:tcPr>
          <w:p>
            <w:pPr>
              <w:spacing w:after="0"/>
              <w:rPr>
                <w:sz w:val="9"/>
                <w:szCs w:val="9"/>
                <w:color w:val="auto"/>
              </w:rPr>
            </w:pPr>
          </w:p>
        </w:tc>
        <w:tc>
          <w:tcPr>
            <w:tcW w:w="20" w:type="dxa"/>
            <w:vAlign w:val="bottom"/>
            <w:tcBorders>
              <w:bottom w:val="single" w:sz="8" w:color="D7D1C0"/>
            </w:tcBorders>
            <w:shd w:val="clear" w:color="auto" w:fill="D7D1C0"/>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Borders>
              <w:bottom w:val="single" w:sz="8" w:color="D7D1C0"/>
            </w:tcBorders>
            <w:shd w:val="clear" w:color="auto" w:fill="D7D1C0"/>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Borders>
              <w:bottom w:val="single" w:sz="8" w:color="D7D1C0"/>
            </w:tcBorders>
            <w:shd w:val="clear" w:color="auto" w:fill="D7D1C0"/>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Borders>
              <w:left w:val="single" w:sz="8" w:color="D5CFC1"/>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4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40" w:type="dxa"/>
            <w:vAlign w:val="bottom"/>
            <w:shd w:val="clear" w:color="auto" w:fill="D7D1C0"/>
          </w:tcPr>
          <w:p>
            <w:pPr>
              <w:spacing w:after="0" w:line="20" w:lineRule="exact"/>
              <w:rPr>
                <w:sz w:val="1"/>
                <w:szCs w:val="1"/>
                <w:color w:val="auto"/>
              </w:rPr>
            </w:pPr>
          </w:p>
        </w:tc>
        <w:tc>
          <w:tcPr>
            <w:tcW w:w="20" w:type="dxa"/>
            <w:vAlign w:val="bottom"/>
            <w:shd w:val="clear" w:color="auto" w:fill="D7D1C0"/>
          </w:tcPr>
          <w:p>
            <w:pPr>
              <w:spacing w:after="0" w:line="20" w:lineRule="exact"/>
              <w:rPr>
                <w:sz w:val="1"/>
                <w:szCs w:val="1"/>
                <w:color w:val="auto"/>
              </w:rPr>
            </w:pPr>
          </w:p>
        </w:tc>
        <w:tc>
          <w:tcPr>
            <w:tcW w:w="1240" w:type="dxa"/>
            <w:vAlign w:val="bottom"/>
            <w:shd w:val="clear" w:color="auto" w:fill="D7D1C0"/>
          </w:tcPr>
          <w:p>
            <w:pPr>
              <w:spacing w:after="0" w:line="20" w:lineRule="exact"/>
              <w:rPr>
                <w:sz w:val="1"/>
                <w:szCs w:val="1"/>
                <w:color w:val="auto"/>
              </w:rPr>
            </w:pPr>
          </w:p>
        </w:tc>
        <w:tc>
          <w:tcPr>
            <w:tcW w:w="1260" w:type="dxa"/>
            <w:vAlign w:val="bottom"/>
            <w:tcBorders>
              <w:left w:val="single" w:sz="8" w:color="D7D1C0"/>
            </w:tcBorders>
            <w:shd w:val="clear" w:color="auto" w:fill="D7D1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880" w:h="15481" w:orient="portrait"/>
          <w:cols w:equalWidth="0" w:num="1">
            <w:col w:w="10080"/>
          </w:cols>
          <w:pgMar w:left="1080" w:top="1217" w:right="721" w:bottom="1440" w:gutter="0" w:footer="0" w:header="0"/>
        </w:sectPr>
      </w:pPr>
    </w:p>
    <w:p>
      <w:pPr>
        <w:spacing w:after="0"/>
        <w:rPr>
          <w:sz w:val="20"/>
          <w:szCs w:val="20"/>
          <w:color w:val="auto"/>
        </w:rPr>
      </w:pPr>
      <w:r>
        <w:rPr>
          <w:rFonts w:ascii="Arial" w:cs="Arial" w:eastAsia="Arial" w:hAnsi="Arial"/>
          <w:sz w:val="16"/>
          <w:szCs w:val="16"/>
          <w:color w:val="756F73"/>
        </w:rPr>
        <w:t>Totals may not recalculate due to rounding.</w:t>
      </w:r>
    </w:p>
    <w:p>
      <w:pPr>
        <w:sectPr>
          <w:pgSz w:w="11880" w:h="15481" w:orient="portrait"/>
          <w:cols w:equalWidth="0" w:num="1">
            <w:col w:w="10080"/>
          </w:cols>
          <w:pgMar w:left="1080" w:top="1217" w:right="721" w:bottom="1440"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60"/>
        <w:spacing w:after="0"/>
        <w:rPr>
          <w:sz w:val="20"/>
          <w:szCs w:val="20"/>
          <w:color w:val="auto"/>
        </w:rPr>
      </w:pPr>
      <w:r>
        <w:rPr>
          <w:rFonts w:ascii="Arial" w:cs="Arial" w:eastAsia="Arial" w:hAnsi="Arial"/>
          <w:sz w:val="37"/>
          <w:szCs w:val="37"/>
          <w:color w:val="000005"/>
        </w:rPr>
        <w:t>Forward Together.</w:t>
      </w:r>
    </w:p>
    <w:p>
      <w:pPr>
        <w:sectPr>
          <w:pgSz w:w="11880" w:h="15481" w:orient="portrait"/>
          <w:cols w:equalWidth="0" w:num="1">
            <w:col w:w="9001"/>
          </w:cols>
          <w:pgMar w:left="1440" w:top="1440" w:right="1440" w:bottom="1440" w:gutter="0" w:footer="0" w:header="0"/>
        </w:sectPr>
      </w:pPr>
    </w:p>
    <w:p>
      <w:pPr>
        <w:spacing w:after="0" w:line="276" w:lineRule="exact"/>
        <w:rPr>
          <w:sz w:val="20"/>
          <w:szCs w:val="20"/>
          <w:color w:val="auto"/>
        </w:rPr>
      </w:pPr>
    </w:p>
    <w:p>
      <w:pPr>
        <w:jc w:val="center"/>
        <w:ind w:right="361"/>
        <w:spacing w:after="0"/>
        <w:rPr>
          <w:sz w:val="20"/>
          <w:szCs w:val="20"/>
          <w:color w:val="auto"/>
        </w:rPr>
      </w:pPr>
      <w:r>
        <w:rPr>
          <w:rFonts w:ascii="Arial" w:cs="Arial" w:eastAsia="Arial" w:hAnsi="Arial"/>
          <w:sz w:val="22"/>
          <w:szCs w:val="22"/>
          <w:color w:val="000005"/>
        </w:rPr>
        <w:t>1400 American Lane</w:t>
      </w:r>
    </w:p>
    <w:p>
      <w:pPr>
        <w:spacing w:after="0" w:line="7" w:lineRule="exact"/>
        <w:rPr>
          <w:sz w:val="20"/>
          <w:szCs w:val="20"/>
          <w:color w:val="auto"/>
        </w:rPr>
      </w:pPr>
    </w:p>
    <w:p>
      <w:pPr>
        <w:jc w:val="center"/>
        <w:ind w:right="361"/>
        <w:spacing w:after="0"/>
        <w:rPr>
          <w:sz w:val="20"/>
          <w:szCs w:val="20"/>
          <w:color w:val="auto"/>
        </w:rPr>
      </w:pPr>
      <w:r>
        <w:rPr>
          <w:rFonts w:ascii="Arial" w:cs="Arial" w:eastAsia="Arial" w:hAnsi="Arial"/>
          <w:sz w:val="22"/>
          <w:szCs w:val="22"/>
          <w:color w:val="000005"/>
        </w:rPr>
        <w:t>Schaumburg, IL 60173</w:t>
      </w:r>
    </w:p>
    <w:p>
      <w:pPr>
        <w:spacing w:after="0" w:line="277" w:lineRule="exact"/>
        <w:rPr>
          <w:sz w:val="20"/>
          <w:szCs w:val="20"/>
          <w:color w:val="auto"/>
        </w:rPr>
      </w:pPr>
    </w:p>
    <w:p>
      <w:pPr>
        <w:jc w:val="center"/>
        <w:ind w:right="361"/>
        <w:spacing w:after="0"/>
        <w:rPr>
          <w:sz w:val="20"/>
          <w:szCs w:val="20"/>
          <w:color w:val="auto"/>
        </w:rPr>
      </w:pPr>
      <w:r>
        <w:rPr>
          <w:rFonts w:ascii="Arial" w:cs="Arial" w:eastAsia="Arial" w:hAnsi="Arial"/>
          <w:sz w:val="22"/>
          <w:szCs w:val="22"/>
          <w:color w:val="000005"/>
        </w:rPr>
        <w:t>paylocity.com</w:t>
      </w:r>
    </w:p>
    <w:p>
      <w:pPr>
        <w:spacing w:after="0" w:line="277" w:lineRule="exact"/>
        <w:rPr>
          <w:sz w:val="20"/>
          <w:szCs w:val="20"/>
          <w:color w:val="auto"/>
        </w:rPr>
      </w:pPr>
    </w:p>
    <w:p>
      <w:pPr>
        <w:jc w:val="center"/>
        <w:ind w:right="361"/>
        <w:spacing w:after="0"/>
        <w:rPr>
          <w:sz w:val="20"/>
          <w:szCs w:val="20"/>
          <w:color w:val="auto"/>
        </w:rPr>
      </w:pPr>
      <w:r>
        <w:rPr>
          <w:rFonts w:ascii="Arial" w:cs="Arial" w:eastAsia="Arial" w:hAnsi="Arial"/>
          <w:sz w:val="22"/>
          <w:szCs w:val="22"/>
          <w:color w:val="000005"/>
        </w:rPr>
        <w:t>investors.paylocity.com</w:t>
      </w:r>
    </w:p>
    <w:sectPr>
      <w:pgSz w:w="11880" w:h="15481" w:orient="portrait"/>
      <w:cols w:equalWidth="0" w:num="1">
        <w:col w:w="9001"/>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lowerLetter"/>
      <w:start w:val="1"/>
    </w:lvl>
    <w:lvl w:ilvl="1">
      <w:lvlJc w:val="left"/>
      <w:lvlText w:val="(%2)"/>
      <w:numFmt w:val="decimal"/>
      <w:start w:val="1"/>
    </w:lvl>
  </w:abstractNum>
  <w:abstractNum w:abstractNumId="16">
    <w:nsid w:val="614FD4A1"/>
    <w:multiLevelType w:val="hybridMultilevel"/>
    <w:lvl w:ilvl="0">
      <w:lvlJc w:val="left"/>
      <w:lvlText w:val="(%1)"/>
      <w:numFmt w:val="decimal"/>
      <w:start w:val="2"/>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2"/>
    </w:lvl>
  </w:abstractNum>
  <w:abstractNum w:abstractNumId="20">
    <w:nsid w:val="5072367"/>
    <w:multiLevelType w:val="hybridMultilevel"/>
    <w:lvl w:ilvl="0">
      <w:lvlJc w:val="left"/>
      <w:lvlText w:val="(%1)"/>
      <w:numFmt w:val="lowerLetter"/>
      <w:start w:val="3"/>
    </w:lvl>
  </w:abstractNum>
  <w:abstractNum w:abstractNumId="21">
    <w:nsid w:val="3804823E"/>
    <w:multiLevelType w:val="hybridMultilevel"/>
    <w:lvl w:ilvl="0">
      <w:lvlJc w:val="left"/>
      <w:lvlText w:val="(%1)"/>
      <w:numFmt w:val="lowerLetter"/>
      <w:start w:val="4"/>
    </w:lvl>
  </w:abstractNum>
  <w:abstractNum w:abstractNumId="22">
    <w:nsid w:val="77465F01"/>
    <w:multiLevelType w:val="hybridMultilevel"/>
    <w:lvl w:ilvl="0">
      <w:lvlJc w:val="left"/>
      <w:lvlText w:val="(%1)"/>
      <w:numFmt w:val="lowerLetter"/>
      <w:start w:val="5"/>
    </w:lvl>
  </w:abstractNum>
  <w:abstractNum w:abstractNumId="23">
    <w:nsid w:val="7724C67E"/>
    <w:multiLevelType w:val="hybridMultilevel"/>
    <w:lvl w:ilvl="0">
      <w:lvlJc w:val="left"/>
      <w:lvlText w:val="(%1)"/>
      <w:numFmt w:val="lowerLetter"/>
      <w:start w:val="6"/>
    </w:lvl>
  </w:abstractNum>
  <w:abstractNum w:abstractNumId="24">
    <w:nsid w:val="5C482A97"/>
    <w:multiLevelType w:val="hybridMultilevel"/>
    <w:lvl w:ilvl="0">
      <w:lvlJc w:val="left"/>
      <w:lvlText w:val="(%1)"/>
      <w:numFmt w:val="lowerLetter"/>
      <w:start w:val="7"/>
    </w:lvl>
  </w:abstractNum>
  <w:abstractNum w:abstractNumId="25">
    <w:nsid w:val="2463B9EA"/>
    <w:multiLevelType w:val="hybridMultilevel"/>
    <w:lvl w:ilvl="0">
      <w:lvlJc w:val="left"/>
      <w:lvlText w:val="(%1)"/>
      <w:numFmt w:val="lowerLetter"/>
      <w:start w:val="8"/>
    </w:lvl>
  </w:abstractNum>
  <w:abstractNum w:abstractNumId="26">
    <w:nsid w:val="5E884ADC"/>
    <w:multiLevelType w:val="hybridMultilevel"/>
    <w:lvl w:ilvl="0">
      <w:lvlJc w:val="left"/>
      <w:lvlText w:val="(%1)"/>
      <w:numFmt w:val="lowerRoman"/>
      <w:start w:val="1"/>
    </w:lvl>
  </w:abstractNum>
  <w:abstractNum w:abstractNumId="27">
    <w:nsid w:val="51EAD36B"/>
    <w:multiLevelType w:val="hybridMultilevel"/>
    <w:lvl w:ilvl="0">
      <w:lvlJc w:val="left"/>
      <w:lvlText w:val="(%1)"/>
      <w:numFmt w:val="lowerLetter"/>
      <w:start w:val="10"/>
    </w:lvl>
  </w:abstractNum>
  <w:abstractNum w:abstractNumId="28">
    <w:nsid w:val="2D517796"/>
    <w:multiLevelType w:val="hybridMultilevel"/>
    <w:lvl w:ilvl="0">
      <w:lvlJc w:val="left"/>
      <w:lvlText w:val="(%1)"/>
      <w:numFmt w:val="lowerLetter"/>
      <w:start w:val="11"/>
    </w:lvl>
  </w:abstractNum>
  <w:abstractNum w:abstractNumId="29">
    <w:nsid w:val="580BD78F"/>
    <w:multiLevelType w:val="hybridMultilevel"/>
    <w:lvl w:ilvl="0">
      <w:lvlJc w:val="left"/>
      <w:lvlText w:val="(%1)"/>
      <w:numFmt w:val="lowerLetter"/>
      <w:start w:val="12"/>
    </w:lvl>
  </w:abstractNum>
  <w:abstractNum w:abstractNumId="30">
    <w:nsid w:val="153EA438"/>
    <w:multiLevelType w:val="hybridMultilevel"/>
    <w:lvl w:ilvl="0">
      <w:lvlJc w:val="left"/>
      <w:lvlText w:val="(%1)"/>
      <w:numFmt w:val="lowerLetter"/>
      <w:start w:val="13"/>
    </w:lvl>
  </w:abstractNum>
  <w:abstractNum w:abstractNumId="31">
    <w:nsid w:val="3855585C"/>
    <w:multiLevelType w:val="hybridMultilevel"/>
    <w:lvl w:ilvl="0">
      <w:lvlJc w:val="left"/>
      <w:lvlText w:val="(%1)"/>
      <w:numFmt w:val="lowerLetter"/>
      <w:start w:val="14"/>
    </w:lvl>
  </w:abstractNum>
  <w:abstractNum w:abstractNumId="32">
    <w:nsid w:val="70A64E2A"/>
    <w:multiLevelType w:val="hybridMultilevel"/>
    <w:lvl w:ilvl="0">
      <w:lvlJc w:val="left"/>
      <w:lvlText w:val="(%1)"/>
      <w:numFmt w:val="lowerLetter"/>
      <w:start w:val="15"/>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lowerLetter"/>
      <w:start w:val="16"/>
    </w:lvl>
  </w:abstractNum>
  <w:abstractNum w:abstractNumId="35">
    <w:nsid w:val="1D4ED43B"/>
    <w:multiLevelType w:val="hybridMultilevel"/>
    <w:lvl w:ilvl="0">
      <w:lvlJc w:val="left"/>
      <w:lvlText w:val="(%1)"/>
      <w:numFmt w:val="lowerLetter"/>
      <w:start w:val="17"/>
    </w:lvl>
  </w:abstractNum>
  <w:abstractNum w:abstractNumId="36">
    <w:nsid w:val="725A06FB"/>
    <w:multiLevelType w:val="hybridMultilevel"/>
    <w:lvl w:ilvl="0">
      <w:lvlJc w:val="left"/>
      <w:lvlText w:val="(%1)"/>
      <w:numFmt w:val="lowerLetter"/>
      <w:start w:val="18"/>
    </w:lvl>
  </w:abstractNum>
  <w:abstractNum w:abstractNumId="37">
    <w:nsid w:val="2CD89A32"/>
    <w:multiLevelType w:val="hybridMultilevel"/>
    <w:lvl w:ilvl="0">
      <w:lvlJc w:val="left"/>
      <w:lvlText w:val="(%1)"/>
      <w:numFmt w:val="lowerLetter"/>
      <w:start w:val="19"/>
    </w:lvl>
  </w:abstractNum>
  <w:abstractNum w:abstractNumId="38">
    <w:nsid w:val="57E4CCAF"/>
    <w:multiLevelType w:val="hybridMultilevel"/>
    <w:lvl w:ilvl="0">
      <w:lvlJc w:val="left"/>
      <w:lvlText w:val="(%1)"/>
      <w:numFmt w:val="lowerLetter"/>
      <w:start w:val="20"/>
    </w:lvl>
  </w:abstractNum>
  <w:abstractNum w:abstractNumId="39">
    <w:nsid w:val="7A6D8D3C"/>
    <w:multiLevelType w:val="hybridMultilevel"/>
    <w:lvl w:ilvl="0">
      <w:lvlJc w:val="left"/>
      <w:lvlText w:val="(%1)"/>
      <w:numFmt w:val="lowerLetter"/>
      <w:start w:val="21"/>
    </w:lvl>
  </w:abstractNum>
  <w:abstractNum w:abstractNumId="40">
    <w:nsid w:val="4B588F54"/>
    <w:multiLevelType w:val="hybridMultilevel"/>
    <w:lvl w:ilvl="0">
      <w:lvlJc w:val="left"/>
      <w:lvlText w:val="(%1)"/>
      <w:numFmt w:val="lowerRoman"/>
      <w:start w:val="5"/>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1)"/>
      <w:numFmt w:val="lowerLetter"/>
      <w:start w:val="3"/>
    </w:lvl>
  </w:abstractNum>
  <w:abstractNum w:abstractNumId="45">
    <w:nsid w:val="32FFF902"/>
    <w:multiLevelType w:val="hybridMultilevel"/>
    <w:lvl w:ilvl="0">
      <w:lvlJc w:val="left"/>
      <w:lvlText w:val="(%1)"/>
      <w:numFmt w:val="decimal"/>
      <w:start w:val="15"/>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lowerLetter"/>
      <w:start w:val="2"/>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Letter"/>
      <w:start w:val="2"/>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2025-10-23T19:35:20Z</dcterms:created>
  <dcterms:modified xsi:type="dcterms:W3CDTF">2025-10-23T19:35:20Z</dcterms:modified>
</cp:coreProperties>
</file>