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5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157480</wp:posOffset>
            </wp:positionH>
            <wp:positionV relativeFrom="page">
              <wp:posOffset>157480</wp:posOffset>
            </wp:positionV>
            <wp:extent cx="7246620"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342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226060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33" w:lineRule="exact"/>
        <w:rPr>
          <w:sz w:val="24"/>
          <w:szCs w:val="24"/>
          <w:color w:val="auto"/>
        </w:rPr>
      </w:pPr>
    </w:p>
    <w:p>
      <w:pPr>
        <w:jc w:val="center"/>
        <w:ind w:right="-59"/>
        <w:spacing w:after="0"/>
        <w:rPr>
          <w:sz w:val="20"/>
          <w:szCs w:val="20"/>
          <w:color w:val="auto"/>
        </w:rPr>
      </w:pPr>
      <w:r>
        <w:rPr>
          <w:rFonts w:ascii="Arial" w:cs="Arial" w:eastAsia="Arial" w:hAnsi="Arial"/>
          <w:sz w:val="32"/>
          <w:szCs w:val="32"/>
          <w:b w:val="1"/>
          <w:bCs w:val="1"/>
          <w:color w:val="auto"/>
        </w:rPr>
        <w:t>SECURITIES AND EXCHANGE COMMISSION</w:t>
      </w:r>
    </w:p>
    <w:p>
      <w:pPr>
        <w:spacing w:after="0" w:line="4"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WASHINGTON, DC 20549</w:t>
      </w:r>
    </w:p>
    <w:p>
      <w:pPr>
        <w:spacing w:after="0" w:line="182" w:lineRule="exact"/>
        <w:rPr>
          <w:sz w:val="24"/>
          <w:szCs w:val="24"/>
          <w:color w:val="auto"/>
        </w:rPr>
      </w:pPr>
    </w:p>
    <w:p>
      <w:pPr>
        <w:jc w:val="center"/>
        <w:ind w:right="-59"/>
        <w:spacing w:after="0"/>
        <w:rPr>
          <w:sz w:val="20"/>
          <w:szCs w:val="20"/>
          <w:color w:val="auto"/>
        </w:rPr>
      </w:pPr>
      <w:r>
        <w:rPr>
          <w:rFonts w:ascii="Arial" w:cs="Arial" w:eastAsia="Arial" w:hAnsi="Arial"/>
          <w:sz w:val="32"/>
          <w:szCs w:val="32"/>
          <w:b w:val="1"/>
          <w:bCs w:val="1"/>
          <w:color w:val="auto"/>
        </w:rPr>
        <w:t>FORM 8-K</w:t>
      </w:r>
    </w:p>
    <w:p>
      <w:pPr>
        <w:spacing w:after="0" w:line="226" w:lineRule="exact"/>
        <w:rPr>
          <w:sz w:val="24"/>
          <w:szCs w:val="24"/>
          <w:color w:val="auto"/>
        </w:rPr>
      </w:pPr>
    </w:p>
    <w:p>
      <w:pPr>
        <w:jc w:val="center"/>
        <w:ind w:right="-59"/>
        <w:spacing w:after="0"/>
        <w:rPr>
          <w:sz w:val="20"/>
          <w:szCs w:val="20"/>
          <w:color w:val="auto"/>
        </w:rPr>
      </w:pPr>
      <w:r>
        <w:rPr>
          <w:rFonts w:ascii="Arial" w:cs="Arial" w:eastAsia="Arial" w:hAnsi="Arial"/>
          <w:sz w:val="22"/>
          <w:szCs w:val="22"/>
          <w:b w:val="1"/>
          <w:bCs w:val="1"/>
          <w:color w:val="auto"/>
        </w:rPr>
        <w:t>CURRENT REPORT</w:t>
      </w:r>
    </w:p>
    <w:p>
      <w:pPr>
        <w:spacing w:after="0" w:line="4" w:lineRule="exact"/>
        <w:rPr>
          <w:sz w:val="24"/>
          <w:szCs w:val="24"/>
          <w:color w:val="auto"/>
        </w:rPr>
      </w:pPr>
    </w:p>
    <w:p>
      <w:pPr>
        <w:jc w:val="center"/>
        <w:ind w:right="-59"/>
        <w:spacing w:after="0"/>
        <w:rPr>
          <w:sz w:val="20"/>
          <w:szCs w:val="20"/>
          <w:color w:val="auto"/>
        </w:rPr>
      </w:pPr>
      <w:r>
        <w:rPr>
          <w:rFonts w:ascii="Arial" w:cs="Arial" w:eastAsia="Arial" w:hAnsi="Arial"/>
          <w:sz w:val="22"/>
          <w:szCs w:val="22"/>
          <w:b w:val="1"/>
          <w:bCs w:val="1"/>
          <w:color w:val="auto"/>
        </w:rPr>
        <w:t>Pursuant to Section 13 or 15(d) of the</w:t>
      </w:r>
    </w:p>
    <w:p>
      <w:pPr>
        <w:jc w:val="center"/>
        <w:ind w:right="-59"/>
        <w:spacing w:after="0"/>
        <w:rPr>
          <w:sz w:val="20"/>
          <w:szCs w:val="20"/>
          <w:color w:val="auto"/>
        </w:rPr>
      </w:pPr>
      <w:r>
        <w:rPr>
          <w:rFonts w:ascii="Arial" w:cs="Arial" w:eastAsia="Arial" w:hAnsi="Arial"/>
          <w:sz w:val="22"/>
          <w:szCs w:val="22"/>
          <w:b w:val="1"/>
          <w:bCs w:val="1"/>
          <w:color w:val="auto"/>
        </w:rPr>
        <w:t>Securities Exchange Act of 1934</w:t>
      </w:r>
    </w:p>
    <w:p>
      <w:pPr>
        <w:spacing w:after="0" w:line="191" w:lineRule="exact"/>
        <w:rPr>
          <w:sz w:val="24"/>
          <w:szCs w:val="24"/>
          <w:color w:val="auto"/>
        </w:rPr>
      </w:pPr>
    </w:p>
    <w:p>
      <w:pPr>
        <w:jc w:val="center"/>
        <w:ind w:right="-59"/>
        <w:spacing w:after="0"/>
        <w:rPr>
          <w:sz w:val="20"/>
          <w:szCs w:val="20"/>
          <w:color w:val="auto"/>
        </w:rPr>
      </w:pPr>
      <w:r>
        <w:rPr>
          <w:rFonts w:ascii="Arial" w:cs="Arial" w:eastAsia="Arial" w:hAnsi="Arial"/>
          <w:sz w:val="18"/>
          <w:szCs w:val="18"/>
          <w:color w:val="auto"/>
        </w:rPr>
        <w:t xml:space="preserve">Date of Report (Date of earliest event reported): </w:t>
      </w:r>
      <w:r>
        <w:rPr>
          <w:rFonts w:ascii="Arial" w:cs="Arial" w:eastAsia="Arial" w:hAnsi="Arial"/>
          <w:sz w:val="18"/>
          <w:szCs w:val="18"/>
          <w:b w:val="1"/>
          <w:bCs w:val="1"/>
          <w:color w:val="auto"/>
        </w:rPr>
        <w:t>June 30, 2014</w:t>
      </w:r>
    </w:p>
    <w:p>
      <w:pPr>
        <w:spacing w:after="0" w:line="202" w:lineRule="exact"/>
        <w:rPr>
          <w:sz w:val="24"/>
          <w:szCs w:val="24"/>
          <w:color w:val="auto"/>
        </w:rPr>
      </w:pPr>
    </w:p>
    <w:p>
      <w:pPr>
        <w:jc w:val="center"/>
        <w:ind w:right="-59"/>
        <w:spacing w:after="0"/>
        <w:rPr>
          <w:sz w:val="20"/>
          <w:szCs w:val="20"/>
          <w:color w:val="auto"/>
        </w:rPr>
      </w:pPr>
      <w:r>
        <w:rPr>
          <w:rFonts w:ascii="Arial" w:cs="Arial" w:eastAsia="Arial" w:hAnsi="Arial"/>
          <w:sz w:val="32"/>
          <w:szCs w:val="32"/>
          <w:b w:val="1"/>
          <w:bCs w:val="1"/>
          <w:color w:val="auto"/>
        </w:rPr>
        <w:t>PAYLOCITY HOLDING CORPORATION</w:t>
      </w:r>
    </w:p>
    <w:p>
      <w:pPr>
        <w:spacing w:after="0" w:line="40" w:lineRule="exact"/>
        <w:rPr>
          <w:sz w:val="24"/>
          <w:szCs w:val="24"/>
          <w:color w:val="auto"/>
        </w:rPr>
      </w:pPr>
    </w:p>
    <w:p>
      <w:pPr>
        <w:jc w:val="center"/>
        <w:ind w:right="-59"/>
        <w:spacing w:after="0"/>
        <w:rPr>
          <w:sz w:val="20"/>
          <w:szCs w:val="20"/>
          <w:color w:val="auto"/>
        </w:rPr>
      </w:pPr>
      <w:r>
        <w:rPr>
          <w:rFonts w:ascii="Arial" w:cs="Arial" w:eastAsia="Arial" w:hAnsi="Arial"/>
          <w:sz w:val="18"/>
          <w:szCs w:val="18"/>
          <w:color w:val="auto"/>
        </w:rPr>
        <w:t>(Exact name of registrant as specified in charter)</w:t>
      </w:r>
    </w:p>
    <w:p>
      <w:pPr>
        <w:sectPr>
          <w:pgSz w:w="11900" w:h="16838" w:orient="portrait"/>
          <w:cols w:equalWidth="0" w:num="1">
            <w:col w:w="11360"/>
          </w:cols>
          <w:pgMar w:left="240" w:top="544" w:right="299" w:bottom="0" w:gutter="0" w:footer="0" w:header="0"/>
        </w:sectPr>
      </w:pPr>
    </w:p>
    <w:p>
      <w:pPr>
        <w:spacing w:after="0" w:line="205" w:lineRule="exact"/>
        <w:rPr>
          <w:sz w:val="24"/>
          <w:szCs w:val="24"/>
          <w:color w:val="auto"/>
        </w:rPr>
      </w:pPr>
    </w:p>
    <w:p>
      <w:pPr>
        <w:ind w:left="1480"/>
        <w:spacing w:after="0"/>
        <w:rPr>
          <w:sz w:val="20"/>
          <w:szCs w:val="20"/>
          <w:color w:val="auto"/>
        </w:rPr>
      </w:pPr>
      <w:r>
        <w:rPr>
          <w:rFonts w:ascii="Arial" w:cs="Arial" w:eastAsia="Arial" w:hAnsi="Arial"/>
          <w:sz w:val="18"/>
          <w:szCs w:val="18"/>
          <w:b w:val="1"/>
          <w:bCs w:val="1"/>
          <w:color w:val="auto"/>
        </w:rPr>
        <w:t>Delaware</w:t>
      </w:r>
    </w:p>
    <w:p>
      <w:pPr>
        <w:spacing w:after="0" w:line="27" w:lineRule="exact"/>
        <w:rPr>
          <w:sz w:val="24"/>
          <w:szCs w:val="24"/>
          <w:color w:val="auto"/>
        </w:rPr>
      </w:pPr>
    </w:p>
    <w:p>
      <w:pPr>
        <w:ind w:left="760"/>
        <w:spacing w:after="0"/>
        <w:rPr>
          <w:sz w:val="20"/>
          <w:szCs w:val="20"/>
          <w:color w:val="auto"/>
        </w:rPr>
      </w:pPr>
      <w:r>
        <w:rPr>
          <w:rFonts w:ascii="Arial" w:cs="Arial" w:eastAsia="Arial" w:hAnsi="Arial"/>
          <w:sz w:val="16"/>
          <w:szCs w:val="16"/>
          <w:color w:val="auto"/>
        </w:rPr>
        <w:t>(State or Other Jurisdiction of</w:t>
      </w:r>
    </w:p>
    <w:p>
      <w:pPr>
        <w:spacing w:after="0" w:line="32" w:lineRule="exact"/>
        <w:rPr>
          <w:sz w:val="24"/>
          <w:szCs w:val="24"/>
          <w:color w:val="auto"/>
        </w:rPr>
      </w:pPr>
    </w:p>
    <w:p>
      <w:pPr>
        <w:ind w:left="1320"/>
        <w:spacing w:after="0"/>
        <w:rPr>
          <w:sz w:val="20"/>
          <w:szCs w:val="20"/>
          <w:color w:val="auto"/>
        </w:rPr>
      </w:pPr>
      <w:r>
        <w:rPr>
          <w:rFonts w:ascii="Arial" w:cs="Arial" w:eastAsia="Arial" w:hAnsi="Arial"/>
          <w:sz w:val="18"/>
          <w:szCs w:val="18"/>
          <w:color w:val="auto"/>
        </w:rPr>
        <w:t>Incorporation)</w:t>
      </w:r>
    </w:p>
    <w:p>
      <w:pPr>
        <w:spacing w:after="0" w:line="20" w:lineRule="exact"/>
        <w:rPr>
          <w:sz w:val="24"/>
          <w:szCs w:val="24"/>
          <w:color w:val="auto"/>
        </w:rPr>
      </w:pPr>
      <w:r>
        <w:rPr>
          <w:sz w:val="24"/>
          <w:szCs w:val="24"/>
          <w:color w:val="auto"/>
        </w:rPr>
        <w:br w:type="column"/>
      </w:r>
    </w:p>
    <w:p>
      <w:pPr>
        <w:spacing w:after="0" w:line="185" w:lineRule="exact"/>
        <w:rPr>
          <w:sz w:val="24"/>
          <w:szCs w:val="24"/>
          <w:color w:val="auto"/>
        </w:rPr>
      </w:pPr>
    </w:p>
    <w:p>
      <w:pPr>
        <w:jc w:val="center"/>
        <w:ind w:right="1040"/>
        <w:spacing w:after="0"/>
        <w:rPr>
          <w:sz w:val="20"/>
          <w:szCs w:val="20"/>
          <w:color w:val="auto"/>
        </w:rPr>
      </w:pPr>
      <w:r>
        <w:rPr>
          <w:rFonts w:ascii="Arial" w:cs="Arial" w:eastAsia="Arial" w:hAnsi="Arial"/>
          <w:sz w:val="18"/>
          <w:szCs w:val="18"/>
          <w:b w:val="1"/>
          <w:bCs w:val="1"/>
          <w:color w:val="auto"/>
        </w:rPr>
        <w:t>001-36348</w:t>
      </w:r>
    </w:p>
    <w:p>
      <w:pPr>
        <w:spacing w:after="0" w:line="27" w:lineRule="exact"/>
        <w:rPr>
          <w:sz w:val="24"/>
          <w:szCs w:val="24"/>
          <w:color w:val="auto"/>
        </w:rPr>
      </w:pPr>
    </w:p>
    <w:p>
      <w:pPr>
        <w:jc w:val="center"/>
        <w:ind w:right="1040"/>
        <w:spacing w:after="0"/>
        <w:rPr>
          <w:sz w:val="20"/>
          <w:szCs w:val="20"/>
          <w:color w:val="auto"/>
        </w:rPr>
      </w:pPr>
      <w:r>
        <w:rPr>
          <w:rFonts w:ascii="Arial" w:cs="Arial" w:eastAsia="Arial" w:hAnsi="Arial"/>
          <w:sz w:val="16"/>
          <w:szCs w:val="16"/>
          <w:color w:val="auto"/>
        </w:rPr>
        <w:t>(Commission File Number)</w:t>
      </w:r>
    </w:p>
    <w:p>
      <w:pPr>
        <w:spacing w:after="0" w:line="20" w:lineRule="exact"/>
        <w:rPr>
          <w:sz w:val="24"/>
          <w:szCs w:val="24"/>
          <w:color w:val="auto"/>
        </w:rPr>
      </w:pPr>
      <w:r>
        <w:rPr>
          <w:sz w:val="24"/>
          <w:szCs w:val="24"/>
          <w:color w:val="auto"/>
        </w:rPr>
        <w:br w:type="column"/>
      </w:r>
    </w:p>
    <w:p>
      <w:pPr>
        <w:spacing w:after="0" w:line="185" w:lineRule="exact"/>
        <w:rPr>
          <w:sz w:val="24"/>
          <w:szCs w:val="24"/>
          <w:color w:val="auto"/>
        </w:rPr>
      </w:pPr>
    </w:p>
    <w:p>
      <w:pPr>
        <w:jc w:val="center"/>
        <w:ind w:right="640"/>
        <w:spacing w:after="0"/>
        <w:rPr>
          <w:sz w:val="20"/>
          <w:szCs w:val="20"/>
          <w:color w:val="auto"/>
        </w:rPr>
      </w:pPr>
      <w:r>
        <w:rPr>
          <w:rFonts w:ascii="Arial" w:cs="Arial" w:eastAsia="Arial" w:hAnsi="Arial"/>
          <w:sz w:val="18"/>
          <w:szCs w:val="18"/>
          <w:b w:val="1"/>
          <w:bCs w:val="1"/>
          <w:color w:val="auto"/>
        </w:rPr>
        <w:t>46-4066644</w:t>
      </w:r>
    </w:p>
    <w:p>
      <w:pPr>
        <w:spacing w:after="0" w:line="27" w:lineRule="exact"/>
        <w:rPr>
          <w:sz w:val="24"/>
          <w:szCs w:val="24"/>
          <w:color w:val="auto"/>
        </w:rPr>
      </w:pPr>
    </w:p>
    <w:p>
      <w:pPr>
        <w:jc w:val="center"/>
        <w:ind w:right="640"/>
        <w:spacing w:after="0"/>
        <w:rPr>
          <w:sz w:val="20"/>
          <w:szCs w:val="20"/>
          <w:color w:val="auto"/>
        </w:rPr>
      </w:pPr>
      <w:r>
        <w:rPr>
          <w:rFonts w:ascii="Arial" w:cs="Arial" w:eastAsia="Arial" w:hAnsi="Arial"/>
          <w:sz w:val="16"/>
          <w:szCs w:val="16"/>
          <w:color w:val="auto"/>
        </w:rPr>
        <w:t>(I.R.S. Employer Identification</w:t>
      </w:r>
    </w:p>
    <w:p>
      <w:pPr>
        <w:spacing w:after="0" w:line="32" w:lineRule="exact"/>
        <w:rPr>
          <w:sz w:val="24"/>
          <w:szCs w:val="24"/>
          <w:color w:val="auto"/>
        </w:rPr>
      </w:pPr>
    </w:p>
    <w:p>
      <w:pPr>
        <w:jc w:val="center"/>
        <w:ind w:right="640"/>
        <w:spacing w:after="0"/>
        <w:rPr>
          <w:sz w:val="20"/>
          <w:szCs w:val="20"/>
          <w:color w:val="auto"/>
        </w:rPr>
      </w:pPr>
      <w:r>
        <w:rPr>
          <w:rFonts w:ascii="Arial" w:cs="Arial" w:eastAsia="Arial" w:hAnsi="Arial"/>
          <w:sz w:val="18"/>
          <w:szCs w:val="18"/>
          <w:color w:val="auto"/>
        </w:rPr>
        <w:t>Number)</w:t>
      </w:r>
    </w:p>
    <w:p>
      <w:pPr>
        <w:spacing w:after="0" w:line="200" w:lineRule="exact"/>
        <w:rPr>
          <w:sz w:val="24"/>
          <w:szCs w:val="24"/>
          <w:color w:val="auto"/>
        </w:rPr>
      </w:pPr>
    </w:p>
    <w:p>
      <w:pPr>
        <w:sectPr>
          <w:pgSz w:w="11900" w:h="16838" w:orient="portrait"/>
          <w:cols w:equalWidth="0" w:num="3">
            <w:col w:w="4020" w:space="720"/>
            <w:col w:w="3020" w:space="720"/>
            <w:col w:w="2880"/>
          </w:cols>
          <w:pgMar w:left="240" w:top="544" w:right="299" w:bottom="0" w:gutter="0" w:footer="0" w:header="0"/>
          <w:type w:val="continuous"/>
        </w:sectPr>
      </w:pPr>
    </w:p>
    <w:p>
      <w:pPr>
        <w:spacing w:after="0" w:line="7" w:lineRule="exact"/>
        <w:rPr>
          <w:sz w:val="24"/>
          <w:szCs w:val="24"/>
          <w:color w:val="auto"/>
        </w:rPr>
      </w:pPr>
    </w:p>
    <w:p>
      <w:pPr>
        <w:jc w:val="center"/>
        <w:ind w:right="-79"/>
        <w:spacing w:after="0"/>
        <w:rPr>
          <w:sz w:val="20"/>
          <w:szCs w:val="20"/>
          <w:color w:val="auto"/>
        </w:rPr>
      </w:pPr>
      <w:r>
        <w:rPr>
          <w:rFonts w:ascii="Arial" w:cs="Arial" w:eastAsia="Arial" w:hAnsi="Arial"/>
          <w:sz w:val="18"/>
          <w:szCs w:val="18"/>
          <w:b w:val="1"/>
          <w:bCs w:val="1"/>
          <w:color w:val="auto"/>
        </w:rPr>
        <w:t>3850 N. Wilke Road</w:t>
      </w:r>
    </w:p>
    <w:p>
      <w:pPr>
        <w:spacing w:after="0" w:line="27" w:lineRule="exact"/>
        <w:rPr>
          <w:sz w:val="24"/>
          <w:szCs w:val="24"/>
          <w:color w:val="auto"/>
        </w:rPr>
      </w:pPr>
    </w:p>
    <w:p>
      <w:pPr>
        <w:jc w:val="center"/>
        <w:ind w:right="-79"/>
        <w:spacing w:after="0"/>
        <w:rPr>
          <w:sz w:val="20"/>
          <w:szCs w:val="20"/>
          <w:color w:val="auto"/>
        </w:rPr>
      </w:pPr>
      <w:r>
        <w:rPr>
          <w:rFonts w:ascii="Arial" w:cs="Arial" w:eastAsia="Arial" w:hAnsi="Arial"/>
          <w:sz w:val="18"/>
          <w:szCs w:val="18"/>
          <w:b w:val="1"/>
          <w:bCs w:val="1"/>
          <w:color w:val="auto"/>
        </w:rPr>
        <w:t>Arlington Heights, Illinois 60004</w:t>
      </w:r>
    </w:p>
    <w:p>
      <w:pPr>
        <w:spacing w:after="0" w:line="9" w:lineRule="exact"/>
        <w:rPr>
          <w:sz w:val="24"/>
          <w:szCs w:val="24"/>
          <w:color w:val="auto"/>
        </w:rPr>
      </w:pPr>
    </w:p>
    <w:p>
      <w:pPr>
        <w:jc w:val="center"/>
        <w:ind w:right="-79"/>
        <w:spacing w:after="0"/>
        <w:rPr>
          <w:sz w:val="20"/>
          <w:szCs w:val="20"/>
          <w:color w:val="auto"/>
        </w:rPr>
      </w:pPr>
      <w:r>
        <w:rPr>
          <w:rFonts w:ascii="Arial" w:cs="Arial" w:eastAsia="Arial" w:hAnsi="Arial"/>
          <w:sz w:val="16"/>
          <w:szCs w:val="16"/>
          <w:color w:val="auto"/>
        </w:rPr>
        <w:t>(Address of principal executive offices, including zip code)</w:t>
      </w:r>
    </w:p>
    <w:p>
      <w:pPr>
        <w:spacing w:after="0" w:line="230" w:lineRule="exact"/>
        <w:rPr>
          <w:sz w:val="24"/>
          <w:szCs w:val="24"/>
          <w:color w:val="auto"/>
        </w:rPr>
      </w:pPr>
    </w:p>
    <w:p>
      <w:pPr>
        <w:jc w:val="center"/>
        <w:ind w:right="-79"/>
        <w:spacing w:after="0"/>
        <w:rPr>
          <w:sz w:val="20"/>
          <w:szCs w:val="20"/>
          <w:color w:val="auto"/>
        </w:rPr>
      </w:pPr>
      <w:r>
        <w:rPr>
          <w:rFonts w:ascii="Arial" w:cs="Arial" w:eastAsia="Arial" w:hAnsi="Arial"/>
          <w:sz w:val="18"/>
          <w:szCs w:val="18"/>
          <w:b w:val="1"/>
          <w:bCs w:val="1"/>
          <w:color w:val="auto"/>
        </w:rPr>
        <w:t>(847) 463-3200</w:t>
      </w:r>
    </w:p>
    <w:p>
      <w:pPr>
        <w:spacing w:after="0" w:line="27" w:lineRule="exact"/>
        <w:rPr>
          <w:sz w:val="24"/>
          <w:szCs w:val="24"/>
          <w:color w:val="auto"/>
        </w:rPr>
      </w:pPr>
    </w:p>
    <w:p>
      <w:pPr>
        <w:jc w:val="center"/>
        <w:ind w:right="-79"/>
        <w:spacing w:after="0"/>
        <w:rPr>
          <w:sz w:val="20"/>
          <w:szCs w:val="20"/>
          <w:color w:val="auto"/>
        </w:rPr>
      </w:pPr>
      <w:r>
        <w:rPr>
          <w:rFonts w:ascii="Arial" w:cs="Arial" w:eastAsia="Arial" w:hAnsi="Arial"/>
          <w:sz w:val="18"/>
          <w:szCs w:val="18"/>
          <w:color w:val="auto"/>
        </w:rPr>
        <w:t>(Registrant’s telephone number, including area code)</w:t>
      </w:r>
    </w:p>
    <w:p>
      <w:pPr>
        <w:sectPr>
          <w:pgSz w:w="11900" w:h="16838" w:orient="portrait"/>
          <w:cols w:equalWidth="0" w:num="1">
            <w:col w:w="11360"/>
          </w:cols>
          <w:pgMar w:left="240" w:top="544" w:right="299" w:bottom="0" w:gutter="0" w:footer="0" w:header="0"/>
          <w:type w:val="continuous"/>
        </w:sectPr>
      </w:pPr>
    </w:p>
    <w:p>
      <w:pPr>
        <w:spacing w:after="0" w:line="207"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Not Applicable</w:t>
      </w:r>
    </w:p>
    <w:p>
      <w:pPr>
        <w:spacing w:after="0" w:line="27" w:lineRule="exact"/>
        <w:rPr>
          <w:sz w:val="24"/>
          <w:szCs w:val="24"/>
          <w:color w:val="auto"/>
        </w:rPr>
      </w:pPr>
    </w:p>
    <w:p>
      <w:pPr>
        <w:jc w:val="center"/>
        <w:ind w:right="-59"/>
        <w:spacing w:after="0"/>
        <w:rPr>
          <w:sz w:val="20"/>
          <w:szCs w:val="20"/>
          <w:color w:val="auto"/>
        </w:rPr>
      </w:pPr>
      <w:r>
        <w:rPr>
          <w:rFonts w:ascii="Arial" w:cs="Arial" w:eastAsia="Arial" w:hAnsi="Arial"/>
          <w:sz w:val="18"/>
          <w:szCs w:val="18"/>
          <w:color w:val="auto"/>
        </w:rPr>
        <w:t>(Former name or former address, if changed since last report)</w:t>
      </w:r>
    </w:p>
    <w:p>
      <w:pPr>
        <w:spacing w:after="0" w:line="211" w:lineRule="exact"/>
        <w:rPr>
          <w:sz w:val="24"/>
          <w:szCs w:val="24"/>
          <w:color w:val="auto"/>
        </w:rPr>
      </w:pPr>
    </w:p>
    <w:p>
      <w:pPr>
        <w:ind w:right="6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170" w:lineRule="exact"/>
        <w:rPr>
          <w:sz w:val="24"/>
          <w:szCs w:val="24"/>
          <w:color w:val="auto"/>
        </w:rPr>
      </w:pPr>
    </w:p>
    <w:p>
      <w:pPr>
        <w:ind w:left="180" w:hanging="172"/>
        <w:spacing w:after="0"/>
        <w:tabs>
          <w:tab w:leader="none" w:pos="180" w:val="left"/>
        </w:tabs>
        <w:numPr>
          <w:ilvl w:val="0"/>
          <w:numId w:val="1"/>
        </w:numPr>
        <w:rPr>
          <w:rFonts w:ascii="Arial" w:cs="Arial" w:eastAsia="Arial" w:hAnsi="Arial"/>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225" w:lineRule="exact"/>
        <w:rPr>
          <w:rFonts w:ascii="Arial" w:cs="Arial" w:eastAsia="Arial" w:hAnsi="Arial"/>
          <w:sz w:val="18"/>
          <w:szCs w:val="18"/>
          <w:color w:val="auto"/>
        </w:rPr>
      </w:pPr>
    </w:p>
    <w:p>
      <w:pPr>
        <w:ind w:left="180" w:hanging="172"/>
        <w:spacing w:after="0"/>
        <w:tabs>
          <w:tab w:leader="none" w:pos="180" w:val="left"/>
        </w:tabs>
        <w:numPr>
          <w:ilvl w:val="0"/>
          <w:numId w:val="1"/>
        </w:numPr>
        <w:rPr>
          <w:rFonts w:ascii="Arial" w:cs="Arial" w:eastAsia="Arial" w:hAnsi="Arial"/>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225" w:lineRule="exact"/>
        <w:rPr>
          <w:rFonts w:ascii="Arial" w:cs="Arial" w:eastAsia="Arial" w:hAnsi="Arial"/>
          <w:sz w:val="18"/>
          <w:szCs w:val="18"/>
          <w:color w:val="auto"/>
        </w:rPr>
      </w:pPr>
    </w:p>
    <w:p>
      <w:pPr>
        <w:ind w:left="180" w:hanging="172"/>
        <w:spacing w:after="0"/>
        <w:tabs>
          <w:tab w:leader="none" w:pos="180" w:val="left"/>
        </w:tabs>
        <w:numPr>
          <w:ilvl w:val="0"/>
          <w:numId w:val="1"/>
        </w:numPr>
        <w:rPr>
          <w:rFonts w:ascii="Arial" w:cs="Arial" w:eastAsia="Arial" w:hAnsi="Arial"/>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225" w:lineRule="exact"/>
        <w:rPr>
          <w:rFonts w:ascii="Arial" w:cs="Arial" w:eastAsia="Arial" w:hAnsi="Arial"/>
          <w:sz w:val="18"/>
          <w:szCs w:val="18"/>
          <w:color w:val="auto"/>
        </w:rPr>
      </w:pPr>
    </w:p>
    <w:p>
      <w:pPr>
        <w:ind w:left="180" w:hanging="172"/>
        <w:spacing w:after="0"/>
        <w:tabs>
          <w:tab w:leader="none" w:pos="180" w:val="left"/>
        </w:tabs>
        <w:numPr>
          <w:ilvl w:val="0"/>
          <w:numId w:val="1"/>
        </w:numPr>
        <w:rPr>
          <w:rFonts w:ascii="Arial" w:cs="Arial" w:eastAsia="Arial" w:hAnsi="Arial"/>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152400</wp:posOffset>
            </wp:positionV>
            <wp:extent cx="72466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194945</wp:posOffset>
            </wp:positionV>
            <wp:extent cx="7246620" cy="342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342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433070</wp:posOffset>
            </wp:positionV>
            <wp:extent cx="7267575" cy="298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55" w:lineRule="exact"/>
        <w:rPr>
          <w:sz w:val="24"/>
          <w:szCs w:val="24"/>
          <w:color w:val="auto"/>
        </w:rPr>
      </w:pPr>
    </w:p>
    <w:p>
      <w:pPr>
        <w:ind w:right="420"/>
        <w:spacing w:after="0" w:line="282" w:lineRule="auto"/>
        <w:rPr>
          <w:sz w:val="20"/>
          <w:szCs w:val="20"/>
          <w:color w:val="auto"/>
        </w:rPr>
      </w:pPr>
      <w:r>
        <w:rPr>
          <w:rFonts w:ascii="Arial" w:cs="Arial" w:eastAsia="Arial" w:hAnsi="Arial"/>
          <w:sz w:val="18"/>
          <w:szCs w:val="18"/>
          <w:b w:val="1"/>
          <w:bCs w:val="1"/>
          <w:color w:val="auto"/>
        </w:rPr>
        <w:t>Item 5.02 Departure of Directors or Certain Officers; Election of Directors; Appointment of Certain Officers; Compensatory Arrangements of Certain Officers.</w:t>
      </w:r>
    </w:p>
    <w:p>
      <w:pPr>
        <w:spacing w:after="0" w:line="166" w:lineRule="exact"/>
        <w:rPr>
          <w:sz w:val="24"/>
          <w:szCs w:val="24"/>
          <w:color w:val="auto"/>
        </w:rPr>
      </w:pPr>
    </w:p>
    <w:p>
      <w:pPr>
        <w:ind w:right="140" w:firstLine="648"/>
        <w:spacing w:after="0" w:line="259" w:lineRule="auto"/>
        <w:rPr>
          <w:sz w:val="20"/>
          <w:szCs w:val="20"/>
          <w:color w:val="auto"/>
        </w:rPr>
      </w:pPr>
      <w:r>
        <w:rPr>
          <w:rFonts w:ascii="Arial" w:cs="Arial" w:eastAsia="Arial" w:hAnsi="Arial"/>
          <w:sz w:val="18"/>
          <w:szCs w:val="18"/>
          <w:color w:val="auto"/>
        </w:rPr>
        <w:t>The status of Steven I. Sarowitz on the board of directors of Paylocity Holding Corporation (the “Company”) changed from executive chairman to chairman effective June 30, 2014. Mr. Sarowitz will receive compensation for his service as a director and chairman of the Company’s board of directors. This compensation will be determined by the Company’s Compensation Committee in accordance with its standard practice. Mr. Sarowitz will not have an employment relationship with the Company or receive any compensation in such capacity.</w:t>
      </w:r>
    </w:p>
    <w:p>
      <w:pPr>
        <w:spacing w:after="0" w:line="183"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Item 8.01 Other Events.</w:t>
      </w:r>
    </w:p>
    <w:p>
      <w:pPr>
        <w:spacing w:after="0" w:line="229" w:lineRule="exact"/>
        <w:rPr>
          <w:sz w:val="24"/>
          <w:szCs w:val="24"/>
          <w:color w:val="auto"/>
        </w:rPr>
      </w:pPr>
    </w:p>
    <w:p>
      <w:pPr>
        <w:ind w:right="40" w:firstLine="648"/>
        <w:spacing w:after="0" w:line="257" w:lineRule="auto"/>
        <w:rPr>
          <w:sz w:val="20"/>
          <w:szCs w:val="20"/>
          <w:color w:val="auto"/>
        </w:rPr>
      </w:pPr>
      <w:r>
        <w:rPr>
          <w:rFonts w:ascii="Arial" w:cs="Arial" w:eastAsia="Arial" w:hAnsi="Arial"/>
          <w:sz w:val="18"/>
          <w:szCs w:val="18"/>
          <w:color w:val="auto"/>
        </w:rPr>
        <w:t>On June 30, 2014 the Company entered into a Memorandum of Understanding (the “Agreement”) with Steven I. Sarowitz and Blue Marble Payroll, LLC (“Blue Marble”), an affiliate of Mr. Sarowitz. Blue Marble is seeking to become an international payroll management solution designed to facilitate international payroll processing through a network of in-country foreign payroll providers. Blue Marble does not currently and does not intend in the future to provide payroll processing services in the United States of America and, as described below, Mr. Sarowitz and Blue Marble have agreed not to compete with the Company.</w:t>
      </w:r>
    </w:p>
    <w:p>
      <w:pPr>
        <w:spacing w:after="0" w:line="188" w:lineRule="exact"/>
        <w:rPr>
          <w:sz w:val="24"/>
          <w:szCs w:val="24"/>
          <w:color w:val="auto"/>
        </w:rPr>
      </w:pPr>
    </w:p>
    <w:p>
      <w:pPr>
        <w:ind w:right="60" w:firstLine="648"/>
        <w:spacing w:after="0" w:line="257" w:lineRule="auto"/>
        <w:rPr>
          <w:sz w:val="20"/>
          <w:szCs w:val="20"/>
          <w:color w:val="auto"/>
        </w:rPr>
      </w:pPr>
      <w:r>
        <w:rPr>
          <w:rFonts w:ascii="Arial" w:cs="Arial" w:eastAsia="Arial" w:hAnsi="Arial"/>
          <w:sz w:val="18"/>
          <w:szCs w:val="18"/>
          <w:color w:val="auto"/>
        </w:rPr>
        <w:t>Pursuant to the terms of the Agreement, Mr. Sarowitz is entitled to devote his efforts to Blue Marble provided that such efforts do not interfere with his ability to fulfill his duties as chairman of the board of directors of the Company. Mr. Sarowitz and Blue Marble each also agree not to compete with the Company in the United States of America and not to solicit the Company’s employees. Mr. Sarowitz and Blue Marble each agree not to partner with any competitor of the Company and to refer to the Company any Blue Marble clients seeking the services typically provided by the Company in the United State of America.</w:t>
      </w:r>
    </w:p>
    <w:p>
      <w:pPr>
        <w:spacing w:after="0" w:line="188" w:lineRule="exact"/>
        <w:rPr>
          <w:sz w:val="24"/>
          <w:szCs w:val="24"/>
          <w:color w:val="auto"/>
        </w:rPr>
      </w:pPr>
    </w:p>
    <w:p>
      <w:pPr>
        <w:ind w:firstLine="648"/>
        <w:spacing w:after="0" w:line="279" w:lineRule="auto"/>
        <w:rPr>
          <w:sz w:val="20"/>
          <w:szCs w:val="20"/>
          <w:color w:val="auto"/>
        </w:rPr>
      </w:pPr>
      <w:r>
        <w:rPr>
          <w:rFonts w:ascii="Arial" w:cs="Arial" w:eastAsia="Arial" w:hAnsi="Arial"/>
          <w:sz w:val="17"/>
          <w:szCs w:val="17"/>
          <w:color w:val="auto"/>
        </w:rPr>
        <w:t>In the event that the Company enters a geographic market in which Mr. Sarowitz or Blue Marble has clients, the Company has an option to acquire Mr. Sarowitz’ or Blue Marble’s (as the case may be) operations in such market at fair market value. At the Company’s option, Mr. Sarowitz and Blue Marble will permit the Company to become a partner of Blue Marble in any international market that Mr. Sarowitz or Blue Marble enters, on terms no less favorable than those offered by Mr. Sarowitz or Blue Marble (as the case may be) to its other partners in that market.</w:t>
      </w:r>
    </w:p>
    <w:p>
      <w:pPr>
        <w:sectPr>
          <w:pgSz w:w="11900" w:h="16838" w:orient="portrait"/>
          <w:cols w:equalWidth="0" w:num="1">
            <w:col w:w="11360"/>
          </w:cols>
          <w:pgMar w:left="240" w:top="544" w:right="299" w:bottom="0" w:gutter="0" w:footer="0" w:header="0"/>
          <w:type w:val="continuous"/>
        </w:sectPr>
      </w:pPr>
    </w:p>
    <w:bookmarkStart w:id="1" w:name="page2"/>
    <w:bookmarkEnd w:id="1"/>
    <w:p>
      <w:pPr>
        <w:ind w:right="260" w:firstLine="648"/>
        <w:spacing w:after="0" w:line="277" w:lineRule="auto"/>
        <w:rPr>
          <w:sz w:val="20"/>
          <w:szCs w:val="20"/>
          <w:color w:val="auto"/>
        </w:rPr>
      </w:pPr>
      <w:r>
        <w:rPr>
          <w:rFonts w:ascii="Arial" w:cs="Arial" w:eastAsia="Arial" w:hAnsi="Arial"/>
          <w:sz w:val="18"/>
          <w:szCs w:val="18"/>
          <w:color w:val="auto"/>
        </w:rPr>
        <w:t>Services provided by the Company to Blue Marble, if any, would be billed at market rates, with no discount. Services provided by Blue Marble to the Company, if any, would be billed at the lowest rate that Blue Marble provides such services to any of its other clients.</w:t>
      </w:r>
    </w:p>
    <w:p>
      <w:pPr>
        <w:spacing w:after="0" w:line="170" w:lineRule="exact"/>
        <w:rPr>
          <w:sz w:val="20"/>
          <w:szCs w:val="20"/>
          <w:color w:val="auto"/>
        </w:rPr>
      </w:pPr>
    </w:p>
    <w:p>
      <w:pPr>
        <w:ind w:right="140" w:firstLine="648"/>
        <w:spacing w:after="0" w:line="264" w:lineRule="auto"/>
        <w:rPr>
          <w:sz w:val="20"/>
          <w:szCs w:val="20"/>
          <w:color w:val="auto"/>
        </w:rPr>
      </w:pPr>
      <w:r>
        <w:rPr>
          <w:rFonts w:ascii="Arial" w:cs="Arial" w:eastAsia="Arial" w:hAnsi="Arial"/>
          <w:sz w:val="18"/>
          <w:szCs w:val="18"/>
          <w:color w:val="auto"/>
        </w:rPr>
        <w:t>Pursuant to the terms of the Agreement, in the event of a sale of a material portion of the business or capital stock of Blue Marble, the Company has a right of first refusal to buy Blue Marble. Beginning on the third anniversary of the Agreement, the Company also has an ongoing option to acquire Blue Marble at fair market value.</w:t>
      </w:r>
    </w:p>
    <w:p>
      <w:pPr>
        <w:spacing w:after="0" w:line="181"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right="240" w:firstLine="495"/>
        <w:spacing w:after="0" w:line="277" w:lineRule="auto"/>
        <w:rPr>
          <w:sz w:val="20"/>
          <w:szCs w:val="20"/>
          <w:color w:val="auto"/>
        </w:rPr>
      </w:pPr>
      <w:r>
        <w:rPr>
          <w:rFonts w:ascii="Arial" w:cs="Arial" w:eastAsia="Arial" w:hAnsi="Arial"/>
          <w:sz w:val="18"/>
          <w:szCs w:val="18"/>
          <w:color w:val="auto"/>
        </w:rPr>
        <w:t>Pursuant to the requirements of the Securities Exchange Act of 1934, as amended, the registrant has duly caused this report to be signed on its behalf by the undersigned hereunto duly authorized.</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500" w:type="dxa"/>
            <w:vAlign w:val="bottom"/>
          </w:tcPr>
          <w:p>
            <w:pPr>
              <w:spacing w:after="0"/>
              <w:rPr>
                <w:sz w:val="20"/>
                <w:szCs w:val="20"/>
                <w:color w:val="auto"/>
              </w:rPr>
            </w:pPr>
          </w:p>
        </w:tc>
        <w:tc>
          <w:tcPr>
            <w:tcW w:w="7920" w:type="dxa"/>
            <w:vAlign w:val="bottom"/>
            <w:gridSpan w:val="2"/>
          </w:tcPr>
          <w:p>
            <w:pPr>
              <w:ind w:left="2240"/>
              <w:spacing w:after="0"/>
              <w:rPr>
                <w:sz w:val="20"/>
                <w:szCs w:val="20"/>
                <w:color w:val="auto"/>
              </w:rPr>
            </w:pPr>
            <w:r>
              <w:rPr>
                <w:rFonts w:ascii="Arial" w:cs="Arial" w:eastAsia="Arial" w:hAnsi="Arial"/>
                <w:sz w:val="18"/>
                <w:szCs w:val="18"/>
                <w:color w:val="auto"/>
              </w:rPr>
              <w:t>PAYLOCITY HOLDING CORPORATION</w:t>
            </w:r>
          </w:p>
        </w:tc>
        <w:tc>
          <w:tcPr>
            <w:tcW w:w="40" w:type="dxa"/>
            <w:vAlign w:val="bottom"/>
          </w:tcPr>
          <w:p>
            <w:pPr>
              <w:spacing w:after="0"/>
              <w:rPr>
                <w:sz w:val="20"/>
                <w:szCs w:val="20"/>
                <w:color w:val="auto"/>
              </w:rPr>
            </w:pPr>
          </w:p>
        </w:tc>
      </w:tr>
      <w:tr>
        <w:trPr>
          <w:trHeight w:val="648"/>
        </w:trPr>
        <w:tc>
          <w:tcPr>
            <w:tcW w:w="3500" w:type="dxa"/>
            <w:vAlign w:val="bottom"/>
          </w:tcPr>
          <w:p>
            <w:pPr>
              <w:spacing w:after="0"/>
              <w:rPr>
                <w:sz w:val="20"/>
                <w:szCs w:val="20"/>
                <w:color w:val="auto"/>
              </w:rPr>
            </w:pPr>
            <w:r>
              <w:rPr>
                <w:rFonts w:ascii="Arial" w:cs="Arial" w:eastAsia="Arial" w:hAnsi="Arial"/>
                <w:sz w:val="18"/>
                <w:szCs w:val="18"/>
                <w:color w:val="auto"/>
              </w:rPr>
              <w:t>Date: July 7, 2014</w:t>
            </w:r>
          </w:p>
        </w:tc>
        <w:tc>
          <w:tcPr>
            <w:tcW w:w="7920" w:type="dxa"/>
            <w:vAlign w:val="bottom"/>
            <w:gridSpan w:val="2"/>
          </w:tcPr>
          <w:p>
            <w:pPr>
              <w:ind w:left="2240"/>
              <w:spacing w:after="0"/>
              <w:rPr>
                <w:sz w:val="20"/>
                <w:szCs w:val="20"/>
                <w:color w:val="auto"/>
              </w:rPr>
            </w:pPr>
            <w:r>
              <w:rPr>
                <w:rFonts w:ascii="Arial" w:cs="Arial" w:eastAsia="Arial" w:hAnsi="Arial"/>
                <w:sz w:val="18"/>
                <w:szCs w:val="18"/>
                <w:color w:val="auto"/>
              </w:rPr>
              <w:t>By:  /s/ Steven R. Beauchamp</w:t>
            </w:r>
          </w:p>
        </w:tc>
        <w:tc>
          <w:tcPr>
            <w:tcW w:w="40" w:type="dxa"/>
            <w:vAlign w:val="bottom"/>
          </w:tcPr>
          <w:p>
            <w:pPr>
              <w:spacing w:after="0"/>
              <w:rPr>
                <w:sz w:val="24"/>
                <w:szCs w:val="24"/>
                <w:color w:val="auto"/>
              </w:rPr>
            </w:pPr>
          </w:p>
        </w:tc>
      </w:tr>
      <w:tr>
        <w:trPr>
          <w:trHeight w:val="195"/>
        </w:trPr>
        <w:tc>
          <w:tcPr>
            <w:tcW w:w="3500" w:type="dxa"/>
            <w:vAlign w:val="bottom"/>
          </w:tcPr>
          <w:p>
            <w:pPr>
              <w:spacing w:after="0"/>
              <w:rPr>
                <w:sz w:val="16"/>
                <w:szCs w:val="16"/>
                <w:color w:val="auto"/>
              </w:rPr>
            </w:pPr>
          </w:p>
        </w:tc>
        <w:tc>
          <w:tcPr>
            <w:tcW w:w="2700" w:type="dxa"/>
            <w:vAlign w:val="bottom"/>
          </w:tcPr>
          <w:p>
            <w:pPr>
              <w:spacing w:after="0"/>
              <w:rPr>
                <w:sz w:val="16"/>
                <w:szCs w:val="16"/>
                <w:color w:val="auto"/>
              </w:rPr>
            </w:pPr>
          </w:p>
        </w:tc>
        <w:tc>
          <w:tcPr>
            <w:tcW w:w="522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Steven R. Beauchamp</w:t>
            </w:r>
          </w:p>
        </w:tc>
        <w:tc>
          <w:tcPr>
            <w:tcW w:w="40" w:type="dxa"/>
            <w:vAlign w:val="bottom"/>
          </w:tcPr>
          <w:p>
            <w:pPr>
              <w:spacing w:after="0"/>
              <w:rPr>
                <w:sz w:val="16"/>
                <w:szCs w:val="16"/>
                <w:color w:val="auto"/>
              </w:rPr>
            </w:pPr>
          </w:p>
        </w:tc>
      </w:tr>
      <w:tr>
        <w:trPr>
          <w:trHeight w:val="230"/>
        </w:trPr>
        <w:tc>
          <w:tcPr>
            <w:tcW w:w="3500" w:type="dxa"/>
            <w:vAlign w:val="bottom"/>
          </w:tcPr>
          <w:p>
            <w:pPr>
              <w:spacing w:after="0"/>
              <w:rPr>
                <w:sz w:val="20"/>
                <w:szCs w:val="20"/>
                <w:color w:val="auto"/>
              </w:rPr>
            </w:pPr>
          </w:p>
        </w:tc>
        <w:tc>
          <w:tcPr>
            <w:tcW w:w="2700" w:type="dxa"/>
            <w:vAlign w:val="bottom"/>
          </w:tcPr>
          <w:p>
            <w:pPr>
              <w:spacing w:after="0"/>
              <w:rPr>
                <w:sz w:val="20"/>
                <w:szCs w:val="20"/>
                <w:color w:val="auto"/>
              </w:rPr>
            </w:pPr>
          </w:p>
        </w:tc>
        <w:tc>
          <w:tcPr>
            <w:tcW w:w="5220" w:type="dxa"/>
            <w:vAlign w:val="bottom"/>
          </w:tcPr>
          <w:p>
            <w:pPr>
              <w:spacing w:after="0"/>
              <w:rPr>
                <w:sz w:val="20"/>
                <w:szCs w:val="20"/>
                <w:color w:val="auto"/>
              </w:rPr>
            </w:pPr>
            <w:r>
              <w:rPr>
                <w:rFonts w:ascii="Arial" w:cs="Arial" w:eastAsia="Arial" w:hAnsi="Arial"/>
                <w:sz w:val="18"/>
                <w:szCs w:val="18"/>
                <w:color w:val="auto"/>
              </w:rPr>
              <w:t>President and Chief Executive Officer</w:t>
            </w:r>
          </w:p>
        </w:tc>
        <w:tc>
          <w:tcPr>
            <w:tcW w:w="40" w:type="dxa"/>
            <w:vAlign w:val="bottom"/>
          </w:tcPr>
          <w:p>
            <w:pPr>
              <w:spacing w:after="0"/>
              <w:rPr>
                <w:sz w:val="20"/>
                <w:szCs w:val="20"/>
                <w:color w:val="auto"/>
              </w:rPr>
            </w:pPr>
          </w:p>
        </w:tc>
      </w:tr>
      <w:tr>
        <w:trPr>
          <w:trHeight w:val="432"/>
        </w:trPr>
        <w:tc>
          <w:tcPr>
            <w:tcW w:w="3500" w:type="dxa"/>
            <w:vAlign w:val="bottom"/>
          </w:tcPr>
          <w:p>
            <w:pPr>
              <w:spacing w:after="0"/>
              <w:rPr>
                <w:sz w:val="24"/>
                <w:szCs w:val="24"/>
                <w:color w:val="auto"/>
              </w:rPr>
            </w:pPr>
          </w:p>
        </w:tc>
        <w:tc>
          <w:tcPr>
            <w:tcW w:w="2700" w:type="dxa"/>
            <w:vAlign w:val="bottom"/>
          </w:tcPr>
          <w:p>
            <w:pPr>
              <w:jc w:val="right"/>
              <w:ind w:right="350"/>
              <w:spacing w:after="0"/>
              <w:rPr>
                <w:sz w:val="20"/>
                <w:szCs w:val="20"/>
                <w:color w:val="auto"/>
              </w:rPr>
            </w:pPr>
            <w:r>
              <w:rPr>
                <w:rFonts w:ascii="Arial" w:cs="Arial" w:eastAsia="Arial" w:hAnsi="Arial"/>
                <w:sz w:val="18"/>
                <w:szCs w:val="18"/>
                <w:color w:val="auto"/>
              </w:rPr>
              <w:t>3</w:t>
            </w:r>
          </w:p>
        </w:tc>
        <w:tc>
          <w:tcPr>
            <w:tcW w:w="522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132"/>
        </w:trPr>
        <w:tc>
          <w:tcPr>
            <w:tcW w:w="3500" w:type="dxa"/>
            <w:vAlign w:val="bottom"/>
            <w:tcBorders>
              <w:bottom w:val="single" w:sz="8" w:color="010101"/>
            </w:tcBorders>
          </w:tcPr>
          <w:p>
            <w:pPr>
              <w:spacing w:after="0"/>
              <w:rPr>
                <w:sz w:val="11"/>
                <w:szCs w:val="11"/>
                <w:color w:val="auto"/>
              </w:rPr>
            </w:pPr>
          </w:p>
        </w:tc>
        <w:tc>
          <w:tcPr>
            <w:tcW w:w="2700" w:type="dxa"/>
            <w:vAlign w:val="bottom"/>
            <w:tcBorders>
              <w:bottom w:val="single" w:sz="8" w:color="010101"/>
            </w:tcBorders>
          </w:tcPr>
          <w:p>
            <w:pPr>
              <w:spacing w:after="0"/>
              <w:rPr>
                <w:sz w:val="11"/>
                <w:szCs w:val="11"/>
                <w:color w:val="auto"/>
              </w:rPr>
            </w:pPr>
          </w:p>
        </w:tc>
        <w:tc>
          <w:tcPr>
            <w:tcW w:w="5220" w:type="dxa"/>
            <w:vAlign w:val="bottom"/>
            <w:tcBorders>
              <w:bottom w:val="single" w:sz="8" w:color="010101"/>
            </w:tcBorders>
          </w:tcPr>
          <w:p>
            <w:pPr>
              <w:spacing w:after="0"/>
              <w:rPr>
                <w:sz w:val="11"/>
                <w:szCs w:val="11"/>
                <w:color w:val="auto"/>
              </w:rPr>
            </w:pPr>
          </w:p>
        </w:tc>
        <w:tc>
          <w:tcPr>
            <w:tcW w:w="40" w:type="dxa"/>
            <w:vAlign w:val="bottom"/>
            <w:tcBorders>
              <w:bottom w:val="single" w:sz="8" w:color="010101"/>
            </w:tcBorders>
          </w:tcPr>
          <w:p>
            <w:pPr>
              <w:spacing w:after="0"/>
              <w:rPr>
                <w:sz w:val="11"/>
                <w:szCs w:val="1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sectPr>
      <w:pgSz w:w="11900" w:h="16838" w:orient="portrait"/>
      <w:cols w:equalWidth="0" w:num="1">
        <w:col w:w="11460"/>
      </w:cols>
      <w:pgMar w:left="240" w:top="341" w:right="1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27B23C6"/>
    <w:multiLevelType w:val="hybridMultilevel"/>
    <w:lvl w:ilvl="0">
      <w:lvlJc w:val="left"/>
      <w:lvlText w:val="o"/>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2019-12-08T09:10:10Z</dcterms:created>
  <dcterms:modified xsi:type="dcterms:W3CDTF">2019-12-08T09:10:10Z</dcterms:modified>
</cp:coreProperties>
</file>