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FORM 10-K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w:t>
      </w:r>
    </w:p>
    <w:p>
      <w:pPr>
        <w:pStyle w:val="TextBody"/>
        <w:bidi w:val="0"/>
        <w:spacing w:lineRule="auto" w:line="288" w:before="120" w:after="283"/>
        <w:jc w:val="left"/>
        <w:rPr/>
      </w:pPr>
      <w:r>
        <w:rPr>
          <w:rFonts w:ascii="Wingdings;sans-serif" w:hAnsi="Wingdings;sans-serif"/>
          <w:b/>
          <w:color w:val="000000"/>
          <w:sz w:val="16"/>
        </w:rPr>
        <w:t>x</w:t>
      </w:r>
      <w:r>
        <w:rPr>
          <w:color w:val="000000"/>
        </w:rPr>
        <w:t xml:space="preserve"> </w:t>
      </w:r>
      <w:r>
        <w:rPr>
          <w:rFonts w:ascii="Times New Roman;serif" w:hAnsi="Times New Roman;serif"/>
          <w:b/>
          <w:color w:val="000000"/>
          <w:sz w:val="16"/>
        </w:rPr>
        <w:t>ANNUAL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fiscal year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120" w:after="283"/>
        <w:jc w:val="left"/>
        <w:rPr/>
      </w:pPr>
      <w:r>
        <w:rPr>
          <w:rFonts w:ascii="Wingdings;sans-serif" w:hAnsi="Wingdings;sans-serif"/>
          <w:b/>
          <w:color w:val="000000"/>
          <w:sz w:val="16"/>
        </w:rPr>
        <w:t>o</w:t>
      </w:r>
      <w:r>
        <w:rPr>
          <w:color w:val="000000"/>
        </w:rPr>
        <w:t xml:space="preserve">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001-36348</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PAYLOCITY HOLDING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w:t>
      </w:r>
    </w:p>
    <w:tbl>
      <w:tblPr>
        <w:tblW w:w="4316"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511"/>
        <w:gridCol w:w="511"/>
        <w:gridCol w:w="732"/>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46-4066644</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1400 American Lane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Schaumburg, Illinois 60173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(847) 463-3200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862" w:type="dxa"/>
        <w:jc w:val="left"/>
        <w:tblInd w:w="0" w:type="dxa"/>
        <w:tblLayout w:type="fixed"/>
        <w:tblCellMar>
          <w:top w:w="28" w:type="dxa"/>
          <w:left w:w="28" w:type="dxa"/>
          <w:bottom w:w="28" w:type="dxa"/>
          <w:right w:w="28" w:type="dxa"/>
        </w:tblCellMar>
      </w:tblPr>
      <w:tblGrid>
        <w:gridCol w:w="926"/>
        <w:gridCol w:w="816"/>
        <w:gridCol w:w="822"/>
        <w:gridCol w:w="109"/>
        <w:gridCol w:w="109"/>
        <w:gridCol w:w="109"/>
        <w:gridCol w:w="404"/>
        <w:gridCol w:w="404"/>
        <w:gridCol w:w="406"/>
        <w:gridCol w:w="109"/>
        <w:gridCol w:w="109"/>
        <w:gridCol w:w="109"/>
        <w:gridCol w:w="712"/>
        <w:gridCol w:w="712"/>
        <w:gridCol w:w="1006"/>
      </w:tblGrid>
      <w:tr>
        <w:trPr/>
        <w:tc>
          <w:tcPr>
            <w:tcW w:w="92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3"/>
                <w:u w:val="single"/>
              </w:rPr>
            </w:pPr>
            <w:r>
              <w:rPr>
                <w:rFonts w:ascii="Times New Roman;serif" w:hAnsi="Times New Roman;serif"/>
                <w:b/>
                <w:color w:val="000000"/>
                <w:sz w:val="13"/>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3"/>
                <w:u w:val="single"/>
              </w:rPr>
            </w:pPr>
            <w:r>
              <w:rPr>
                <w:rFonts w:ascii="Times New Roman;serif" w:hAnsi="Times New Roman;serif"/>
                <w:b/>
                <w:color w:val="000000"/>
                <w:sz w:val="13"/>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3"/>
                <w:u w:val="single"/>
              </w:rPr>
            </w:pPr>
            <w:r>
              <w:rPr>
                <w:rFonts w:ascii="Times New Roman;serif" w:hAnsi="Times New Roman;serif"/>
                <w:b/>
                <w:color w:val="000000"/>
                <w:sz w:val="13"/>
                <w:u w:val="single"/>
              </w:rPr>
              <w:t>Name of Exchange on which registered</w:t>
            </w:r>
          </w:p>
        </w:tc>
      </w:tr>
      <w:tr>
        <w:trPr/>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PCTY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The NASDAQ Global Select Market LLC</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w:t>
      </w:r>
    </w:p>
    <w:p>
      <w:pPr>
        <w:pStyle w:val="TextBody"/>
        <w:bidi w:val="0"/>
        <w:spacing w:lineRule="auto" w:line="288" w:before="120" w:after="283"/>
        <w:jc w:val="left"/>
        <w:rPr/>
      </w:pPr>
      <w:r>
        <w:rPr>
          <w:rFonts w:ascii="Times New Roman;serif" w:hAnsi="Times New Roman;serif"/>
          <w:b w:val="false"/>
          <w:color w:val="000000"/>
          <w:sz w:val="15"/>
        </w:rPr>
        <w:t xml:space="preserve">Indicate by check mark if the registrant is a well-known seasoned issuer, as defined in Rule 405 of the Securities Act. Yes </w:t>
      </w:r>
      <w:r>
        <w:rPr>
          <w:rFonts w:ascii="Wingdings;sans-serif" w:hAnsi="Wingdings;sans-serif"/>
          <w:b w:val="false"/>
          <w:color w:val="000000"/>
          <w:sz w:val="15"/>
        </w:rPr>
        <w:t>x</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jc w:val="left"/>
        <w:rPr/>
      </w:pPr>
      <w:r>
        <w:rPr>
          <w:rFonts w:ascii="Times New Roman;serif" w:hAnsi="Times New Roman;serif"/>
          <w:b w:val="false"/>
          <w:color w:val="000000"/>
          <w:sz w:val="15"/>
        </w:rPr>
        <w:t xml:space="preserve">Indicate by check mark if the registrant is not required to file reports pursuant to Section 13 or Section 15(d) of the Act. Yes </w:t>
      </w:r>
      <w:r>
        <w:rPr>
          <w:rFonts w:ascii="Wingdings;sans-serif" w:hAnsi="Wingdings;sans-serif"/>
          <w:b w:val="false"/>
          <w:color w:val="000000"/>
          <w:sz w:val="15"/>
        </w:rPr>
        <w:t>o</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x</w:t>
      </w:r>
    </w:p>
    <w:p>
      <w:pPr>
        <w:pStyle w:val="TextBody"/>
        <w:bidi w:val="0"/>
        <w:spacing w:lineRule="auto" w:line="288" w:before="120" w:after="283"/>
        <w:jc w:val="left"/>
        <w:rPr/>
      </w:pPr>
      <w:r>
        <w:rPr>
          <w:rFonts w:ascii="Times New Roman;serif" w:hAnsi="Times New Roman;serif"/>
          <w:b w:val="false"/>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5"/>
        </w:rPr>
        <w:t>x</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jc w:val="left"/>
        <w:rPr/>
      </w:pPr>
      <w:r>
        <w:rPr>
          <w:rFonts w:ascii="Times New Roman;serif" w:hAnsi="Times New Roman;serif"/>
          <w:b w:val="false"/>
          <w:color w:val="000000"/>
          <w:sz w:val="15"/>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5"/>
        </w:rPr>
        <w:t>x</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3849" w:type="dxa"/>
        <w:jc w:val="left"/>
        <w:tblInd w:w="0" w:type="dxa"/>
        <w:tblLayout w:type="fixed"/>
        <w:tblCellMar>
          <w:top w:w="28" w:type="dxa"/>
          <w:left w:w="28" w:type="dxa"/>
          <w:bottom w:w="28" w:type="dxa"/>
          <w:right w:w="28" w:type="dxa"/>
        </w:tblCellMar>
      </w:tblPr>
      <w:tblGrid>
        <w:gridCol w:w="511"/>
        <w:gridCol w:w="449"/>
        <w:gridCol w:w="450"/>
        <w:gridCol w:w="109"/>
        <w:gridCol w:w="109"/>
        <w:gridCol w:w="109"/>
        <w:gridCol w:w="579"/>
        <w:gridCol w:w="579"/>
        <w:gridCol w:w="582"/>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5"/>
              </w:rPr>
            </w:pPr>
            <w:r>
              <w:rPr>
                <w:rFonts w:ascii="Times New Roman;serif" w:hAnsi="Times New Roman;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5"/>
              </w:rPr>
            </w:pPr>
            <w:r>
              <w:rPr>
                <w:rFonts w:ascii="Wingdings;sans-serif" w:hAnsi="Wingdings;sans-serif"/>
                <w:b w:val="false"/>
                <w:color w:val="000000"/>
                <w:sz w:val="15"/>
              </w:rPr>
              <w:t>o</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Wingdings;sans-serif" w:hAnsi="Wingdings;sans-serif"/>
                <w:b w:val="false"/>
                <w:color w:val="000000"/>
                <w:sz w:val="15"/>
              </w:rPr>
              <w:t>o</w:t>
            </w:r>
            <w:r>
              <w:rPr>
                <w:color w:val="000000"/>
              </w:rPr>
              <w:t xml:space="preserve"> </w:t>
            </w:r>
          </w:p>
        </w:tc>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5"/>
              </w:rPr>
            </w:pPr>
            <w:r>
              <w:rPr>
                <w:rFonts w:ascii="Wingdings;sans-serif" w:hAnsi="Wingdings;sans-serif"/>
                <w:b w:val="false"/>
                <w:color w:val="000000"/>
                <w:sz w:val="15"/>
              </w:rPr>
              <w:t>o</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5"/>
              </w:rPr>
            </w:pPr>
            <w:r>
              <w:rPr>
                <w:rFonts w:ascii="Wingdings;sans-serif" w:hAnsi="Wingdings;sans-serif"/>
                <w:b w:val="false"/>
                <w:color w:val="000000"/>
                <w:sz w:val="15"/>
              </w:rPr>
              <w:t>o</w:t>
            </w:r>
          </w:p>
        </w:tc>
      </w:tr>
    </w:tbl>
    <w:p>
      <w:pPr>
        <w:pStyle w:val="TextBody"/>
        <w:bidi w:val="0"/>
        <w:spacing w:lineRule="auto" w:line="288" w:before="120" w:after="283"/>
        <w:jc w:val="left"/>
        <w:rPr/>
      </w:pPr>
      <w:r>
        <w:rPr>
          <w:rFonts w:ascii="Times New Roman;serif" w:hAnsi="Times New Roman;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5"/>
        </w:rPr>
        <w:t>o</w:t>
      </w:r>
    </w:p>
    <w:p>
      <w:pPr>
        <w:pStyle w:val="TextBody"/>
        <w:bidi w:val="0"/>
        <w:spacing w:lineRule="auto" w:line="288" w:before="120" w:after="283"/>
        <w:jc w:val="left"/>
        <w:rPr/>
      </w:pPr>
      <w:r>
        <w:rPr>
          <w:rFonts w:ascii="Times New Roman;serif" w:hAnsi="Times New Roman;serif"/>
          <w:b w:val="false"/>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5"/>
        </w:rPr>
        <w:t>x</w:t>
      </w:r>
    </w:p>
    <w:p>
      <w:pPr>
        <w:pStyle w:val="TextBody"/>
        <w:bidi w:val="0"/>
        <w:spacing w:lineRule="auto" w:line="288" w:before="120" w:after="283"/>
        <w:jc w:val="left"/>
        <w:rPr/>
      </w:pPr>
      <w:r>
        <w:rPr>
          <w:rFonts w:ascii="Times New Roman;serif" w:hAnsi="Times New Roman;serif"/>
          <w:b w:val="false"/>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5"/>
        </w:rPr>
        <w:t>o</w:t>
      </w:r>
    </w:p>
    <w:p>
      <w:pPr>
        <w:pStyle w:val="TextBody"/>
        <w:bidi w:val="0"/>
        <w:spacing w:lineRule="auto" w:line="288" w:before="120" w:after="283"/>
        <w:jc w:val="left"/>
        <w:rPr/>
      </w:pPr>
      <w:r>
        <w:rPr>
          <w:rFonts w:ascii="Times New Roman;serif" w:hAnsi="Times New Roman;serif"/>
          <w:b w:val="false"/>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sans-serif" w:hAnsi="Wingdings;sans-serif"/>
          <w:b w:val="false"/>
          <w:color w:val="000000"/>
          <w:sz w:val="15"/>
        </w:rPr>
        <w:t>o</w:t>
      </w:r>
    </w:p>
    <w:p>
      <w:pPr>
        <w:pStyle w:val="TextBody"/>
        <w:bidi w:val="0"/>
        <w:spacing w:lineRule="auto" w:line="288" w:before="120" w:after="283"/>
        <w:jc w:val="left"/>
        <w:rPr/>
      </w:pPr>
      <w:r>
        <w:rPr>
          <w:rFonts w:ascii="Times New Roman;serif" w:hAnsi="Times New Roman;serif"/>
          <w:b w:val="false"/>
          <w:color w:val="000000"/>
          <w:sz w:val="15"/>
        </w:rPr>
        <w:t xml:space="preserve">Indicate by check mark whether the registrant is a shell company (as defined in Rule 12b-2 of the Act). Yes </w:t>
      </w:r>
      <w:r>
        <w:rPr>
          <w:rFonts w:ascii="Wingdings;sans-serif" w:hAnsi="Wingdings;sans-serif"/>
          <w:b w:val="false"/>
          <w:color w:val="000000"/>
          <w:sz w:val="15"/>
        </w:rPr>
        <w:t>o</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x</w:t>
      </w:r>
    </w:p>
    <w:p>
      <w:pPr>
        <w:pStyle w:val="TextBody"/>
        <w:bidi w:val="0"/>
        <w:spacing w:lineRule="auto" w:line="288" w:before="120" w:after="283"/>
        <w:jc w:val="left"/>
        <w:rPr>
          <w:rFonts w:ascii="Times New Roman;serif" w:hAnsi="Times New Roman;serif"/>
          <w:b w:val="false"/>
          <w:color w:val="000000"/>
          <w:sz w:val="15"/>
        </w:rPr>
      </w:pPr>
      <w:r>
        <w:rPr>
          <w:rFonts w:ascii="Times New Roman;serif" w:hAnsi="Times New Roman;serif"/>
          <w:b w:val="false"/>
          <w:color w:val="000000"/>
          <w:sz w:val="15"/>
        </w:rPr>
        <w:t>The aggregate market value of voting stock held by non-affiliates of the registrant as of December 31, 2025, the last day of registrant’s most recently completed second fiscal quarter, was $6.6 billion (based on the closing price for shares of the registrant’s common stock as reported by the NASDAQ Global Select Market on that date).</w:t>
      </w:r>
    </w:p>
    <w:p>
      <w:pPr>
        <w:pStyle w:val="TextBody"/>
        <w:bidi w:val="0"/>
        <w:spacing w:lineRule="auto" w:line="288" w:before="120" w:after="283"/>
        <w:jc w:val="left"/>
        <w:rPr>
          <w:rFonts w:ascii="Times New Roman;serif" w:hAnsi="Times New Roman;serif"/>
          <w:b w:val="false"/>
          <w:color w:val="000000"/>
          <w:sz w:val="15"/>
        </w:rPr>
      </w:pPr>
      <w:r>
        <w:rPr>
          <w:rFonts w:ascii="Times New Roman;serif" w:hAnsi="Times New Roman;serif"/>
          <w:b w:val="false"/>
          <w:color w:val="000000"/>
          <w:sz w:val="15"/>
        </w:rPr>
        <w:t>As of July 29, 2026, there were 53,056,963 shares of the registrant’s common stock issued and outstanding.</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w:t>
      </w:r>
    </w:p>
    <w:p>
      <w:pPr>
        <w:pStyle w:val="TextBody"/>
        <w:bidi w:val="0"/>
        <w:spacing w:lineRule="auto" w:line="288" w:before="120" w:after="283"/>
        <w:jc w:val="center"/>
        <w:rPr>
          <w:rFonts w:ascii="Times New Roman;serif" w:hAnsi="Times New Roman;serif"/>
          <w:b/>
          <w:color w:val="000000"/>
          <w:sz w:val="15"/>
        </w:rPr>
      </w:pPr>
      <w:r>
        <w:rPr>
          <w:rFonts w:ascii="Times New Roman;serif" w:hAnsi="Times New Roman;serif"/>
          <w:b/>
          <w:color w:val="000000"/>
          <w:sz w:val="15"/>
        </w:rPr>
        <w:t>DOCUMENTS INCORPORATED BY REFERENCE:</w:t>
      </w:r>
    </w:p>
    <w:p>
      <w:pPr>
        <w:pStyle w:val="TextBody"/>
        <w:bidi w:val="0"/>
        <w:spacing w:lineRule="auto" w:line="288" w:before="120" w:after="283"/>
        <w:jc w:val="left"/>
        <w:rPr>
          <w:rFonts w:ascii="Times New Roman;serif" w:hAnsi="Times New Roman;serif"/>
          <w:b w:val="false"/>
          <w:color w:val="000000"/>
          <w:sz w:val="15"/>
        </w:rPr>
      </w:pPr>
      <w:r>
        <w:rPr>
          <w:rFonts w:ascii="Times New Roman;serif" w:hAnsi="Times New Roman;serif"/>
          <w:b w:val="false"/>
          <w:color w:val="000000"/>
          <w:sz w:val="15"/>
        </w:rPr>
        <w:t>The information required by Part III of this Report, to the extent not set forth herein, is incorporated herein by reference from the Proxy Statement relating to the registrant’s 2027 annual meeting of stockholders, which shall be filed with the Securities and Exchange Commission within 120 days after the end of the fiscal year to which this Report relates.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2"/>
        <w:gridCol w:w="307"/>
        <w:gridCol w:w="306"/>
        <w:gridCol w:w="2914"/>
        <w:gridCol w:w="2898"/>
        <w:gridCol w:w="2914"/>
        <w:gridCol w:w="149"/>
        <w:gridCol w:w="149"/>
        <w:gridCol w:w="216"/>
      </w:tblGrid>
      <w:tr>
        <w:trPr/>
        <w:tc>
          <w:tcPr>
            <w:tcW w:w="3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0">
              <w:r>
                <w:rPr>
                  <w:rStyle w:val="InternetLink"/>
                  <w:rFonts w:ascii="Times New Roman;serif" w:hAnsi="Times New Roman;serif"/>
                  <w:b/>
                  <w:color w:val="0000FF"/>
                  <w:sz w:val="20"/>
                  <w:u w:val="single"/>
                </w:rPr>
                <w:t>PART I</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3">
              <w:r>
                <w:rPr>
                  <w:rStyle w:val="InternetLink"/>
                  <w:rFonts w:ascii="Times New Roman;serif" w:hAnsi="Times New Roman;serif"/>
                  <w:b w:val="false"/>
                  <w:color w:val="0000FF"/>
                  <w:sz w:val="20"/>
                  <w:u w:val="single"/>
                </w:rPr>
                <w:t>Item 1.</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3">
              <w:r>
                <w:rPr>
                  <w:rStyle w:val="InternetLink"/>
                  <w:rFonts w:ascii="Times New Roman;serif" w:hAnsi="Times New Roman;serif"/>
                  <w:b w:val="false"/>
                  <w:color w:val="0000FF"/>
                  <w:sz w:val="20"/>
                  <w:u w:val="single"/>
                </w:rPr>
                <w:t>Business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3">
              <w:r>
                <w:rPr>
                  <w:rStyle w:val="InternetLink"/>
                  <w:rFonts w:ascii="Times New Roman;serif" w:hAnsi="Times New Roman;serif"/>
                  <w:b w:val="false"/>
                  <w:strike w:val="false"/>
                  <w:dstrike w:val="false"/>
                  <w:color w:val="000000"/>
                  <w:sz w:val="20"/>
                  <w:u w:val="none"/>
                  <w:effect w:val="none"/>
                </w:rPr>
                <w:t>1</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6">
              <w:r>
                <w:rPr>
                  <w:rStyle w:val="InternetLink"/>
                  <w:rFonts w:ascii="Times New Roman;serif" w:hAnsi="Times New Roman;serif"/>
                  <w:b w:val="false"/>
                  <w:color w:val="0000FF"/>
                  <w:sz w:val="20"/>
                  <w:u w:val="single"/>
                </w:rPr>
                <w:t>Item 1A.</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6">
              <w:r>
                <w:rPr>
                  <w:rStyle w:val="InternetLink"/>
                  <w:rFonts w:ascii="Times New Roman;serif" w:hAnsi="Times New Roman;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6">
              <w:r>
                <w:rPr>
                  <w:rStyle w:val="InternetLink"/>
                  <w:rFonts w:ascii="Times New Roman;serif" w:hAnsi="Times New Roman;serif"/>
                  <w:b w:val="false"/>
                  <w:strike w:val="false"/>
                  <w:dstrike w:val="false"/>
                  <w:color w:val="000000"/>
                  <w:sz w:val="20"/>
                  <w:u w:val="none"/>
                  <w:effect w:val="none"/>
                </w:rPr>
                <w:t>12</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9">
              <w:r>
                <w:rPr>
                  <w:rStyle w:val="InternetLink"/>
                  <w:rFonts w:ascii="Times New Roman;serif" w:hAnsi="Times New Roman;serif"/>
                  <w:b w:val="false"/>
                  <w:color w:val="0000FF"/>
                  <w:sz w:val="20"/>
                  <w:u w:val="single"/>
                </w:rPr>
                <w:t>Item 1B.</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9">
              <w:r>
                <w:rPr>
                  <w:rStyle w:val="InternetLink"/>
                  <w:rFonts w:ascii="Times New Roman;serif" w:hAnsi="Times New Roman;serif"/>
                  <w:b w:val="false"/>
                  <w:color w:val="0000FF"/>
                  <w:sz w:val="20"/>
                  <w:u w:val="single"/>
                </w:rPr>
                <w:t>Unresolved Staff Comments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9">
              <w:r>
                <w:rPr>
                  <w:rStyle w:val="InternetLink"/>
                  <w:rFonts w:ascii="Times New Roman;serif" w:hAnsi="Times New Roman;serif"/>
                  <w:b w:val="false"/>
                  <w:strike w:val="false"/>
                  <w:dstrike w:val="false"/>
                  <w:color w:val="000000"/>
                  <w:sz w:val="20"/>
                  <w:u w:val="none"/>
                  <w:effect w:val="none"/>
                </w:rPr>
                <w:t>25</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22">
              <w:r>
                <w:rPr>
                  <w:rStyle w:val="InternetLink"/>
                  <w:rFonts w:ascii="Times New Roman;serif" w:hAnsi="Times New Roman;serif"/>
                  <w:b w:val="false"/>
                  <w:color w:val="0000FF"/>
                  <w:sz w:val="20"/>
                  <w:u w:val="single"/>
                </w:rPr>
                <w:t>Item 1C.</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22">
              <w:r>
                <w:rPr>
                  <w:rStyle w:val="InternetLink"/>
                  <w:rFonts w:ascii="Times New Roman;serif" w:hAnsi="Times New Roman;serif"/>
                  <w:b w:val="false"/>
                  <w:color w:val="0000FF"/>
                  <w:sz w:val="20"/>
                  <w:u w:val="single"/>
                </w:rPr>
                <w:t>Cybersecurity</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22">
              <w:r>
                <w:rPr>
                  <w:rStyle w:val="InternetLink"/>
                  <w:rFonts w:ascii="Times New Roman;serif" w:hAnsi="Times New Roman;serif"/>
                  <w:b w:val="false"/>
                  <w:strike w:val="false"/>
                  <w:dstrike w:val="false"/>
                  <w:color w:val="000000"/>
                  <w:sz w:val="20"/>
                  <w:u w:val="none"/>
                  <w:effect w:val="none"/>
                </w:rPr>
                <w:t>25</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25">
              <w:r>
                <w:rPr>
                  <w:rStyle w:val="InternetLink"/>
                  <w:rFonts w:ascii="Times New Roman;serif" w:hAnsi="Times New Roman;serif"/>
                  <w:b w:val="false"/>
                  <w:color w:val="0000FF"/>
                  <w:sz w:val="20"/>
                  <w:u w:val="single"/>
                </w:rPr>
                <w:t>Item 2.</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25">
              <w:r>
                <w:rPr>
                  <w:rStyle w:val="InternetLink"/>
                  <w:rFonts w:ascii="Times New Roman;serif" w:hAnsi="Times New Roman;serif"/>
                  <w:b w:val="false"/>
                  <w:color w:val="0000FF"/>
                  <w:sz w:val="20"/>
                  <w:u w:val="single"/>
                </w:rPr>
                <w:t>Properties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25">
              <w:r>
                <w:rPr>
                  <w:rStyle w:val="InternetLink"/>
                  <w:rFonts w:ascii="Times New Roman;serif" w:hAnsi="Times New Roman;serif"/>
                  <w:b w:val="false"/>
                  <w:strike w:val="false"/>
                  <w:dstrike w:val="false"/>
                  <w:color w:val="000000"/>
                  <w:sz w:val="20"/>
                  <w:u w:val="none"/>
                  <w:effect w:val="none"/>
                </w:rPr>
                <w:t>27</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28">
              <w:r>
                <w:rPr>
                  <w:rStyle w:val="InternetLink"/>
                  <w:rFonts w:ascii="Times New Roman;serif" w:hAnsi="Times New Roman;serif"/>
                  <w:b w:val="false"/>
                  <w:color w:val="0000FF"/>
                  <w:sz w:val="20"/>
                  <w:u w:val="single"/>
                </w:rPr>
                <w:t>Item 3.</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28">
              <w:r>
                <w:rPr>
                  <w:rStyle w:val="InternetLink"/>
                  <w:rFonts w:ascii="Times New Roman;serif" w:hAnsi="Times New Roman;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28">
              <w:r>
                <w:rPr>
                  <w:rStyle w:val="InternetLink"/>
                  <w:rFonts w:ascii="Times New Roman;serif" w:hAnsi="Times New Roman;serif"/>
                  <w:b w:val="false"/>
                  <w:strike w:val="false"/>
                  <w:dstrike w:val="false"/>
                  <w:color w:val="000000"/>
                  <w:sz w:val="20"/>
                  <w:u w:val="none"/>
                  <w:effect w:val="none"/>
                </w:rPr>
                <w:t>27</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31">
              <w:r>
                <w:rPr>
                  <w:rStyle w:val="InternetLink"/>
                  <w:rFonts w:ascii="Times New Roman;serif" w:hAnsi="Times New Roman;serif"/>
                  <w:b w:val="false"/>
                  <w:color w:val="0000FF"/>
                  <w:sz w:val="20"/>
                  <w:u w:val="single"/>
                </w:rPr>
                <w:t>Item 4.</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31">
              <w:r>
                <w:rPr>
                  <w:rStyle w:val="InternetLink"/>
                  <w:rFonts w:ascii="Times New Roman;serif" w:hAnsi="Times New Roman;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31">
              <w:r>
                <w:rPr>
                  <w:rStyle w:val="InternetLink"/>
                  <w:rFonts w:ascii="Times New Roman;serif" w:hAnsi="Times New Roman;serif"/>
                  <w:b w:val="false"/>
                  <w:strike w:val="false"/>
                  <w:dstrike w:val="false"/>
                  <w:color w:val="000000"/>
                  <w:sz w:val="20"/>
                  <w:u w:val="none"/>
                  <w:effect w:val="none"/>
                </w:rPr>
                <w:t>27</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34">
              <w:r>
                <w:rPr>
                  <w:rStyle w:val="InternetLink"/>
                  <w:rFonts w:ascii="Times New Roman;serif" w:hAnsi="Times New Roman;serif"/>
                  <w:b/>
                  <w:color w:val="0000FF"/>
                  <w:sz w:val="20"/>
                  <w:u w:val="single"/>
                </w:rPr>
                <w:t>PART II</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37">
              <w:r>
                <w:rPr>
                  <w:rStyle w:val="InternetLink"/>
                  <w:rFonts w:ascii="Times New Roman;serif" w:hAnsi="Times New Roman;serif"/>
                  <w:b w:val="false"/>
                  <w:color w:val="0000FF"/>
                  <w:sz w:val="20"/>
                  <w:u w:val="single"/>
                </w:rPr>
                <w:t>Item 5.</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37">
              <w:r>
                <w:rPr>
                  <w:rStyle w:val="InternetLink"/>
                  <w:rFonts w:ascii="Times New Roman;serif" w:hAnsi="Times New Roman;serif"/>
                  <w:b w:val="false"/>
                  <w:strike w:val="false"/>
                  <w:dstrike w:val="false"/>
                  <w:color w:val="000000"/>
                  <w:sz w:val="20"/>
                  <w:u w:val="none"/>
                  <w:effect w:val="none"/>
                </w:rPr>
                <w:t>28</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52">
              <w:r>
                <w:rPr>
                  <w:rStyle w:val="InternetLink"/>
                  <w:rFonts w:ascii="Times New Roman;serif" w:hAnsi="Times New Roman;serif"/>
                  <w:b w:val="false"/>
                  <w:color w:val="0000FF"/>
                  <w:sz w:val="20"/>
                  <w:u w:val="single"/>
                </w:rPr>
                <w:t>Item 6.</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52">
              <w:r>
                <w:rPr>
                  <w:rStyle w:val="InternetLink"/>
                  <w:rFonts w:ascii="Times New Roman;serif" w:hAnsi="Times New Roman;serif"/>
                  <w:b w:val="false"/>
                  <w:color w:val="0000FF"/>
                  <w:sz w:val="20"/>
                  <w:u w:val="single"/>
                </w:rPr>
                <w:t>[Reserved]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52">
              <w:r>
                <w:rPr>
                  <w:rStyle w:val="InternetLink"/>
                  <w:rFonts w:ascii="Times New Roman;serif" w:hAnsi="Times New Roman;serif"/>
                  <w:b w:val="false"/>
                  <w:strike w:val="false"/>
                  <w:dstrike w:val="false"/>
                  <w:color w:val="000000"/>
                  <w:sz w:val="20"/>
                  <w:u w:val="none"/>
                  <w:effect w:val="none"/>
                </w:rPr>
                <w:t>29</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55">
              <w:r>
                <w:rPr>
                  <w:rStyle w:val="InternetLink"/>
                  <w:rFonts w:ascii="Times New Roman;serif" w:hAnsi="Times New Roman;serif"/>
                  <w:b w:val="false"/>
                  <w:color w:val="0000FF"/>
                  <w:sz w:val="20"/>
                  <w:u w:val="single"/>
                </w:rPr>
                <w:t>Item 7.</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55">
              <w:r>
                <w:rPr>
                  <w:rStyle w:val="InternetLink"/>
                  <w:rFonts w:ascii="Times New Roman;serif" w:hAnsi="Times New Roman;serif"/>
                  <w:b w:val="false"/>
                  <w:strike w:val="false"/>
                  <w:dstrike w:val="false"/>
                  <w:color w:val="000000"/>
                  <w:sz w:val="20"/>
                  <w:u w:val="none"/>
                  <w:effect w:val="none"/>
                </w:rPr>
                <w:t>30</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94">
              <w:r>
                <w:rPr>
                  <w:rStyle w:val="InternetLink"/>
                  <w:rFonts w:ascii="Times New Roman;serif" w:hAnsi="Times New Roman;serif"/>
                  <w:b w:val="false"/>
                  <w:color w:val="0000FF"/>
                  <w:sz w:val="20"/>
                  <w:u w:val="single"/>
                </w:rPr>
                <w:t>Item 7A.</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94">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94">
              <w:r>
                <w:rPr>
                  <w:rStyle w:val="InternetLink"/>
                  <w:rFonts w:ascii="Times New Roman;serif" w:hAnsi="Times New Roman;serif"/>
                  <w:b w:val="false"/>
                  <w:strike w:val="false"/>
                  <w:dstrike w:val="false"/>
                  <w:color w:val="000000"/>
                  <w:sz w:val="20"/>
                  <w:u w:val="none"/>
                  <w:effect w:val="none"/>
                </w:rPr>
                <w:t>42</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97">
              <w:r>
                <w:rPr>
                  <w:rStyle w:val="InternetLink"/>
                  <w:rFonts w:ascii="Times New Roman;serif" w:hAnsi="Times New Roman;serif"/>
                  <w:b w:val="false"/>
                  <w:color w:val="0000FF"/>
                  <w:sz w:val="20"/>
                  <w:u w:val="single"/>
                </w:rPr>
                <w:t>Item 8.</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97">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97">
              <w:r>
                <w:rPr>
                  <w:rStyle w:val="InternetLink"/>
                  <w:rFonts w:ascii="Times New Roman;serif" w:hAnsi="Times New Roman;serif"/>
                  <w:b w:val="false"/>
                  <w:strike w:val="false"/>
                  <w:dstrike w:val="false"/>
                  <w:color w:val="000000"/>
                  <w:sz w:val="20"/>
                  <w:u w:val="none"/>
                  <w:effect w:val="none"/>
                </w:rPr>
                <w:t>43</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00">
              <w:r>
                <w:rPr>
                  <w:rStyle w:val="InternetLink"/>
                  <w:rFonts w:ascii="Times New Roman;serif" w:hAnsi="Times New Roman;serif"/>
                  <w:b w:val="false"/>
                  <w:color w:val="0000FF"/>
                  <w:sz w:val="20"/>
                  <w:u w:val="single"/>
                </w:rPr>
                <w:t>Item 9.</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00">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00">
              <w:r>
                <w:rPr>
                  <w:rStyle w:val="InternetLink"/>
                  <w:rFonts w:ascii="Times New Roman;serif" w:hAnsi="Times New Roman;serif"/>
                  <w:b w:val="false"/>
                  <w:strike w:val="false"/>
                  <w:dstrike w:val="false"/>
                  <w:color w:val="000000"/>
                  <w:sz w:val="20"/>
                  <w:u w:val="none"/>
                  <w:effect w:val="none"/>
                </w:rPr>
                <w:t>43</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03">
              <w:r>
                <w:rPr>
                  <w:rStyle w:val="InternetLink"/>
                  <w:rFonts w:ascii="Times New Roman;serif" w:hAnsi="Times New Roman;serif"/>
                  <w:b w:val="false"/>
                  <w:color w:val="0000FF"/>
                  <w:sz w:val="20"/>
                  <w:u w:val="single"/>
                </w:rPr>
                <w:t>Item 9A.</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03">
              <w:r>
                <w:rPr>
                  <w:rStyle w:val="InternetLink"/>
                  <w:rFonts w:ascii="Times New Roman;serif" w:hAnsi="Times New Roman;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03">
              <w:r>
                <w:rPr>
                  <w:rStyle w:val="InternetLink"/>
                  <w:rFonts w:ascii="Times New Roman;serif" w:hAnsi="Times New Roman;serif"/>
                  <w:b w:val="false"/>
                  <w:strike w:val="false"/>
                  <w:dstrike w:val="false"/>
                  <w:color w:val="000000"/>
                  <w:sz w:val="20"/>
                  <w:u w:val="none"/>
                  <w:effect w:val="none"/>
                </w:rPr>
                <w:t>43</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06">
              <w:r>
                <w:rPr>
                  <w:rStyle w:val="InternetLink"/>
                  <w:rFonts w:ascii="Times New Roman;serif" w:hAnsi="Times New Roman;serif"/>
                  <w:b w:val="false"/>
                  <w:color w:val="0000FF"/>
                  <w:sz w:val="20"/>
                  <w:u w:val="single"/>
                </w:rPr>
                <w:t>Item 9B.</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06">
              <w:r>
                <w:rPr>
                  <w:rStyle w:val="InternetLink"/>
                  <w:rFonts w:ascii="Times New Roman;serif" w:hAnsi="Times New Roman;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06">
              <w:r>
                <w:rPr>
                  <w:rStyle w:val="InternetLink"/>
                  <w:rFonts w:ascii="Times New Roman;serif" w:hAnsi="Times New Roman;serif"/>
                  <w:b w:val="false"/>
                  <w:strike w:val="false"/>
                  <w:dstrike w:val="false"/>
                  <w:color w:val="000000"/>
                  <w:sz w:val="20"/>
                  <w:u w:val="none"/>
                  <w:effect w:val="none"/>
                </w:rPr>
                <w:t>44</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2c24740058428a99f77768ccf6e7b5_112">
              <w:r>
                <w:rPr>
                  <w:rStyle w:val="InternetLink"/>
                  <w:rFonts w:ascii="Times New Roman;serif" w:hAnsi="Times New Roman;serif"/>
                  <w:b w:val="false"/>
                  <w:color w:val="0000FF"/>
                  <w:sz w:val="20"/>
                  <w:u w:val="single"/>
                </w:rPr>
                <w:t>Item 9C.</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2c24740058428a99f77768ccf6e7b5_112">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12">
              <w:r>
                <w:rPr>
                  <w:rStyle w:val="InternetLink"/>
                  <w:rFonts w:ascii="Times New Roman;serif" w:hAnsi="Times New Roman;serif"/>
                  <w:b w:val="false"/>
                  <w:strike w:val="false"/>
                  <w:dstrike w:val="false"/>
                  <w:color w:val="000000"/>
                  <w:sz w:val="20"/>
                  <w:u w:val="none"/>
                  <w:effect w:val="none"/>
                </w:rPr>
                <w:t>44</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15">
              <w:r>
                <w:rPr>
                  <w:rStyle w:val="InternetLink"/>
                  <w:rFonts w:ascii="Times New Roman;serif" w:hAnsi="Times New Roman;serif"/>
                  <w:b/>
                  <w:color w:val="0000FF"/>
                  <w:sz w:val="20"/>
                  <w:u w:val="single"/>
                </w:rPr>
                <w:t>PART III</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18">
              <w:r>
                <w:rPr>
                  <w:rStyle w:val="InternetLink"/>
                  <w:rFonts w:ascii="Times New Roman;serif" w:hAnsi="Times New Roman;serif"/>
                  <w:b w:val="false"/>
                  <w:color w:val="0000FF"/>
                  <w:sz w:val="20"/>
                  <w:u w:val="single"/>
                </w:rPr>
                <w:t>Item 10.</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18">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18">
              <w:r>
                <w:rPr>
                  <w:rStyle w:val="InternetLink"/>
                  <w:rFonts w:ascii="Times New Roman;serif" w:hAnsi="Times New Roman;serif"/>
                  <w:b w:val="false"/>
                  <w:strike w:val="false"/>
                  <w:dstrike w:val="false"/>
                  <w:color w:val="000000"/>
                  <w:sz w:val="20"/>
                  <w:u w:val="none"/>
                  <w:effect w:val="none"/>
                </w:rPr>
                <w:t>45</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21">
              <w:r>
                <w:rPr>
                  <w:rStyle w:val="InternetLink"/>
                  <w:rFonts w:ascii="Times New Roman;serif" w:hAnsi="Times New Roman;serif"/>
                  <w:b w:val="false"/>
                  <w:color w:val="0000FF"/>
                  <w:sz w:val="20"/>
                  <w:u w:val="single"/>
                </w:rPr>
                <w:t>Item 11.</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21">
              <w:r>
                <w:rPr>
                  <w:rStyle w:val="InternetLink"/>
                  <w:rFonts w:ascii="Times New Roman;serif" w:hAnsi="Times New Roman;serif"/>
                  <w:b w:val="false"/>
                  <w:color w:val="0000FF"/>
                  <w:sz w:val="20"/>
                  <w:u w:val="single"/>
                </w:rPr>
                <w:t>Executive Compensation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21">
              <w:r>
                <w:rPr>
                  <w:rStyle w:val="InternetLink"/>
                  <w:rFonts w:ascii="Times New Roman;serif" w:hAnsi="Times New Roman;serif"/>
                  <w:b w:val="false"/>
                  <w:strike w:val="false"/>
                  <w:dstrike w:val="false"/>
                  <w:color w:val="000000"/>
                  <w:sz w:val="20"/>
                  <w:u w:val="none"/>
                  <w:effect w:val="none"/>
                </w:rPr>
                <w:t>45</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24">
              <w:r>
                <w:rPr>
                  <w:rStyle w:val="InternetLink"/>
                  <w:rFonts w:ascii="Times New Roman;serif" w:hAnsi="Times New Roman;serif"/>
                  <w:b w:val="false"/>
                  <w:color w:val="0000FF"/>
                  <w:sz w:val="20"/>
                  <w:u w:val="single"/>
                </w:rPr>
                <w:t>Item 12.</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2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24">
              <w:r>
                <w:rPr>
                  <w:rStyle w:val="InternetLink"/>
                  <w:rFonts w:ascii="Times New Roman;serif" w:hAnsi="Times New Roman;serif"/>
                  <w:b w:val="false"/>
                  <w:strike w:val="false"/>
                  <w:dstrike w:val="false"/>
                  <w:color w:val="000000"/>
                  <w:sz w:val="20"/>
                  <w:u w:val="none"/>
                  <w:effect w:val="none"/>
                </w:rPr>
                <w:t>45</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27">
              <w:r>
                <w:rPr>
                  <w:rStyle w:val="InternetLink"/>
                  <w:rFonts w:ascii="Times New Roman;serif" w:hAnsi="Times New Roman;serif"/>
                  <w:b w:val="false"/>
                  <w:color w:val="0000FF"/>
                  <w:sz w:val="20"/>
                  <w:u w:val="single"/>
                </w:rPr>
                <w:t>Item 13.</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27">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27">
              <w:r>
                <w:rPr>
                  <w:rStyle w:val="InternetLink"/>
                  <w:rFonts w:ascii="Times New Roman;serif" w:hAnsi="Times New Roman;serif"/>
                  <w:b w:val="false"/>
                  <w:strike w:val="false"/>
                  <w:dstrike w:val="false"/>
                  <w:color w:val="000000"/>
                  <w:sz w:val="20"/>
                  <w:u w:val="none"/>
                  <w:effect w:val="none"/>
                </w:rPr>
                <w:t>45</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30">
              <w:r>
                <w:rPr>
                  <w:rStyle w:val="InternetLink"/>
                  <w:rFonts w:ascii="Times New Roman;serif" w:hAnsi="Times New Roman;serif"/>
                  <w:b w:val="false"/>
                  <w:color w:val="0000FF"/>
                  <w:sz w:val="20"/>
                  <w:u w:val="single"/>
                </w:rPr>
                <w:t>Item 14.</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30">
              <w:r>
                <w:rPr>
                  <w:rStyle w:val="InternetLink"/>
                  <w:rFonts w:ascii="Times New Roman;serif" w:hAnsi="Times New Roman;serif"/>
                  <w:b w:val="false"/>
                  <w:color w:val="0000FF"/>
                  <w:sz w:val="20"/>
                  <w:u w:val="single"/>
                </w:rPr>
                <w:t>Principal Accounting Fees and Services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30">
              <w:r>
                <w:rPr>
                  <w:rStyle w:val="InternetLink"/>
                  <w:rFonts w:ascii="Times New Roman;serif" w:hAnsi="Times New Roman;serif"/>
                  <w:b w:val="false"/>
                  <w:strike w:val="false"/>
                  <w:dstrike w:val="false"/>
                  <w:color w:val="000000"/>
                  <w:sz w:val="20"/>
                  <w:u w:val="none"/>
                  <w:effect w:val="none"/>
                </w:rPr>
                <w:t>45</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33">
              <w:r>
                <w:rPr>
                  <w:rStyle w:val="InternetLink"/>
                  <w:rFonts w:ascii="Times New Roman;serif" w:hAnsi="Times New Roman;serif"/>
                  <w:b/>
                  <w:color w:val="0000FF"/>
                  <w:sz w:val="20"/>
                  <w:u w:val="single"/>
                </w:rPr>
                <w:t>PART IV</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36">
              <w:r>
                <w:rPr>
                  <w:rStyle w:val="InternetLink"/>
                  <w:rFonts w:ascii="Times New Roman;serif" w:hAnsi="Times New Roman;serif"/>
                  <w:b w:val="false"/>
                  <w:color w:val="0000FF"/>
                  <w:sz w:val="20"/>
                  <w:u w:val="single"/>
                </w:rPr>
                <w:t xml:space="preserve">Item 15. </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36">
              <w:r>
                <w:rPr>
                  <w:rStyle w:val="InternetLink"/>
                  <w:rFonts w:ascii="Times New Roman;serif" w:hAnsi="Times New Roman;serif"/>
                  <w:b w:val="false"/>
                  <w:color w:val="0000FF"/>
                  <w:sz w:val="20"/>
                  <w:u w:val="single"/>
                </w:rPr>
                <w:t>Exhibits and Financial Statement Schedules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36">
              <w:r>
                <w:rPr>
                  <w:rStyle w:val="InternetLink"/>
                  <w:rFonts w:ascii="Times New Roman;serif" w:hAnsi="Times New Roman;serif"/>
                  <w:b w:val="false"/>
                  <w:strike w:val="false"/>
                  <w:dstrike w:val="false"/>
                  <w:color w:val="000000"/>
                  <w:sz w:val="20"/>
                  <w:u w:val="none"/>
                  <w:effect w:val="none"/>
                </w:rPr>
                <w:t>46</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39">
              <w:r>
                <w:rPr>
                  <w:rStyle w:val="InternetLink"/>
                  <w:rFonts w:ascii="Times New Roman;serif" w:hAnsi="Times New Roman;serif"/>
                  <w:b w:val="false"/>
                  <w:color w:val="0000FF"/>
                  <w:sz w:val="20"/>
                  <w:u w:val="single"/>
                </w:rPr>
                <w:t xml:space="preserve">Item 16. </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39">
              <w:r>
                <w:rPr>
                  <w:rStyle w:val="InternetLink"/>
                  <w:rFonts w:ascii="Times New Roman;serif" w:hAnsi="Times New Roman;serif"/>
                  <w:b w:val="false"/>
                  <w:color w:val="0000FF"/>
                  <w:sz w:val="20"/>
                  <w:u w:val="single"/>
                </w:rPr>
                <w:t xml:space="preserve">Form 10-K Summary </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39">
              <w:r>
                <w:rPr>
                  <w:rStyle w:val="InternetLink"/>
                  <w:rFonts w:ascii="Times New Roman;serif" w:hAnsi="Times New Roman;serif"/>
                  <w:b w:val="false"/>
                  <w:strike w:val="false"/>
                  <w:dstrike w:val="false"/>
                  <w:color w:val="000000"/>
                  <w:sz w:val="20"/>
                  <w:u w:val="none"/>
                  <w:effect w:val="none"/>
                </w:rPr>
                <w:t>46</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328" w:before="0" w:after="0"/>
              <w:ind w:left="0" w:right="0" w:hanging="144"/>
              <w:jc w:val="left"/>
              <w:rPr/>
            </w:pPr>
            <w:hyperlink w:anchor="ib82c24740058428a99f77768ccf6e7b5_142">
              <w:r>
                <w:rPr>
                  <w:rStyle w:val="InternetLink"/>
                  <w:rFonts w:ascii="Times New Roman;serif" w:hAnsi="Times New Roman;serif"/>
                  <w:b w:val="false"/>
                  <w:color w:val="0000FF"/>
                  <w:sz w:val="20"/>
                  <w:u w:val="single"/>
                </w:rPr>
                <w:t>Signatures</w:t>
              </w:r>
            </w:hyperlink>
          </w:p>
        </w:tc>
        <w:tc>
          <w:tcPr>
            <w:tcW w:w="8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right"/>
              <w:rPr/>
            </w:pPr>
            <w:hyperlink w:anchor="ib82c24740058428a99f77768ccf6e7b5_142">
              <w:r>
                <w:rPr>
                  <w:rStyle w:val="InternetLink"/>
                  <w:rFonts w:ascii="Times New Roman;serif" w:hAnsi="Times New Roman;serif"/>
                  <w:b w:val="false"/>
                  <w:strike w:val="false"/>
                  <w:dstrike w:val="false"/>
                  <w:color w:val="000000"/>
                  <w:sz w:val="20"/>
                  <w:u w:val="none"/>
                  <w:effect w:val="none"/>
                </w:rPr>
                <w:t>51</w:t>
              </w:r>
            </w:hyperlink>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 “Risk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cloud-based provider of human capital management (“HCM”), finance and IT software solutions. Our unified, easy-to-use platform helps businesses streamline HR, finance, and IT operations, manage spend and talent, and build culture and connection with artificial intelligence (“AI”) embedded directly into everyday workflows to save time, reduce manual effort, and support better decision-making. Excluding clients acquired through acquisitions, as of June 30, 2026, we provided our software-as-a-service (“SaaS”) solutions to approximately 44,400 clients across the U.S., which on average had over 150 employees.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management of human capital, finance and IT operations is a core function in all organizations and requires a significant commitment of resources. Organizations are faced with an ever-changing employment landscape, the complexity of increasingly geographically dispersed employees, and managing hybrid workplaces. At the same time, employees’ expectations are rising, and organizations need to prioritize communication, connection, and collaboration among their employees to differentiate how they attract and retain talent and build a culture of loyalty. Many companies also operate without the infrastructure, expertise or personnel to implement or support large and complex systems in today’s dynamic environment. Existing solutions offered by third-party service providers can have limited capabilities and configurability while other enterprise-focused software vendors can be prohibitively expensive and time-consuming to implement and manage. We believe that modern organizations are better served by SaaS solutions designed to meet their unique needs, delivering fast time-to-value, and providing their employees with the most engaging experience available.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3457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86500" cy="3457575"/>
                    </a:xfrm>
                    <a:prstGeom prst="rect">
                      <a:avLst/>
                    </a:prstGeom>
                  </pic:spPr>
                </pic:pic>
              </a:graphicData>
            </a:graphic>
          </wp:inline>
        </w:drawing>
      </w:r>
      <w:bookmarkStart w:id="0" w:name="i-1"/>
      <w:bookmarkEnd w:id="0"/>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software solutions provide the following key benefits to our clients: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platform automates processes across the employee lifecycle in one place, so organizations save time, reduce administrative burden, and create a more seamless experience for employees and managers alike. From recruiting and onboarding to benefits, payroll, and performance management, our solution is designed to support an organization’s HR needs and provide the flexibility to scale as it grows.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Finance and IT tools support higher efficiency and compliance across the organization. Our Finance tools centralize payroll and non-payroll spend, including expense management, accounts payable, corporate cards and procurement. Our IT tools automate provisioning, access, and updates to software and hardware with a direct connection to the employee record.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platform is built on a single employee record with workflows and integrations designed to automate work across teams and systems. Employees can access their information and tools through a unified web and mobile experience. Analytics and reporting capabilities are embedded throughout the platform to deliver value with intelligent automation, tailored insights, and embedded experiences that provide real-time guidance to administrators and employees.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Ignite AI, our platform-wide AI with agents, is embedded throughout our platform bringing data, insights, and automation into moments where decisions are made and work gets done. Purpose-built agents automate tasks across pay, time, recruiting, and other places where work often slows down. We also offer the Ignite AI Hub, a centralized dashboard for managing and measuring AI across the organization where leaders can measure business impact and productivity gain, monitor adoptions across teams, control which agents are active and identify new opportunities for automation. It provides the visibility and control organizations need to confidently deploy AI while keeping people at the center of decision-making.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supplement our comprehensive software solutions with an integrated implementation and client service organization designed to meet the needs of our clients and prospects.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software solutions offer our clients automated data integration with hundreds of third-party partner systems in our Integration Marketplace, such as 401(k), benefits and insurance provider systems. This integration reduces the complexity and risk of error of manual data transfers and saves time for our clients and their employees.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integrate data with these related systems through a secure connection, which significantly decreases the risk of unauthorized third-party access and other security breaches.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market and sell our products through our direct sales force. We generate sales leads through a variety of focused marketing initiatives and from our extensive referral network of 401(k) advisors, benefits administrators, insurance brokers, third-party administrators, HR consultants and accountants. We derive revenue from a client based on the solutions purchased by the client, the number of client employees and the amount, type and timing of services provided with respect to those client employees. Our annual revenue retention rate was greater than 92% in each of our 2024, 2025 and 2026 fiscal years. Our total revenues increased from $1,402.5 million in fiscal 2024 to $1,595.2 million in fiscal 2025, representing a 14% year-over-year increase, and to $1,771.3 million in fiscal 2026, representing an 11% year-over-year increase. We believe our recurring revenue model and high annual revenue retention rates provide significant visibility into our future 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intend to strengthen and extend our position as a leading cloud-based provider of HCM, finance and IT software solutions. Key elements of our strategy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Extend Technological Leadership</w:t>
      </w:r>
      <w:r>
        <w:rPr>
          <w:rFonts w:ascii="Times New Roman;serif" w:hAnsi="Times New Roman;serif"/>
          <w:b w:val="false"/>
          <w:color w:val="000000"/>
          <w:sz w:val="20"/>
        </w:rPr>
        <w:t>. We continue to invest in our platform, including AI, automation, analytics, and mobile capabilities, to enhance the functionality and efficiency of our solutions. Built on a unified, cloud-based architecture, our platform helps businesses streamline HR, finance, and IT operations, manage spend and talent and build culture and connection. AI is embedded directly into everyday workflows to save time, reduce manual effort, and support better decision-making. We intend to continue advancing our platform to address evolving client needs and leverage emerging technology opportunities.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Grow Our Client Base</w:t>
      </w:r>
      <w:r>
        <w:rPr>
          <w:rFonts w:ascii="Times New Roman;serif" w:hAnsi="Times New Roman;serif"/>
          <w:b w:val="false"/>
          <w:color w:val="000000"/>
          <w:sz w:val="20"/>
        </w:rPr>
        <w:t>. We believe that our current client base represents only a small portion of the organizations that could benefit from our solutions. Our clients typically have between 10 to 5,000 employees. While we provide our software solutions to approximately 44,400 clients across the U.S. (excluding clients acquired through acquisitions) as of June 30, 2026, there are approximately 1.3 million businesses with 10 to 5,000 employees in the U.S., employing approximately 73 million people, according to the U.S. Census Bureau in 2022. We believe our realized target addressable market is approximately $22.5 billion as clients, on average, purchase 50% or more of our suite of solutions. As we continue to expand our product offer</w:t>
      </w:r>
      <w:r>
        <w:rPr>
          <w:rFonts w:ascii="Times New Roman;serif" w:hAnsi="Times New Roman;serif"/>
          <w:b w:val="false"/>
          <w:color w:val="000000"/>
          <w:sz w:val="20"/>
          <w:shd w:fill="FFFFFF" w:val="clear"/>
        </w:rPr>
        <w:t xml:space="preserve">ings, we believe that we have an opportunity to increase the amounts clients spend on our solutions per employee and to expand our addressable market. As we expand our client base and number of client employees, we will also grow our sales organization.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Expand Our Product Offerings</w:t>
      </w:r>
      <w:r>
        <w:rPr>
          <w:rFonts w:ascii="Times New Roman;serif" w:hAnsi="Times New Roman;serif"/>
          <w:b w:val="false"/>
          <w:color w:val="000000"/>
          <w:sz w:val="20"/>
        </w:rPr>
        <w:t xml:space="preserve">. We believe a significant part of our leadership position is the result of our investment and innovation in our product offerings. We plan to continue to invest in product development efforts that will allow us to offer a broader selection of products to new and existing clients.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Further Develop Our Referral Network</w:t>
      </w:r>
      <w:r>
        <w:rPr>
          <w:rFonts w:ascii="Times New Roman;serif" w:hAnsi="Times New Roman;serif"/>
          <w:b w:val="false"/>
          <w:color w:val="000000"/>
          <w:sz w:val="20"/>
        </w:rPr>
        <w:t>. We have developed a strong network of referral participants, such as 401(k) advisors, benefits administrators, insurance brokers, third-party administrators, HR consultants and accountants that recommend our solutions and provide referrals. We believe that our platform’s automated data integration with hundreds of related third-party partner systems is valuable to our referral participants, as they are able to access payroll, HR and finance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HCM, finance and IT software solutions deliver a unified platform for the modern workplace. Our platform offers a unified, easy-to-use product suite that helps businesses streamline HR, finance, and IT operations, manage spend and talent, and build culture and connection with AI embedded directly into everyday workflows to save time, reduce manual effort, and support better decision-making. Our product suite includes the following categories: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Payroll</w:t>
      </w:r>
    </w:p>
    <w:p>
      <w:pPr>
        <w:pStyle w:val="TextBody"/>
        <w:bidi w:val="0"/>
        <w:spacing w:lineRule="auto" w:line="288" w:before="240" w:after="283"/>
        <w:jc w:val="left"/>
        <w:rPr/>
      </w:pPr>
      <w:r>
        <w:rPr>
          <w:rFonts w:ascii="Times New Roman;serif" w:hAnsi="Times New Roman;serif"/>
          <w:b w:val="false"/>
          <w:i/>
          <w:color w:val="000000"/>
          <w:sz w:val="20"/>
        </w:rPr>
        <w:t>Payroll and Tax Service</w:t>
      </w:r>
      <w:r>
        <w:rPr>
          <w:rFonts w:ascii="Times New Roman;serif" w:hAnsi="Times New Roman;serif"/>
          <w:b/>
          <w:i/>
          <w:color w:val="000000"/>
          <w:sz w:val="20"/>
        </w:rPr>
        <w:t>s</w:t>
      </w:r>
      <w:r>
        <w:rPr>
          <w:color w:val="000000"/>
        </w:rPr>
        <w:t xml:space="preserve"> – </w:t>
      </w:r>
      <w:r>
        <w:rPr>
          <w:rFonts w:ascii="Times New Roman;serif" w:hAnsi="Times New Roman;serif"/>
          <w:b w:val="false"/>
          <w:color w:val="000000"/>
          <w:sz w:val="20"/>
        </w:rPr>
        <w:t>Our Payroll and Tax Services solution is designed to simplify payroll, automate processes and manage complex compliance requirements within one system. Our payroll solution leverages data from our Time &amp; Labor and Human Resources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 third-party providers. Through our Tax Services solutions, we accurately prepare and file the necessary tax withholdings and filing documents for local, state and federal jurisdictions.</w:t>
      </w:r>
    </w:p>
    <w:p>
      <w:pPr>
        <w:pStyle w:val="TextBody"/>
        <w:bidi w:val="0"/>
        <w:spacing w:lineRule="auto" w:line="288" w:before="240" w:after="283"/>
        <w:jc w:val="left"/>
        <w:rPr/>
      </w:pPr>
      <w:r>
        <w:rPr>
          <w:rFonts w:ascii="Times New Roman;serif" w:hAnsi="Times New Roman;serif"/>
          <w:b w:val="false"/>
          <w:i/>
          <w:color w:val="000000"/>
          <w:sz w:val="20"/>
        </w:rPr>
        <w:t xml:space="preserve">Global Payroll – </w:t>
      </w:r>
      <w:r>
        <w:rPr>
          <w:rFonts w:ascii="Times New Roman;serif" w:hAnsi="Times New Roman;serif"/>
          <w:b w:val="false"/>
          <w:color w:val="000000"/>
          <w:sz w:val="20"/>
        </w:rPr>
        <w:t>Our cloud-based global payroll solution enables U.S.-based companies to manage payroll for employees outside the U.S. in line with complex local and country-specific requirements across over 100 countries. It also provides consolidated reporting capabilities to efficiently manage a global employee base with real-time access to payroll data.</w:t>
      </w:r>
    </w:p>
    <w:p>
      <w:pPr>
        <w:pStyle w:val="TextBody"/>
        <w:bidi w:val="0"/>
        <w:spacing w:lineRule="auto" w:line="288" w:before="240" w:after="283"/>
        <w:jc w:val="left"/>
        <w:rPr/>
      </w:pPr>
      <w:r>
        <w:rPr>
          <w:rFonts w:ascii="Times New Roman;serif" w:hAnsi="Times New Roman;serif"/>
          <w:b w:val="false"/>
          <w:i/>
          <w:color w:val="000000"/>
          <w:sz w:val="20"/>
        </w:rPr>
        <w:t>On Demand Payment</w:t>
      </w:r>
      <w:r>
        <w:rPr>
          <w:color w:val="000000"/>
        </w:rPr>
        <w:t xml:space="preserve"> – </w:t>
      </w:r>
      <w:r>
        <w:rPr>
          <w:rFonts w:ascii="Times New Roman;serif" w:hAnsi="Times New Roman;serif"/>
          <w:b w:val="false"/>
          <w:color w:val="000000"/>
          <w:sz w:val="20"/>
        </w:rPr>
        <w:t>On Demand Payment provides employees with visibility into their earned wages in between pay cycles based on their hours worked and offers financial flexibility to employees through access to a portion of their earned wages before their scheduled payday without impacting the client’s standard payroll process.</w:t>
      </w:r>
    </w:p>
    <w:p>
      <w:pPr>
        <w:pStyle w:val="TextBody"/>
        <w:bidi w:val="0"/>
        <w:spacing w:lineRule="auto" w:line="288" w:before="240" w:after="283"/>
        <w:jc w:val="left"/>
        <w:rPr/>
      </w:pPr>
      <w:r>
        <w:rPr>
          <w:rFonts w:ascii="Times New Roman;serif" w:hAnsi="Times New Roman;serif"/>
          <w:b w:val="false"/>
          <w:i/>
          <w:color w:val="000000"/>
          <w:sz w:val="20"/>
        </w:rPr>
        <w:t xml:space="preserve">Garnishments </w:t>
      </w:r>
      <w:r>
        <w:rPr>
          <w:color w:val="000000"/>
        </w:rPr>
        <w:t xml:space="preserve">– </w:t>
      </w:r>
      <w:r>
        <w:rPr>
          <w:rFonts w:ascii="Times New Roman;serif" w:hAnsi="Times New Roman;serif"/>
          <w:b w:val="false"/>
          <w:color w:val="000000"/>
          <w:sz w:val="20"/>
        </w:rPr>
        <w:t>Our Garnishments solution provides the calculation, setup and maintenance of historical deduction records and performs calculation validation against state and federal legislation to mitigate compliance risk and prevent costly penalties and errors.</w:t>
      </w:r>
    </w:p>
    <w:p>
      <w:pPr>
        <w:pStyle w:val="TextBody"/>
        <w:bidi w:val="0"/>
        <w:spacing w:lineRule="auto" w:line="288" w:before="240" w:after="283"/>
        <w:jc w:val="left"/>
        <w:rPr/>
      </w:pPr>
      <w:r>
        <w:rPr>
          <w:rFonts w:ascii="Times New Roman;serif" w:hAnsi="Times New Roman;serif"/>
          <w:b w:val="false"/>
          <w:i/>
          <w:color w:val="000000"/>
          <w:sz w:val="20"/>
        </w:rPr>
        <w:t xml:space="preserve">Elevate Payroll – </w:t>
      </w:r>
      <w:r>
        <w:rPr>
          <w:rFonts w:ascii="Times New Roman;serif" w:hAnsi="Times New Roman;serif"/>
          <w:b w:val="false"/>
          <w:color w:val="000000"/>
          <w:sz w:val="20"/>
        </w:rPr>
        <w:t>A dedicated team of specialists executes critical payroll processes on behalf of clients, reducing administrative burden and improving execution which allows our clients to better focus on strategic priorities. Our clients remain in control and own decisions, while we manage tasks on their behalf.</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Human Resources </w:t>
      </w:r>
    </w:p>
    <w:p>
      <w:pPr>
        <w:pStyle w:val="TextBody"/>
        <w:bidi w:val="0"/>
        <w:spacing w:lineRule="auto" w:line="288" w:before="240" w:after="283"/>
        <w:jc w:val="left"/>
        <w:rPr/>
      </w:pPr>
      <w:r>
        <w:rPr>
          <w:rFonts w:ascii="Times New Roman;serif" w:hAnsi="Times New Roman;serif"/>
          <w:b w:val="false"/>
          <w:i/>
          <w:color w:val="000000"/>
          <w:sz w:val="20"/>
        </w:rPr>
        <w:t xml:space="preserve">Human Resources </w:t>
      </w:r>
      <w:r>
        <w:rPr>
          <w:color w:val="000000"/>
        </w:rPr>
        <w:t xml:space="preserve">– </w:t>
      </w:r>
      <w:r>
        <w:rPr>
          <w:rFonts w:ascii="Times New Roman;serif" w:hAnsi="Times New Roman;serif"/>
          <w:b w:val="false"/>
          <w:color w:val="000000"/>
          <w:sz w:val="20"/>
        </w:rPr>
        <w:t>Our Human Resources solutions streamline processes using modern, mobile-enabled tools that help save time by automating administrative tasks and providing data-driven reporting. Clients can track headcount and status for positions, manage position and manager changes, manage compliance tracking and reporting and employee data and documents in one central location.</w:t>
      </w:r>
    </w:p>
    <w:p>
      <w:pPr>
        <w:pStyle w:val="TextBody"/>
        <w:bidi w:val="0"/>
        <w:spacing w:lineRule="auto" w:line="288" w:before="240" w:after="283"/>
        <w:jc w:val="left"/>
        <w:rPr/>
      </w:pPr>
      <w:r>
        <w:rPr>
          <w:rFonts w:ascii="Times New Roman;serif" w:hAnsi="Times New Roman;serif"/>
          <w:b w:val="false"/>
          <w:i/>
          <w:color w:val="000000"/>
          <w:sz w:val="20"/>
        </w:rPr>
        <w:t>Employee Self-Service (Home)</w:t>
      </w:r>
      <w:r>
        <w:rPr>
          <w:color w:val="000000"/>
        </w:rPr>
        <w:t xml:space="preserve"> – </w:t>
      </w:r>
      <w:r>
        <w:rPr>
          <w:rFonts w:ascii="Times New Roman;serif" w:hAnsi="Times New Roman;serif"/>
          <w:b w:val="false"/>
          <w:color w:val="000000"/>
          <w:sz w:val="20"/>
        </w:rPr>
        <w:t xml:space="preserve">Our Home module provides employees with access to their information 24/7, which allows them to view checks, request time off, clock in and out, update personal data and collaborate with teammates. Employees can also enroll in benefits, view coverage, access training or view course completion status on-the-go via our mobile app. An AI Assistant answers Paylocity-centric questions, as well as client-specific ones based on information in their employee handbooks. </w:t>
      </w:r>
    </w:p>
    <w:p>
      <w:pPr>
        <w:pStyle w:val="TextBody"/>
        <w:bidi w:val="0"/>
        <w:spacing w:lineRule="auto" w:line="288" w:before="240" w:after="283"/>
        <w:jc w:val="left"/>
        <w:rPr/>
      </w:pPr>
      <w:r>
        <w:rPr>
          <w:rFonts w:ascii="Times New Roman;serif" w:hAnsi="Times New Roman;serif"/>
          <w:b w:val="false"/>
          <w:i/>
          <w:color w:val="000000"/>
          <w:sz w:val="20"/>
        </w:rPr>
        <w:t>Workflows &amp; Documents</w:t>
      </w:r>
      <w:r>
        <w:rPr>
          <w:color w:val="000000"/>
        </w:rPr>
        <w:t xml:space="preserve"> – </w:t>
      </w:r>
      <w:r>
        <w:rPr>
          <w:rFonts w:ascii="Times New Roman;serif" w:hAnsi="Times New Roman;serif"/>
          <w:b w:val="false"/>
          <w:color w:val="000000"/>
          <w:sz w:val="20"/>
        </w:rPr>
        <w:t>Workflows, the process automation engine embedded throughout our platform, enables clients to automate manual processes through configurable workflows and pre-built templates, improving efficiency and data accuracy. Documents provides a secure, centralized repository for employee records, helping clients stay organized, manage access through role-based permissions and replace manual, paper-based processes.</w:t>
      </w:r>
    </w:p>
    <w:p>
      <w:pPr>
        <w:pStyle w:val="TextBody"/>
        <w:bidi w:val="0"/>
        <w:spacing w:lineRule="auto" w:line="288" w:before="240" w:after="283"/>
        <w:jc w:val="left"/>
        <w:rPr/>
      </w:pPr>
      <w:r>
        <w:rPr>
          <w:rFonts w:ascii="Times New Roman;serif" w:hAnsi="Times New Roman;serif"/>
          <w:b w:val="false"/>
          <w:i/>
          <w:color w:val="000000"/>
          <w:sz w:val="20"/>
        </w:rPr>
        <w:t>HR Compliance Dashboard</w:t>
      </w:r>
      <w:r>
        <w:rPr>
          <w:color w:val="000000"/>
        </w:rPr>
        <w:t xml:space="preserve"> – </w:t>
      </w:r>
      <w:r>
        <w:rPr>
          <w:rFonts w:ascii="Times New Roman;serif" w:hAnsi="Times New Roman;serif"/>
          <w:b w:val="false"/>
          <w:color w:val="000000"/>
          <w:sz w:val="20"/>
        </w:rPr>
        <w:t>With our HR Compliance Dashboard, clients save time and money by staying up to date with new laws and regulations related to topics such as employment verification, Equal Employment Opportunity and compensation.</w:t>
      </w:r>
    </w:p>
    <w:p>
      <w:pPr>
        <w:pStyle w:val="TextBody"/>
        <w:bidi w:val="0"/>
        <w:spacing w:lineRule="auto" w:line="288" w:before="240" w:after="283"/>
        <w:jc w:val="left"/>
        <w:rPr/>
      </w:pPr>
      <w:r>
        <w:rPr>
          <w:rFonts w:ascii="Times New Roman;serif" w:hAnsi="Times New Roman;serif"/>
          <w:b w:val="false"/>
          <w:i/>
          <w:color w:val="000000"/>
          <w:sz w:val="20"/>
        </w:rPr>
        <w:t>Elevate HR &amp; HR Edge</w:t>
      </w:r>
      <w:r>
        <w:rPr>
          <w:color w:val="000000"/>
        </w:rPr>
        <w:t xml:space="preserve"> – </w:t>
      </w:r>
      <w:r>
        <w:rPr>
          <w:rFonts w:ascii="Times New Roman;serif" w:hAnsi="Times New Roman;serif"/>
          <w:b w:val="false"/>
          <w:color w:val="000000"/>
          <w:sz w:val="20"/>
        </w:rPr>
        <w:t xml:space="preserve">In-house experts provide operational HR support like executing HR administration data audits, providing compliance guidance, developing policies and guiding with best practices while clients retain decision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authority. HR Edge provides another option for clients looking for advisory and best practice support without the level of hands-on execution offered by Elevate HR.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Time &amp; Labor</w:t>
      </w:r>
    </w:p>
    <w:p>
      <w:pPr>
        <w:pStyle w:val="TextBody"/>
        <w:bidi w:val="0"/>
        <w:spacing w:lineRule="auto" w:line="288" w:before="240" w:after="283"/>
        <w:jc w:val="left"/>
        <w:rPr/>
      </w:pPr>
      <w:r>
        <w:rPr>
          <w:rFonts w:ascii="Times New Roman;serif" w:hAnsi="Times New Roman;serif"/>
          <w:b w:val="false"/>
          <w:i/>
          <w:color w:val="000000"/>
          <w:sz w:val="20"/>
        </w:rPr>
        <w:t>Time and Attendance</w:t>
      </w:r>
      <w:r>
        <w:rPr>
          <w:color w:val="000000"/>
        </w:rPr>
        <w:t xml:space="preserve"> – </w:t>
      </w:r>
      <w:r>
        <w:rPr>
          <w:rFonts w:ascii="Times New Roman;serif" w:hAnsi="Times New Roman;serif"/>
          <w:b w:val="false"/>
          <w:color w:val="000000"/>
          <w:sz w:val="20"/>
        </w:rPr>
        <w:t>Our Time and Attendance solution accurately tracks time and attendance data, eliminating the need for manual tracking of accruals and reducing administrative tasks. Employees and supervisors can request and manage time off, edit timecards and manage schedule changes. A customizable supervisor dashboard provides at-a-glance visibility to missed punches, pending time off requests, attendance exceptions and more.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Scheduling</w:t>
      </w:r>
      <w:r>
        <w:rPr>
          <w:color w:val="000000"/>
        </w:rPr>
        <w:t xml:space="preserve"> – </w:t>
      </w:r>
      <w:r>
        <w:rPr>
          <w:rFonts w:ascii="Times New Roman;serif" w:hAnsi="Times New Roman;serif"/>
          <w:b w:val="false"/>
          <w:color w:val="000000"/>
          <w:sz w:val="20"/>
        </w:rPr>
        <w:t>Clients can simplify scheduling by leveraging AI-driven shift recommendations and budgeting/scheduling advice, leveraging templates and building policies based on duration, time between shifts and skills/certifications. Shift swapping and open shift claiming offer flexibility to employees, ensuring optimal coverage and controlled labor costs. Managers and employees can easily manage their schedules from our mobile app to ensure the appropriate shift coverage.</w:t>
      </w:r>
    </w:p>
    <w:p>
      <w:pPr>
        <w:pStyle w:val="TextBody"/>
        <w:bidi w:val="0"/>
        <w:spacing w:lineRule="auto" w:line="288" w:before="240" w:after="283"/>
        <w:jc w:val="left"/>
        <w:rPr/>
      </w:pPr>
      <w:r>
        <w:rPr>
          <w:rFonts w:ascii="Times New Roman;serif" w:hAnsi="Times New Roman;serif"/>
          <w:b w:val="false"/>
          <w:i/>
          <w:color w:val="000000"/>
          <w:sz w:val="20"/>
        </w:rPr>
        <w:t>Time Collection</w:t>
      </w:r>
      <w:r>
        <w:rPr>
          <w:color w:val="000000"/>
        </w:rPr>
        <w:t xml:space="preserve"> – </w:t>
      </w:r>
      <w:r>
        <w:rPr>
          <w:rFonts w:ascii="Times New Roman;serif" w:hAnsi="Times New Roman;serif"/>
          <w:b w:val="false"/>
          <w:color w:val="000000"/>
          <w:sz w:val="20"/>
        </w:rPr>
        <w:t xml:space="preserve">Our wide variety of time collection devices include kiosks, state-of-the-art time clocks, mobile and web applications and even smartwatches to meet unique needs of different companies while enabling employees to clock in wherever business is conducted. Advanced features include specifying geographic parameters for mobile punch-in, answering attestation prompts and other health and safety checks.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Talent</w:t>
      </w:r>
    </w:p>
    <w:p>
      <w:pPr>
        <w:pStyle w:val="TextBody"/>
        <w:bidi w:val="0"/>
        <w:spacing w:lineRule="auto" w:line="288" w:before="240" w:after="283"/>
        <w:jc w:val="left"/>
        <w:rPr/>
      </w:pPr>
      <w:r>
        <w:rPr>
          <w:rFonts w:ascii="Times New Roman;serif" w:hAnsi="Times New Roman;serif"/>
          <w:b w:val="false"/>
          <w:i/>
          <w:color w:val="000000"/>
          <w:sz w:val="20"/>
        </w:rPr>
        <w:t>Recruiting</w:t>
      </w:r>
      <w:r>
        <w:rPr>
          <w:color w:val="000000"/>
        </w:rPr>
        <w:t xml:space="preserve"> – </w:t>
      </w:r>
      <w:r>
        <w:rPr>
          <w:rFonts w:ascii="Times New Roman;serif" w:hAnsi="Times New Roman;serif"/>
          <w:b w:val="false"/>
          <w:color w:val="000000"/>
          <w:sz w:val="20"/>
        </w:rPr>
        <w:t>Our Recruiting tools help clients streamline talent acquisition processes from application creation through candidate acceptance. Clients can reach candidates through online job postings and mobile-friendly application methods, reduce bias through candidate masking capabilities, simplify screening and background check processes, coordinate interviews through scheduling tools and calendar integrations and communicate with candidates through email, text messaging and video interviews. The solution also provides real-time access to candidate information to support timely hiring decisions. We also offer an AI-powered add-on that enables organizations to rediscover and re-engage existing candidates within their applicant tracking system while automating outreach, screening and interview scheduling.</w:t>
      </w:r>
    </w:p>
    <w:p>
      <w:pPr>
        <w:pStyle w:val="TextBody"/>
        <w:bidi w:val="0"/>
        <w:spacing w:lineRule="auto" w:line="288" w:before="240" w:after="283"/>
        <w:jc w:val="left"/>
        <w:rPr/>
      </w:pPr>
      <w:r>
        <w:rPr>
          <w:rFonts w:ascii="Times New Roman;serif" w:hAnsi="Times New Roman;serif"/>
          <w:b w:val="false"/>
          <w:i/>
          <w:color w:val="000000"/>
          <w:sz w:val="20"/>
        </w:rPr>
        <w:t>Onboarding</w:t>
      </w:r>
      <w:r>
        <w:rPr>
          <w:color w:val="000000"/>
        </w:rPr>
        <w:t xml:space="preserve"> – </w:t>
      </w:r>
      <w:r>
        <w:rPr>
          <w:rFonts w:ascii="Times New Roman;serif" w:hAnsi="Times New Roman;serif"/>
          <w:b w:val="false"/>
          <w:color w:val="000000"/>
          <w:sz w:val="20"/>
        </w:rPr>
        <w:t xml:space="preserve">Our Onboarding tools enable new employees to complete all pre-hire tasks through digital data collection to gather important personal and confidential information and documentation right through our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 </w:t>
      </w:r>
    </w:p>
    <w:p>
      <w:pPr>
        <w:pStyle w:val="TextBody"/>
        <w:bidi w:val="0"/>
        <w:spacing w:lineRule="auto" w:line="288" w:before="240" w:after="283"/>
        <w:jc w:val="left"/>
        <w:rPr/>
      </w:pPr>
      <w:r>
        <w:rPr>
          <w:rFonts w:ascii="Times New Roman;serif" w:hAnsi="Times New Roman;serif"/>
          <w:b w:val="false"/>
          <w:i/>
          <w:color w:val="000000"/>
          <w:sz w:val="20"/>
        </w:rPr>
        <w:t xml:space="preserve">Learning </w:t>
      </w:r>
      <w:r>
        <w:rPr>
          <w:color w:val="000000"/>
        </w:rPr>
        <w:t xml:space="preserve">– </w:t>
      </w:r>
      <w:r>
        <w:rPr>
          <w:rFonts w:ascii="Times New Roman;serif" w:hAnsi="Times New Roman;serif"/>
          <w:b w:val="false"/>
          <w:color w:val="000000"/>
          <w:sz w:val="20"/>
        </w:rPr>
        <w:t>Our Learning tools enable clients to assign, deliver, and track employee training across a variety of topics and delivery methods, including on-demand courses, webinars and mobile learning. Clients can create and manage custom training content, leverage a library of out-of-the-box compliance and professional development courses and empower employees to share knowledge and expertise through user-generated training content.</w:t>
      </w:r>
    </w:p>
    <w:p>
      <w:pPr>
        <w:pStyle w:val="TextBody"/>
        <w:bidi w:val="0"/>
        <w:spacing w:lineRule="auto" w:line="288" w:before="240" w:after="283"/>
        <w:jc w:val="left"/>
        <w:rPr/>
      </w:pPr>
      <w:r>
        <w:rPr>
          <w:rFonts w:ascii="Times New Roman;serif" w:hAnsi="Times New Roman;serif"/>
          <w:b w:val="false"/>
          <w:i/>
          <w:color w:val="000000"/>
          <w:sz w:val="20"/>
        </w:rPr>
        <w:t>Performance</w:t>
      </w:r>
      <w:r>
        <w:rPr>
          <w:color w:val="000000"/>
        </w:rPr>
        <w:t xml:space="preserve"> – </w:t>
      </w:r>
      <w:r>
        <w:rPr>
          <w:rFonts w:ascii="Times New Roman;serif" w:hAnsi="Times New Roman;serif"/>
          <w:b w:val="false"/>
          <w:color w:val="000000"/>
          <w:sz w:val="20"/>
        </w:rPr>
        <w:t>Our Performance tools support ongoing performance management through employee reviews, goal tracking and career development planning. Clients can facilitate continuous, goals-driven conversations and document employee accomplishments through Journals, while succession planning tools, including 9-box assessments, help clients evaluate performance and visualize workforce talent.</w:t>
      </w:r>
    </w:p>
    <w:p>
      <w:pPr>
        <w:pStyle w:val="TextBody"/>
        <w:bidi w:val="0"/>
        <w:spacing w:lineRule="auto" w:line="288" w:before="240" w:after="283"/>
        <w:jc w:val="left"/>
        <w:rPr/>
      </w:pPr>
      <w:r>
        <w:rPr>
          <w:rFonts w:ascii="Times New Roman;serif" w:hAnsi="Times New Roman;serif"/>
          <w:b w:val="false"/>
          <w:i/>
          <w:color w:val="000000"/>
          <w:sz w:val="20"/>
        </w:rPr>
        <w:t xml:space="preserve">Compensation </w:t>
      </w:r>
      <w:r>
        <w:rPr>
          <w:color w:val="000000"/>
        </w:rPr>
        <w:t xml:space="preserve">– </w:t>
      </w:r>
      <w:r>
        <w:rPr>
          <w:rFonts w:ascii="Times New Roman;serif" w:hAnsi="Times New Roman;serif"/>
          <w:b w:val="false"/>
          <w:color w:val="000000"/>
          <w:sz w:val="20"/>
        </w:rPr>
        <w:t>Our Compensation tools help clients align between organizational goals, budgets and participant eligibility in an efficient process that reduces manual effort and paper-based budgeting activities. Our customized dashboards provide visibility to individual performance and compensation history at custom permission levels and the full value of an employee’s compensation and benefits. Clients can create employee-facing Total Rewards Statements in bulk to demonstrate the full compensation an employee receives, including not just pay, but also benefits, time off, and more.</w:t>
      </w:r>
    </w:p>
    <w:p>
      <w:pPr>
        <w:pStyle w:val="TextBody"/>
        <w:bidi w:val="0"/>
        <w:spacing w:lineRule="auto" w:line="288" w:before="240" w:after="283"/>
        <w:jc w:val="left"/>
        <w:rPr/>
      </w:pPr>
      <w:r>
        <w:rPr>
          <w:rFonts w:ascii="Times New Roman;serif" w:hAnsi="Times New Roman;serif"/>
          <w:b w:val="false"/>
          <w:i/>
          <w:color w:val="000000"/>
          <w:sz w:val="20"/>
        </w:rPr>
        <w:t>Market Pay</w:t>
      </w:r>
      <w:r>
        <w:rPr>
          <w:color w:val="000000"/>
        </w:rPr>
        <w:t xml:space="preserve"> – </w:t>
      </w:r>
      <w:r>
        <w:rPr>
          <w:rFonts w:ascii="Times New Roman;serif" w:hAnsi="Times New Roman;serif"/>
          <w:b w:val="false"/>
          <w:color w:val="000000"/>
          <w:sz w:val="20"/>
        </w:rPr>
        <w:t>Market Pay provides real-time insights for HR, leaders and managers making it easy for them to understand their local market, identify trends and make data-driven decisions about employee compensation so they can pay employees fairly, outpace competitors to attract and retain top talent and remain compliant with laws and regulations.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Benefits</w:t>
      </w:r>
    </w:p>
    <w:p>
      <w:pPr>
        <w:pStyle w:val="TextBody"/>
        <w:bidi w:val="0"/>
        <w:spacing w:lineRule="auto" w:line="288" w:before="240" w:after="283"/>
        <w:jc w:val="left"/>
        <w:rPr/>
      </w:pPr>
      <w:r>
        <w:rPr>
          <w:rFonts w:ascii="Times New Roman;serif" w:hAnsi="Times New Roman;serif"/>
          <w:b w:val="false"/>
          <w:i/>
          <w:color w:val="000000"/>
          <w:sz w:val="20"/>
        </w:rPr>
        <w:t xml:space="preserve">Benefit Enrollment &amp; Updates </w:t>
      </w:r>
      <w:r>
        <w:rPr>
          <w:color w:val="000000"/>
        </w:rPr>
        <w:t xml:space="preserve">– </w:t>
      </w:r>
      <w:r>
        <w:rPr>
          <w:rFonts w:ascii="Times New Roman;serif" w:hAnsi="Times New Roman;serif"/>
          <w:b w:val="false"/>
          <w:color w:val="000000"/>
          <w:sz w:val="20"/>
        </w:rPr>
        <w:t>Our Benefits tools help clients administer benefit plans and provide employees with a streamlined enrollment and management experience across desktop and mobile devices. Clients can manage benefit offerings and enrollment rules, while employees can make and update benefit elections, access account information and receive guidance through AI-powered Benefit Decision Support. Embedded communications and training tools help employees stay informed about important dates and available benefit options.</w:t>
      </w:r>
    </w:p>
    <w:p>
      <w:pPr>
        <w:pStyle w:val="TextBody"/>
        <w:bidi w:val="0"/>
        <w:spacing w:lineRule="auto" w:line="288" w:before="240" w:after="283"/>
        <w:jc w:val="left"/>
        <w:rPr/>
      </w:pPr>
      <w:r>
        <w:rPr>
          <w:rFonts w:ascii="Times New Roman;serif" w:hAnsi="Times New Roman;serif"/>
          <w:b w:val="false"/>
          <w:i/>
          <w:color w:val="000000"/>
          <w:sz w:val="20"/>
        </w:rPr>
        <w:t>Third-Party Administrative (TPA) Solutions</w:t>
      </w:r>
      <w:r>
        <w:rPr>
          <w:color w:val="000000"/>
        </w:rPr>
        <w:t xml:space="preserve"> – </w:t>
      </w:r>
      <w:r>
        <w:rPr>
          <w:rFonts w:ascii="Times New Roman;serif" w:hAnsi="Times New Roman;serif"/>
          <w:b w:val="false"/>
          <w:color w:val="000000"/>
          <w:sz w:val="20"/>
        </w:rPr>
        <w:t xml:space="preserve">Our TPA solutions are designed to modernize the administration of Health Savings Account (“HSA”), Flexible Savings Account (“FSA”), Health 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These solutions also ease the administration of COBRA coverage and retiree billing. </w:t>
      </w:r>
    </w:p>
    <w:p>
      <w:pPr>
        <w:pStyle w:val="TextBody"/>
        <w:bidi w:val="0"/>
        <w:spacing w:lineRule="auto" w:line="288" w:before="240" w:after="283"/>
        <w:jc w:val="left"/>
        <w:rPr/>
      </w:pPr>
      <w:r>
        <w:rPr>
          <w:rFonts w:ascii="Times New Roman;serif" w:hAnsi="Times New Roman;serif"/>
          <w:b w:val="false"/>
          <w:i/>
          <w:color w:val="000000"/>
          <w:sz w:val="20"/>
        </w:rPr>
        <w:t>Retirement</w:t>
      </w:r>
      <w:r>
        <w:rPr>
          <w:color w:val="000000"/>
        </w:rPr>
        <w:t xml:space="preserve"> </w:t>
      </w:r>
      <w:r>
        <w:rPr>
          <w:rFonts w:ascii="Times New Roman;serif" w:hAnsi="Times New Roman;serif"/>
          <w:b w:val="false"/>
          <w:color w:val="000000"/>
          <w:sz w:val="20"/>
        </w:rPr>
        <w:t>- Retirement connects payroll and contribution management in one unified experience, helping clients streamline plan administration and align payroll and retirement processes.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Experiences</w:t>
      </w:r>
    </w:p>
    <w:p>
      <w:pPr>
        <w:pStyle w:val="TextBody"/>
        <w:bidi w:val="0"/>
        <w:spacing w:lineRule="auto" w:line="288" w:before="240" w:after="283"/>
        <w:jc w:val="left"/>
        <w:rPr/>
      </w:pPr>
      <w:r>
        <w:rPr>
          <w:rFonts w:ascii="Times New Roman;serif" w:hAnsi="Times New Roman;serif"/>
          <w:b w:val="false"/>
          <w:i/>
          <w:color w:val="000000"/>
          <w:sz w:val="20"/>
        </w:rPr>
        <w:t>Community</w:t>
      </w:r>
      <w:r>
        <w:rPr>
          <w:color w:val="000000"/>
        </w:rPr>
        <w:t xml:space="preserve"> – </w:t>
      </w:r>
      <w:r>
        <w:rPr>
          <w:rFonts w:ascii="Times New Roman;serif" w:hAnsi="Times New Roman;serif"/>
          <w:b w:val="false"/>
          <w:color w:val="000000"/>
          <w:sz w:val="20"/>
        </w:rPr>
        <w:t>Community is an integrated part of our platform that streamlines communication and fosters employee engagement across distributed workforces, including employees who are remote, mobile, or do not have corporate email access. Clients can centralize announcements in a company feed, manage communications through an intuitive dashboard and support employees through Ask an Expert groups that enable questions and responses at scale. Community also offers capabilities such as chat, file sharing, team groups, employee profiles, enhanced directory and search functionality to help employees connect, collaborate, and access information.</w:t>
      </w:r>
    </w:p>
    <w:p>
      <w:pPr>
        <w:pStyle w:val="TextBody"/>
        <w:bidi w:val="0"/>
        <w:spacing w:lineRule="auto" w:line="288" w:before="240" w:after="283"/>
        <w:jc w:val="left"/>
        <w:rPr/>
      </w:pPr>
      <w:r>
        <w:rPr>
          <w:rFonts w:ascii="Times New Roman;serif" w:hAnsi="Times New Roman;serif"/>
          <w:b w:val="false"/>
          <w:i/>
          <w:color w:val="000000"/>
          <w:sz w:val="20"/>
        </w:rPr>
        <w:t>Video</w:t>
      </w:r>
      <w:r>
        <w:rPr>
          <w:color w:val="000000"/>
        </w:rPr>
        <w:t xml:space="preserve"> – </w:t>
      </w:r>
      <w:r>
        <w:rPr>
          <w:rFonts w:ascii="Times New Roman;serif" w:hAnsi="Times New Roman;serif"/>
          <w:b w:val="false"/>
          <w:color w:val="000000"/>
          <w:sz w:val="20"/>
        </w:rPr>
        <w:t xml:space="preserve">Our Video tools enable clients to record, upload and embed videos across our HCM platform to increase collaboration, morale, engagement and productivity. Clients can embed videos seamlessly into tasks that are critical to their business such as leadership announcements, job postings, onboarding, performance journals, surveys and more. </w:t>
      </w:r>
    </w:p>
    <w:p>
      <w:pPr>
        <w:pStyle w:val="TextBody"/>
        <w:bidi w:val="0"/>
        <w:spacing w:lineRule="auto" w:line="288" w:before="240" w:after="283"/>
        <w:jc w:val="left"/>
        <w:rPr/>
      </w:pPr>
      <w:r>
        <w:rPr>
          <w:rFonts w:ascii="Times New Roman;serif" w:hAnsi="Times New Roman;serif"/>
          <w:b w:val="false"/>
          <w:i/>
          <w:color w:val="000000"/>
          <w:sz w:val="20"/>
        </w:rPr>
        <w:t>Employee Voice</w:t>
      </w:r>
      <w:r>
        <w:rPr>
          <w:color w:val="000000"/>
        </w:rPr>
        <w:t xml:space="preserve"> – </w:t>
      </w:r>
      <w:r>
        <w:rPr>
          <w:rFonts w:ascii="Times New Roman;serif" w:hAnsi="Times New Roman;serif"/>
          <w:b w:val="false"/>
          <w:color w:val="000000"/>
          <w:sz w:val="20"/>
        </w:rPr>
        <w:t>Employee Voice helps clients automatically and continuously collect feedback that is indicative of employee engagement and retention. AI-generated sentiment summaries synthesize feedback alongside dashboards and heatmaps that make it simple to understand feedback at scale.</w:t>
      </w:r>
      <w:r>
        <w:rPr>
          <w:color w:val="000000"/>
        </w:rPr>
        <w:t xml:space="preserve"> </w:t>
      </w:r>
      <w:r>
        <w:rPr>
          <w:rFonts w:ascii="Times New Roman;serif" w:hAnsi="Times New Roman;serif"/>
          <w:b w:val="false"/>
          <w:color w:val="000000"/>
          <w:sz w:val="20"/>
        </w:rPr>
        <w:t>It also includes the tools to share relevant insights with leadership and managers and create action plans to drive accountability.</w:t>
      </w:r>
    </w:p>
    <w:p>
      <w:pPr>
        <w:pStyle w:val="TextBody"/>
        <w:bidi w:val="0"/>
        <w:spacing w:lineRule="auto" w:line="288" w:before="240" w:after="283"/>
        <w:jc w:val="left"/>
        <w:rPr/>
      </w:pPr>
      <w:r>
        <w:rPr>
          <w:rFonts w:ascii="Times New Roman;serif" w:hAnsi="Times New Roman;serif"/>
          <w:b w:val="false"/>
          <w:i/>
          <w:color w:val="000000"/>
          <w:sz w:val="20"/>
        </w:rPr>
        <w:t>Recognition &amp; Rewards</w:t>
      </w:r>
      <w:r>
        <w:rPr>
          <w:color w:val="000000"/>
        </w:rPr>
        <w:t xml:space="preserve"> – </w:t>
      </w:r>
      <w:r>
        <w:rPr>
          <w:rFonts w:ascii="Times New Roman;serif" w:hAnsi="Times New Roman;serif"/>
          <w:b w:val="false"/>
          <w:color w:val="000000"/>
          <w:sz w:val="20"/>
        </w:rPr>
        <w:t xml:space="preserve">Recognition &amp; Rewards allows clients to drive engagement and retention via a frictionless experience embedded throughout our platform. Managers and peer employees can provide direct recognition and rewards for outstanding performance and impact with monetary awards, digital gift cards or charity donations seamlessly processed through our integrated payroll and tax platform. Administrators retain full control and visibility into how rewards are funded and distributed, ensuring alignment with company culture, objectives, budgets and policies. </w:t>
      </w:r>
    </w:p>
    <w:p>
      <w:pPr>
        <w:pStyle w:val="TextBody"/>
        <w:bidi w:val="0"/>
        <w:spacing w:lineRule="auto" w:line="288" w:before="240" w:after="283"/>
        <w:jc w:val="left"/>
        <w:rPr/>
      </w:pPr>
      <w:r>
        <w:rPr>
          <w:rFonts w:ascii="Times New Roman;serif" w:hAnsi="Times New Roman;serif"/>
          <w:b w:val="false"/>
          <w:i/>
          <w:color w:val="000000"/>
          <w:sz w:val="20"/>
        </w:rPr>
        <w:t>Data Insights</w:t>
      </w:r>
      <w:r>
        <w:rPr>
          <w:color w:val="000000"/>
        </w:rPr>
        <w:t xml:space="preserve"> – </w:t>
      </w:r>
      <w:r>
        <w:rPr>
          <w:rFonts w:ascii="Times New Roman;serif" w:hAnsi="Times New Roman;serif"/>
          <w:b w:val="false"/>
          <w:color w:val="000000"/>
          <w:sz w:val="20"/>
        </w:rPr>
        <w:t>With our Data Insights solution, our clients can evaluate their organizations through insights in areas such as headcount, turnover, labor costs and composition of their employee populations that allow them to customize, fund and deploy strategies to support employees.</w:t>
      </w:r>
    </w:p>
    <w:p>
      <w:pPr>
        <w:pStyle w:val="TextBody"/>
        <w:bidi w:val="0"/>
        <w:spacing w:lineRule="auto" w:line="288" w:before="240" w:after="283"/>
        <w:jc w:val="left"/>
        <w:rPr/>
      </w:pPr>
      <w:r>
        <w:rPr>
          <w:rFonts w:ascii="Times New Roman;serif" w:hAnsi="Times New Roman;serif"/>
          <w:b w:val="false"/>
          <w:i/>
          <w:color w:val="000000"/>
          <w:sz w:val="20"/>
        </w:rPr>
        <w:t>Reporting</w:t>
      </w:r>
      <w:r>
        <w:rPr>
          <w:color w:val="000000"/>
        </w:rPr>
        <w:t xml:space="preserve"> – </w:t>
      </w:r>
      <w:r>
        <w:rPr>
          <w:rFonts w:ascii="Times New Roman;serif" w:hAnsi="Times New Roman;serif"/>
          <w:b w:val="false"/>
          <w:color w:val="000000"/>
          <w:sz w:val="20"/>
        </w:rPr>
        <w:t>Clients can build and customize reports within our platform. We also offer hundreds of standard reports that clients can use as-is or adjust to suit their needs. New reports are added regularly in response to regulatory changes, compliance updates and client feedback.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Paylocity for Finance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Headcount Planning</w:t>
      </w:r>
      <w:r>
        <w:rPr>
          <w:color w:val="000000"/>
        </w:rPr>
        <w:t xml:space="preserve"> – </w:t>
      </w:r>
      <w:r>
        <w:rPr>
          <w:rFonts w:ascii="Times New Roman;serif" w:hAnsi="Times New Roman;serif"/>
          <w:b w:val="false"/>
          <w:color w:val="000000"/>
          <w:sz w:val="20"/>
        </w:rPr>
        <w:t xml:space="preserve">Headcount Planning centralizes staffing plans, approvals and forecasts into a streamlined process. Finance, HR, and hiring managers can collaborate in real time using customizable workflows, visibility controls and dynamic organizational charts to track and update headcount plans as business needs evolve. With integrated analytics and automated notifications, clients can monitor budget versus forecast, drill down into specific teams or roles, open approved roles and stay ahead of staffing needs.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pPr>
      <w:r>
        <w:rPr>
          <w:rFonts w:ascii="Times New Roman;serif" w:hAnsi="Times New Roman;serif"/>
          <w:b w:val="false"/>
          <w:i/>
          <w:color w:val="000000"/>
          <w:sz w:val="20"/>
        </w:rPr>
        <w:t xml:space="preserve">Expense Management – </w:t>
      </w:r>
      <w:r>
        <w:rPr>
          <w:rFonts w:ascii="Times New Roman;serif" w:hAnsi="Times New Roman;serif"/>
          <w:b w:val="false"/>
          <w:color w:val="000000"/>
          <w:sz w:val="20"/>
        </w:rPr>
        <w:t xml:space="preserve">Expense Management provides AI-powered expense reports with real-time policy enforcement, categorization and compliance.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Accounts Payable Automation </w:t>
      </w:r>
      <w:r>
        <w:rPr>
          <w:color w:val="000000"/>
        </w:rPr>
        <w:t xml:space="preserve">– </w:t>
      </w:r>
      <w:r>
        <w:rPr>
          <w:rFonts w:ascii="Times New Roman;serif" w:hAnsi="Times New Roman;serif"/>
          <w:b w:val="false"/>
          <w:color w:val="000000"/>
          <w:sz w:val="20"/>
        </w:rPr>
        <w:t xml:space="preserve">AI-powered Accounts Payable Automation automates every step of the AP process, from vendor onboarding and invoice processing to bill coding, approvals, payments, syncing to the enterprise resource planning system and reconciliation.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Corporate Cards </w:t>
      </w:r>
      <w:r>
        <w:rPr>
          <w:color w:val="000000"/>
        </w:rPr>
        <w:t xml:space="preserve">– </w:t>
      </w:r>
      <w:r>
        <w:rPr>
          <w:rFonts w:ascii="Times New Roman;serif" w:hAnsi="Times New Roman;serif"/>
          <w:b w:val="false"/>
          <w:color w:val="000000"/>
          <w:sz w:val="20"/>
        </w:rPr>
        <w:t xml:space="preserve">Corporate Cards enables clients to issue virtual or physical cards with built-in controls and real-time tracking, while integrating with existing credit card programs to provide centralized visibility and control of all card spend.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Guided Procurement </w:t>
      </w:r>
      <w:r>
        <w:rPr>
          <w:color w:val="000000"/>
        </w:rPr>
        <w:t xml:space="preserve">– </w:t>
      </w:r>
      <w:r>
        <w:rPr>
          <w:rFonts w:ascii="Times New Roman;serif" w:hAnsi="Times New Roman;serif"/>
          <w:b w:val="false"/>
          <w:color w:val="000000"/>
          <w:sz w:val="20"/>
        </w:rPr>
        <w:t xml:space="preserve">Guided Procurement centralizes purchase requests with automated workflows to ensure compliance, efficiency and collaboration across finance, procurement, HR and business stakeholders such as IT and Legal.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Paylocity for IT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Access Management &amp; Identity</w:t>
      </w:r>
      <w:r>
        <w:rPr>
          <w:color w:val="000000"/>
        </w:rPr>
        <w:t xml:space="preserve"> – </w:t>
      </w:r>
      <w:r>
        <w:rPr>
          <w:rFonts w:ascii="Times New Roman;serif" w:hAnsi="Times New Roman;serif"/>
          <w:b w:val="false"/>
          <w:color w:val="000000"/>
          <w:sz w:val="20"/>
        </w:rPr>
        <w:t>Access Management &amp; Identity connects employee data with IT systems to automate access throughout the employee lifecycle, from onboarding and role changes to offboarding. With automated account provisioning, single sign-on, multi-factor authentication, directory integrations and access monitoring, clients can help employees get productive faster while strengthening security and compliance.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Asset Management</w:t>
      </w:r>
      <w:r>
        <w:rPr>
          <w:color w:val="000000"/>
        </w:rPr>
        <w:t xml:space="preserve"> – </w:t>
      </w:r>
      <w:r>
        <w:rPr>
          <w:rFonts w:ascii="Times New Roman;serif" w:hAnsi="Times New Roman;serif"/>
          <w:b w:val="false"/>
          <w:color w:val="000000"/>
          <w:sz w:val="20"/>
        </w:rPr>
        <w:t>Asset Management centralizes the tracking and management of employee hardware, including laptops, desktops, key cards, accessories, and specialty tools. Using real-time employee data and automated workflows, clients can streamline device requests during onboarding, manage inventory and refresh cycles, automate repairs and returns and help ensure employees have the equipment they need from day one through offboarding.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Client Support Teams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Implementation and Training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clients are typically either migrating to our platform from a competitive solution or are adopting their first online HCM, finance or IT solution. These organizations often have limited internal resources and rely on us for the implementation of our solutions.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clients the opportunity to utilize on-demand or in-class training designed to provide them with general knowledge on our solutions. We also host an annual conference for our clients to allow them to learn about new products and features and to provide feedback and learn best practices.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Client Service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client service model is designed to serve and support the needs of our clients and to build loyalty by developing strong relationships with them. We strive to achieve high revenue retention, in part, by delivering high-quality service. Our revenue retention was greater than 92% in each of fiscal 2024, 2025 and 2026. Each client is assigned an account management team that serves as the central point of contact for any questions or support needs. We believe this approach enhances client service by providing clients with access to knowledgeable resources who understand their businesses,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provides industry content and Paylocity product and service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Tax and Regulatory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allow clients to remit timely and accurate tax payments. In addition, these teams execute a series of audit routines to ensure that quarterly tax filings are accurate and submitted on a timely basis.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Clients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Excluding clients acquired through acquisitions, as of June 30, 2026, we provided our HCM, finance and IT software solutions to approximately 44,400 clients across the U.S. The rate at which we add clients is variable period-to-period and is also seasonal, as many clients switch solutions during the first calendar quarter of the year. Clients include for-profit and non-profit organizations across industries including business services, financial services, healthcare, manufacturing, restaurants, retail, technology and others. For each of the three years ended June 30, 2024, 2025 and 2026, no client accounted for more than 1% of our revenues.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cycle begins with a sales lead generated by the sales representative, through our third-party referral network, a client referral, our telemarketing team, our external website, marketing lead generation strategies or other territory-based activities. We support our sales force with a marketing program that includes seminars and webinars, email marketing, social media marketing, broker events and web marketing.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Referral Network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developed a strong network of referral participants, such as 401(k) advisors, benefits administrators, insurance brokers, third-party administrators, HR consultants and accountants that recommend our solutions and provide referrals. Our referral network has become an increasingly important component of our sales process, and in fiscal 2026, more than 25% of our new client revenue originated through referrals from participants in our referral network.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providers who also provide retirement plans, health insurance and other products and services competitive with the offerings of the participants in our referral network, we focus only on our core business of providing HCM, finance and IT solutions. In some cases, we have formalized relationships in which we are a recommended vendor of these participants. In other cases, the relationships are informal. We typically do not compensate these participants for referrals.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Marketplace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an HCM, finance and IT provider differentiates partners’ product offerings, strengthening their competitive positioning in their own markets.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is built on a unified, cloud-based architecture that gives us an advantage over many traditional systems, which are disparate, less flexible and require longer and more costly development and upgrade cycles. Clients do not need to install our software in their data centers and can access our solutions through any mobile device or web browser with Internet access. Our platform helps businesses across HR, finance, and IT streamline operations, manage spend and talent and build culture and connection. AI is embedded directly into everyday workflows to save time, reduce manual effort, and support better decision-making.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comprehensive security programs designed to protect the security and integrity of client and employee data, protect against security threats or data breaches and prevent unauthorized access. Refer to Item 1C. Cybersecurity for more information on our security programs.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for HCM, finance and IT software solutions is both fragmented and highly competitive. Our competitors vary for each of our solutions and primarily include payroll and HR service and software providers, such as Automatic Data Processing, Inc., Dayforce, Inc., Paychex, Inc., Paycom Software, Inc., Ultimate Kronos Group and other local and regional providers.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principal factors on which we compete in our market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Solutions built to connect with today’s modern workforce;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Comprehensive product suite on a single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Breadth and depth of product functionality;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Configurability and ease of use of our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Modern, mobile, intuitive and consumer-oriented user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Benefits of a cloud-based technology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Ability to innovate and respond to client needs rapidly;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Domain expertise in HCM and payroll;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Quality of implementation and client service;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Ease of implementation;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Real-time web-based payroll processing;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Access to a wide variety of complementary third-party service providers.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compete favorably on these factors and our ability to remain competitive will largely depend on the success of our continued investment in sales and marketing, research and development and implementation and client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invest heavily in research and development to continuously introduce new modules, technologies, features and functionality. We are organized into small product-centric teams that utilize an agile development methodology. We focus our efforts on developing new modules and core technologies and on further enhancing the usability, functionality, reliability, performance and flexibility of existing modules.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including research and development costs that were capitalized, were $253.9 million, $281.7 million and $303.2 million for the years ended June 30, 2024, 2025 and 2026, respectively.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the most essential means to establishing and maintaining our technology leadership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Governmental Regulation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leading cloud-based provider of HCM, finance and IT software solutions, our platform contains a significant amount of sensitive data related to clients, employees of our clients, business partners and our employees. Data privacy represents a major risk for organizations globally, including those in the United States. The global regulatory landscape for data privacy is rapidly evolving and is expected to continue doing so for the foreseeable future. Many national, state and local government bodies have adopted or are considering adopting laws and regulations related to the collection, use and disclosure of personal information. In the United States, these include rules and regulations promulgated under the authority of the Federal Trade Commission, the Health Insurance Portability and Accountability Act of 1996 (“HIPAA”), state breach notification laws, and state privacy laws, such as the California Consumer Privacy Act of 2018 (“CCPA”) and the Illinois Biometric Information Privacy Act (“BIPA”). Because we and some of our clients have international operations and employees, the European Union General Data Protection Regulation (“GDPR”) and other international data privacy laws may also impact certain aspects of our processing of client and employee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solutions are designed to help clients in complying with applicable U.S. federal, state and local laws and regulations. Consequently, our products and services may be subject to increasing and evolving regulatory requirements, including those related to tax, benefits and other laws. As these requirements proliferate, we may be required to modify our products and services to maintain compliance. These regulatory changes could reduce or eliminate the need for some of our products and services, hinder our development of new products and services or adversely affect the functionality and acceptance of our solutions. This could, in turn, impose additional costs to comply, modify or further develop our products and services. Additionally, it could also increase the costs or time needed to introduce new products and services or even prevent their introduction altogether. For example, the adoption of new money transmitter or money services business statutes in jurisdictions, or changes in regulators’ interpretation of statutes, could require us to register, obtain licenses or limit our business activities until we secure the appropriate licenses.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comply with and address these evolving requirements and regulations applicable to our business depends on several factors, including the functionality and design of our solutions and how our clients and their employees use them. We have implemented established frameworks and policies and procedures to protect the accuracy, privacy and security of the information we handle for our employees and on behalf of our clients and their employees. Additionally, we voluntarily undergo periodic audits and examinations and maintain certain certifications to demonstrate our commitment to regulatory compliance.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does not provide an exhaustive list of the laws and regulations governing or impacting our business. See the discussion contained in the “Risk Factors” section in Part I, Item 1A of this Annual Report on Form 10-K for information regarding changes in laws and regulations that could have a materially adverse effect on our business, operating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leading cloud-based provider of HCM, finance and IT software solutions, we are committed to delivering the most modern suite of solutions that drive employee engagement and a more connected culture for both our clients and our employees. Our senior executive team, together with our board of directors, drives our human capital strategy, which includes key initiatives related to our employees and company culture.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workforce consisted of approximately 6,900 employees, substantially all of which were located in the United States and employed on a full-time basis.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Culture &amp; Engagement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Paylocity, we strive to be an organization where every employee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Newsweek Greatest Workplaces for Parents &amp; Families 2026, Time America’s Top WorkTech Companies 2026 and was also Great Place To Work certified for several consecutive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support a number of employee resource groups (“ERGs”), including PCTY Equality, PCTY OneWorld, PCTY Sheroes, PCTY Sustainability, and PCTY Mental Health. Each of these groups is organized to give employees the chance to build community and connections, voice their ideas and perspectives, personally develop and grow, and shape our culture to make a difference at work and in our local communities.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Learning &amp;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fostering employee growth and career development through upskilling, development experiences, and networking opportunities. By providing employees with the tools, resources, and support needed to advance their careers, we seek to foster engagement, build skills and expertise, and support the long-term success of our organization. We invest in employee development through a variety of training programs, including role-specific development initiatives for operations team members, sales training programs, and leadership development programs for new and first-time managers. These programs are designed to build technical, professional, and leadership capabilities, with training in areas such as coaching, performance management, employee relations, and compliance-related responsibilities. These development programs, combined with our strong culture, increasingly results in our employees stepping into larger roles within the organization.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Talent Acquisition &amp;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on attracting, developing and retaining talent that supports our short and long-term goals as an organization. Our "talent anywhere" approach enables us to recruit qualified employees regardless of geographic location. We seek individuals who align with our values, demonstrate a commitment to learning and development, and contribute perspectives that support innovation and business performance.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compensation philosophy is designed to attract and retain talent through competitive, equitable, and market-based compensation programs. Total rewards include base compensation, equity-based awards, an employee stock purchase program, retirement benefits, paid time off, and many other employee benefits. We also provide employees with access to earned wages before the end of the payroll cycle through our On Demand Payment product, as well as financial wellness resources. We utilize market data and industry benchmarking to help inform our compensation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committed to supporting the health and well-being of our employees through a broad range of benefit programs and resources. In addition to traditional health and welfare benefits, we also offer employees benefits such as paid parental leave, adoption assistance, health advocacy services, volunteer time off, tuition reimbursement, mental health support, fertility treatment, family planning services and many others.</w:t>
      </w:r>
    </w:p>
    <w:p>
      <w:pPr>
        <w:pStyle w:val="TextBody"/>
        <w:bidi w:val="0"/>
        <w:spacing w:before="24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PCTY Gives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PCTY Gives program, we support charitable organizations and communities through employee volunteerism, charitable contributions, grant programs, and other community-focused initiatives. Our Elevate Your Passions program provides donations to nonprofit organizations nominated by employees. In addition to supporting local charities, we partner with national organizations, including Girls Who Code, the American Red Cross, and the National Alliance on Mental Illness. To support the dependents of Paylocity employees, the Peter J. McGrail Scholarship Program provides higher education tuition assistance for selected recipients.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SEC maintains an Internet site, www.sec.gov, that includes filings of and information about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Our business, growth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 </w:t>
      </w: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quarterly operating results have fluctuated in the past and may continue to fluctuate due to a variety of factors, many of which are outside of our control.</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Our quarterly operating results, including our revenues, operating income, and cash flow, have fluctuated and may continue to fluctuate in the future due to a variety of factors, many of which are outside of our control</w:t>
      </w:r>
      <w:r>
        <w:rPr>
          <w:rFonts w:ascii="Times New Roman;serif" w:hAnsi="Times New Roman;serif"/>
          <w:b w:val="false"/>
          <w:color w:val="000000"/>
          <w:sz w:val="20"/>
          <w:shd w:fill="FFFFFF" w:val="clear"/>
        </w:rPr>
        <w:t xml:space="preserve">. Additionally, our number of new clients typically increases more during our third fiscal quarter ending March 31 than during the rest of our fiscal year, primarily because many new clients prefer to start using our human capital management, or HCM, and payroll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Accordingly, quarter-to-quarter comparisons of our operations are not necessarily meaningful and such comparisons should not be relied upon as indications of future performance.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other risk factors listed within this “Risk Factors” section of this Annual Report on Form 10-K, some other important factors that may cause fluctuations in our quarterly operating results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of our clients’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Client renewal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our products achieve or maintain market acceptance;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client budgets and procurement policies;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our investment in research and development activities and whether such investments are capitalized or expensed as incurred;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Business disruptions caused by public health issues, natural disasters or other catastrophic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Macroeconomic factors, including changes in interest rates, inflationary pressures, and uncertainty around tariffs and trade policies;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Unforeseen legal expenses, including litigation and settlement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 significant portion of our operating expenses are related to compensation and other items which are relatively fixed in the short term, and we plan expenditures based in part on our expectations regarding future needs and opportunities. Changes in our business or revenue shortfalls could decrease our gross and operating margins and could negatively impact our operating results from period to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continue to innovate and deliver high-quality, technologically advanced products and services, we will not remain competitive, and our revenue and operating results could suffer.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our solutions is characterized by rapid technological advancements, including but not limited to artificial intelligence (“AI”) and machine learning,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 New technologies that involve AI or machine learning or that are created using AI or machine learning may emerge that are able to deliver solutions at lower prices, more efficiently or more conveniently than our solutions, which could adversely impact our ability to compete. Additionally, if new technologies used in our products fail to operate as expected, or if products utilizing generative AI are trained on inaccurate, biased or misleading data or generate unreliable outputs, the reliability, transparency, or accuracy of our products could be impacted, which may result in customer dissatisfaction, reputational harm or litigation.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in substantial part on our continuing ability to provide products and services that organizations will find superior to our competitors’ offerings and will continue to use. We intend to continue to invest 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manage our growth effectively could increase our expenses, decrease our revenue, and prevent us from implementing our business strategy and sustaining our revenue growth rates.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experienced revenue and client base growth and intend to pursue continued growth as part of our business strategy.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HR consultants and accountants,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markets in which we participate are highly competitive, and if we do not compete effectively, our operating results could be adversely affected.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for HCM and payroll solutions is fragmented, highly competitive and rapidly changing. Our competitors vary for each of our solutions and primarily include payroll and HR service and software providers, such as Automatic Data Processing, Inc., Dayforce, Inc., Paychex, Inc., Paycom Software, Inc., Ultimate Kronos Group and other local and regional providers.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Several of our competitors are larger and have greater name recognition, longer operating histories and significantly greater resources than we do. Many of these competitors are able to devote greater resources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such as AI or machine learning, regulations or client requirements.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factors, current or potential clients might accept competitive offerings in lieu of purchasing our offerings. We expect competition to continue for these reasons, and such competition could negatively impact our sales, profitability or market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manage our technical operations infrastructure, including operation of our data centers, our existing clients may experience service outages and our new clients may experience delays in the deployment of our modules.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have in the past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quickly identify the cause or causes of these performance problems. If we do not accurately predict our infrastructure requirements, our existing clients may experience service outages that may subject us to financial penalties, financial liabilities and client losses and adversely affect our reputation.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 In the event of a catastrophic event with respect to one or more of our systems, we may experience an extended period of system unavailability, which could negatively impact our relationship with clients.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operate without interruption, both we and our clients must guard against: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Damage from fire, power loss, natural disasters, pandemics and other force majeure events outside our control;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Communications failures;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Software and hardware errors, failures and crashes;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Security breaches, computer viruses, hacking, worms, malware, ransomware, denial-of-service attacks and similar disruptive problems;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potential interruptions.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contract, or with the systems by which our telecommunications providers allocate capacity among their clients, including us, could adversely affect the availability and processing of our solutions and related services and the experience of our clients. In addition, our data center providers may be unable to keep up with our growing needs for capacity, may implement changes in service levels, may not renew these agreements on commercially reasonable terms, or may be acquired. We may be required to transfer our servers and other infrastructure to new data center facilities, and we may incur costs and experience service interruption in doing so. Interruptions in our services might reduce our revenues, subject us to potential liability or other expenses and adversely affect our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typically pay client employees, taxing authorities and vendors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payroll processing and spend management businesses involve the movement of significant funds from client accounts to its employees, relevant taxing authorities and vendors. Although we debit a client’s account prior to any disbursement on its behalf, due to Automated Clearing House, or ACH, banking regulations, funds previously credited could be reversed under certain circumstances and timeframes after our payment of amounts are due. There is therefore a risk that the client’s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business could be negatively impacted by disruptions in the operations of third-party service providers.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depend on relationships with certain third-party service providers to operate our business. We rely on third-party couriers such as the United Parcel Service, or UPS, to ship printed checks to our clients, and any disruptions in their operations that impact their ability to successfully perform their tasks may negatively impact our business. We also engage international business partners to perform certain services in countries in which we currently do not have operations and as a result may subject us to regulatory, economic and political risks that are different from those in the United States.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have agreements with various major U.S. banks to execute ACH and wire transfers to support our client payroll, benefit, payroll tax and spend management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 or restrict the dollar amounts of funds that they will process on behalf of our clients, their doing so may impede our ability to process funds and could have an adverse impact on our business. We have contingency plans in place in case of any failures of banks to process transfers that may impact our operations. However, a failure of one of our banking partners or a systemic shutdown of the banking industry could result in the loss of client funds or prevent us from accessing and processing funds on our clients’ behalf, which could have an adverse impact on our business and liquidity.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utilize certain third-party software in some of our products. Although we believe there are alternatives for the functionality provided by such software, any significant interruption in its availability, defects or errors in the software, or risks arising from the third party's use of AI technologies, including but not limited to inaccurate, biased, misleading, or unreliable outputs, could adversely affect our products and business unless and until we can replace the functionality provided by such software at a similar cost.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largely upon the continued services of our key executive officers. We also rely on our leadership team in the areas of product development, sales, implementation,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therefore, they could terminate their employment with us at any time. The loss of one or more of our executive officers or key employees could have an adverse effect on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Hiring for skilled employees across the United States and globally is highly competitive.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software might not operate properly, which could damage our reputation, give rise to claims against us, or divert application of our resources from other purposes, any of which could harm our business and operating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 errors could also cause the information that we collect to be incomplete or contain inaccuracies that our clients, their employees and taxing and other regulatory authorities regard as significant.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Any product liability claim or errors or omissions claim could subject us to significant legal defense costs and adverse publicity regardless of the merits or eventual outcome of such a claim.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acquire other companies or technologies, which could divert our management’s attention, result in dilution to our stockholders, disrupt our operations and adversely affect our operating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integrate the acquired personnel, operations and technologies successfully, or effectively manage the combined business following the acquisition, in which case we may not realize the expected benefits of such acquisitions. Factors that may negatively impact our operating results, business and financial position, without limitation,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to integrate or benefit from acquired technologies, operations, or services in a profitable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Unanticipated costs or liabilities associated with the acquisition;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Difficulty converting the clients of the acquired business onto our modules and contract terms, including disparities in the revenues, licensing, support or professional services model of the acquired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management’s attention from other business concerns;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Adverse effects to our existing business relationships with business partners and clients as a result of the acquisition;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loss of key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Use of resources that are needed in other parts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Use of substantial portions of our available cash to consummate the acquisition;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Dilutive issuances of equity securities or the incurrence of debt.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Risks Related to Cybersecurity and Intellectual Property Rights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security measures are unable to prevent a breach or unauthorized access to our information systems, our proprietary and other information, our client data or funds, we may be subject to numerous adverse financial and other consequences, including that our solutions may be perceived as not being secure, clients may reduce the use of or stop using our solutions, and that we may incur significant liabilities to our clients and others.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solutions that we provide to clients involve the processing, storage and transmission of our clients’ proprietary and confidential information regarding their employees, consultants, independent contractors, other service providers and other groups or individuals. This information includes, among other things,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the Health Insurance Portability and Accountability Act of 1996 (“HIPAA”). In addition, we collect and maintain similar information regarding our own employees, consultants, independent contractors, other service providers and other groups or individuals. Our business also involves the storage and transmission of funds from the accounts of our clients to other persons, including taxing and regulatory authorities and others.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on the security and availability of our information systems and solutions and those of third parties in the operation of our business. This includes, among other things, human capital solutions, financial solutions, customer relationship management solutions, software development solutions and tools, cybersecurity solutions and tools, and data center processing.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We have experienced cybersecurity attacks and incidents in the past, though we do not believe that any of them have been material to our business. Although we maintain security measures and controls that we continually monitor and invest in, there can be no assurance that our measures or controls will be effective in all instances or that we will not experience cybersecurity attacks or incidents in the future. Our systems and solutions and the third-party systems on which we rely are susceptible to such attacks and incidents as unauthorized access, supply-chain attacks, exfiltration or destruction of data, disruptions of service, phishing attempts and other forms of social engineering, malware, ransomware and other forms of cyber extortion, computer viruses or other malicious code and similar events. These threats may come from cybercriminals, cyberterrorists and hacktivists, nation-state and nation-state-supported actors (including advanced persistent threat intrusions) and computer hackers. They also may result from the malicious or accidental acts of insiders. Any unauthorized access to, or security breaches of, our systems or solutions or those of our clients or third-party partners</w:t>
      </w:r>
      <w:r>
        <w:rPr>
          <w:strike/>
          <w:color w:val="000000"/>
        </w:rPr>
        <w:t xml:space="preserve"> </w:t>
      </w:r>
      <w:r>
        <w:rPr>
          <w:rFonts w:ascii="Times New Roman;serif" w:hAnsi="Times New Roman;serif"/>
          <w:b w:val="false"/>
          <w:color w:val="000000"/>
          <w:sz w:val="20"/>
        </w:rPr>
        <w:t xml:space="preserve">and suppliers could result in numerous adverse consequences, including the unauthorized disclosure of proprietary and confidential information we or they obtain in the ordinary course of business, identity theft and financial theft.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could be subjected to periods in which our systems and solutions or the third-party systems on which we rely are negatively impacted, degraded or unavailable, potentially for extended periods of time. If any of these events were to occur, we could be subject to client loss, reputational harm, litigation, government enforcement actions, indemnity obligations and other liabilities, and our business, revenues, profitability and financial condition could be negatively impacted.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tactics and techniques used by threat actors to obtain unauthorized access or sabotage systems change frequently and, in some cases, are not recognized until they are launched or even later, we may be unable to anticipate these techniques or to implement adequate preventative measures in advance, and security breaches may remain undetected for an extended period of time. We also have incorporated and will continue to incorporate AI and machine learning features into our solutions and various processes across our business, which may increase vulnerability to cybersecurity risks. Additionally, AI and machine learning may be used for certain cybersecurity attacks, improving or expanding the existing capabilities of threat actors in manners we cannot predict at this time, resulting in greater risks of security incidents and breaches. Cybersecurity attacks and incidents could have a material adverse effect on our business, operations or financial condition, so as cyber threats continue to evolve, we are focused on ensuring that our operating environments safeguard and protect personal and business information, which requires us to devote significant resources to prevent and mitigate cybersecurity incidents and protect our systems, solutions and data.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while we monitor and reassess our third-party relationships over time, we have no control over those third parties’ cybersecurity programs and controls, infrastructure, physical facilities or personnel. If our security measures, or the security measures of our third-party partners and suppliers, are breached, or if our third-party partners and suppliers experience supply-chain attacks, system errors or outages, our business could be substantially harmed, and we could incur significant liabilities. The costs of investigating, mitigating, and reporting such an incident to affected individuals (if required) can be substantial. In addition, if a security breach occurs with respect to an industry peer, our clients and potential clients may lose trust in the security of our platform. Any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 Furthermore, the continuing and evolving threat of cyberattacks has resulted in increased regulatory focus and we may be required to invest significant additional resources to comply with evolving cybersecurity regulations.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limitations of liability in our contracts would be enforceable or adequate or would otherwise protect us from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failure to protect our intellectual property rights could impair our ability to protect our proprietary technology and our brand.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is dependent, in part, upon protecting our proprietary technology. Our proprietary technologies are not covered by any patent or patent application. Instead,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fail to detect unauthorized use or disclosure of our intellectual property or confidential proprietary information, including through the use of AI tools.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intellectual property could be wrongfully acquired as a result of a cyberattack, other wrongful conduct by employees or third parties or as a result of increased use of AI tools by us or our vendors. In order to protect our intellectual property rights, we may be required to spend significant resources, including cybersecurity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sued by third parties for alleged infringement of their proprietary rights.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However, we may be unaware of the intellectual property rights that others may claim cover some or all of our technology or services, particularly as we expand our use of AI which is subject to uncertainty regarding intellectual property ownership and license rights of AI algorithms and content generated by AI.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use of open source software in our products and solutions may expose us to additional risks and harm our intellectual property rights.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re-develop our products or solutions, to discontinue sales of our products or solutions, or to release our proprietary software code under the terms of an open source license, any of which could harm our business. Similarly, open source AI models may be trained on data of unknown or uncertain sources, which could include copyrighted or otherwise proprietary, confidential or private information. Further, given the nature of open source software, it may be more likely that third parties might assert copyright and other intellectual property infringement claims against us based on our use of these open source software programs.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monitor the use of open source software in our solutions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disclose the source code to our products and solutions. This could harm our intellectual property position and our business, results of operations and financial condition.</w:t>
      </w: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regulatory laws or requirements applicable to our software and services could impose increased costs on us, delay or prevent our introduction of new products and services and impair the function or value of our existing products and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and services may become subject to increasing and evolving regulatory requirements, including changes in tax, benefits, wage and hour, employment, intellectual property, artificial intelligence, data privacy and other domestic and international laws and regulations, and, as these requirements proliferate, we may be required to modify or adapt our products and services to comply. Changing regulatory requirements could reduce or eliminate the need for some of our products and services, delay or prevent the development or introduction of new products and services or adversely affect the functionality, marketability or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products incorporate new technologies such as AI and machine learning. The development, deployment, and use of these technologies are subject to evolving legal, regulatory, and industry standards, including requirements and expectations relating to privacy, intellectual property, employment, civil rights, transparency, explainability, and the prevention of bias or discriminatory outcomes. Additionally, failures or misuse of these technologies by others in our industry, or by our clients, employees, vendors or other end users could negatively affect market acceptance of our solutions, increase regulatory scrutiny and restrict our ability to develop or deploy these technologies and subject us to reputational harm, regulatory action, or legal liability, which could harm our business, financial condition and operating results.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continue to pursue such new technologies, our failure to adequately address legal risks relating to the use of AI and machine learning in our applications could result in litigation regarding, among other things, intellectual property, privacy, employment, civil rights and other claims that could result in liability. The use of AI and machine learning may also result in new or increased governmental or regulatory scrutiny as regulatory and legislative authorities in the United States, the European Union and other jurisdictions have enacted or proposed legislation that imposes or would impose restrictions on the development of generative AI and machine learning. Any actual or alleged noncompliance with applicable laws and regulations, or failure to meet client expectations with respect to the use of AI and machine learning, could result in negative publicity or harm to our reputation and subject us to investigations, claims or other remedies, and expose us to significant fines, penalties and other damages.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Failure to comply with data privacy laws and regulations may have a material adverse effect on reputation, financial condition, and/or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processing of personal information for our employees and on behalf of our clients is subject to federal, state and international data privacy laws. These laws, which vary across jurisdictions, generally govern the collection, storage, transfer, and other processing of personal information. They require that individuals be provided notice of privacy practices before or at the point of collection, and grant them certain rights over their personal information, including access, deletion and correction. Additionally, they regulate how personal information may be used or disclosed for secondary purposes such as marketing, and in some cases, require notification to affected individuals, clients, and/or regulators in the event of a data breach.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Among the most comprehensive data privacy laws that apply to various aspects of our business are HIPAA (which applies to our benefit administration solution, BeneFLEX, and our self-insured group health plan), the European Union’s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Data Protection Regulation ("GDPR"), and an expanding network of U.S. state privacy laws, including the California Consumer Privacy Act (“CCPA”), as amended. Other countries and U.S. states have adopted, and continue to adopt, similarly comprehensive laws that impose new, and in some cases, overlapping or inconsistent data privacy and protection requirements and restrictions on covered organizations. Importantly, these laws can impose significant penalties and fines for non-compliance, such as a fine of up to 4% of an organization’s worldwide revenue for the preceding year under the GDPR.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worldwide regulatory focus on data privacy has intensified in recent years, in part triggered by the GDPR. This shift has driven rapid changes around the processing of personal information, necessitating that we continually adapt our solutions and business practices to support our clients’ compliance efforts. As this focus on data privacy continues, so too do the potential risks associated with how our business processes personal information. Compounding this complexity, many areas of existing data privacy laws remain subject to interpretation, which creates an added risk that advocacy groups and governments in countries where we or our clients operate may adopt adverse interpretations. Such interpretations could impose significant obligations on our business or restrict our ability to offer certain products and services in jurisdictions where we currently operate.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Enforcement actions and investigations by regulatory authorities related to security incidents and data privacy violations continue to increase. A finding of noncompliance from any such investigation or enforcement action could lead to increased costs, significant regulatory penalties, legal liability and burdensome governmental oversight, including restrictions on our operations. Furthermore, heightened consumer and market concerns about data privacy abuses by other companies are changing expectations for enhanced data privacy and security. As a result, a perception of noncompliance could damage our reputation with our current and potential clients, employees and stockholders.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tax laws or regulations could be enacted, or existing laws could be applied to us or our clients, which could increase the costs of our services and adversely impact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future litigation against us could be costly and time-consuming to defend.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become subject to legal proceedings and claims that arise in the ordinary course of business. Such claims may be brought by our clients in connection with commercial disputes, employment claims made by our current or former employees, or lawsuits related to breaches of personal information. Litigation might result in substantial costs and may divert management’s attention and resources, which could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Risks Related to Financial Matters</w:t>
      </w:r>
    </w:p>
    <w:p>
      <w:pPr>
        <w:pStyle w:val="TextBody"/>
        <w:bidi w:val="0"/>
        <w:spacing w:lineRule="auto" w:line="288" w:before="240" w:after="283"/>
        <w:jc w:val="left"/>
        <w:rPr/>
      </w:pPr>
      <w:r>
        <w:rPr>
          <w:rFonts w:ascii="Times New Roman;serif" w:hAnsi="Times New Roman;serif"/>
          <w:b/>
          <w:i/>
          <w:color w:val="000000"/>
          <w:sz w:val="20"/>
        </w:rPr>
        <w:t>Our revolving credit agreement contains covenants that may constrain the operation of our business, and our failure to comply with these covenants could have a material adverse effect on our financial condition</w:t>
      </w:r>
      <w:r>
        <w:rPr>
          <w:rFonts w:ascii="Times New Roman;serif" w:hAnsi="Times New Roman;serif"/>
          <w:b w:val="false"/>
          <w:color w:val="000000"/>
          <w:sz w:val="2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revolving credit agreement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would limit our ability to borrow under the revolving credit agreement, and amounts outstanding, if any, could become immediately due and payable. Any such failure could have a negative impact on our business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Corporate investments and client funds that we hold are subject to market, interest rate, credit and liquidity risks. The loss of these funds could have an adverse impact on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w:t>
      </w: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stock price may be subject to wide fluctuations.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operating performance and the operating performance of similar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acquisitions, business plans or commercial relationships;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major change in our board of directors or senior management;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Publication of research reports or news stories about us, our competitors, or our industry, or positive or negative recommendations or withdrawal of research coverage by securities analysts;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public’s reaction to our press releases, our other public announcements and our filings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Repurchases of our common stock under our share repurchase program or the decision to terminate or suspend any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of our common stock by our directors, executive officers and affiliates;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Adverse market reaction to any indebtedness we may incur or securities we may issue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Short sales, hedging and other derivative transactions in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Threatened or actual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 health issues;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events or factors, including changes in general conditions in the United States and global economies or financial markets (including acts of God, war, incidents of terrorism, inflationary pressures, impact of tariffs and changes in trade policies or other destabilizing events and the resulting responses to them).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share repurchase program may increase the volatility of the market price of our stock and adversely affect our liquidity. Further, we may not realize the anticipated long-term stockholder value of our share repurchase program.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2024, we announced that our board of directors approved a share repurchase program, authorizing the purchase of up to $500 million of our issued and outstanding common stock. In July 2025 and April 2026, our board of directors approved $500 million and $1 billion increases, respectively, to the share repurchase program. The authorization does not obligate us to repurchase any specific dollar amount or number of shares, there is no expiration date for the authorization, and the repurchase program may be modified, suspended or terminated at any time and for any reason. Any future announcement of a termination or suspension of the program, or our decision not to utilize the full authorized repurchase amount under the program, may reduce investor confidence and/or result in a decrease in the market price of our shares.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existence of the repurchase program could cause our stock price to trade higher than it otherwise would and could potentially reduce the market liquidity for our stock. The repurchase program may not enhance long-term stockholder value because the market price of our common stock may decline below the levels at which we repurchased shares. Additionally, short-term stock price fluctuations could reduce the number or amount of shares we may ultimately repurchase pursuant to the program.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Repurchasing our common stock will reduce the amount of cash we have available to fund working capital, repayment of debt, capital expenditures, strategic acquisitions or business opportunities, and other general corporate purposes. The actual timing, number and value of shares repurchased will depend on various factors, including the market price of our common stock, trading volume, general market conditions and other corporate and economic considerations.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your ability to achieve a return on your investment will depend on appreciation in the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issuances of shares of our common stock would dilute the ownership of our existing stockholders and could depress the market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third amended and restated certificate of incorporation authorizes the issuance of up to 155,000,000 shares of common stock and 5,000,000 shares of preferred stock with such rights, preferences, privileges and restrictions as determined by the board of directors. We may issue all or any portion of the capital stock which has been authorized but not issued subject to applicable rules and regulations, which may not require any action or approval by our stockholders. Also, in the future, we may issue additional securities in connection with investments and acquisitions. The amount of our common stock issued in connection with an investment or acquisition could constitute a material portion of our then outstanding stock. Due to these factors, issuances of a substantial number of shares of our common stock into the public market could occur at any time, which would dilute the ownership proportion of current stockholders and could cause the price of our common stock to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Anti-takeover provisions in our charter documents and Delaware law could discourage, delay, or prevent a change in control of our company and may affect the trading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third amended and restated certificate of incorporation and third amended and restated bylaws may discourage, delay or prevent a change in our management or control over us that stockholders may consider favorable. Our third amended and restated certificate of incorporation and bylaws: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Authorize the issuance of “blank check” convertible preferred stock that could be issued by our board of directors to thwart a takeover attempt;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Provide that vacancies on the board of directors, including newly created directorships, may be filled only by a majority vote of directors then in office rather than by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Prevent stockholders from calling special meetings;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 stockholder action by written consent, requiring all actions to be taken at a meeting of the stockholders.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bylaws provide that the state and federal courts located within the state of Delaware are the sole and exclusive forums for certain legal actions involving the company or our directors, officers and employees.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third amended and restated bylaws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Economic and market conditions could adversely affect our business,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overall demand for our software solutions, and on the economic health of our current and prospective clients. As a result, we and our clients are subject to risks arising from adverse changes in economic and market conditions such as lower employment levels, increasing interest rates, inflation, tariffs, changes in trade policies, volatility in capital markets, and instability of the banking environment, among other factors. During an economic slowdown or downturn, clients may reduce their number of employees and delay or reduce their spending on HCM, finance and IT solutions or renegotiate their contracts with us. This could result in reductions in our revenues and sales of our products, longer sales cycles, increased price competition and clients’ purchasing fewer solutions than they have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past. Any of these events would likely harm our business, results of operations, financial condition and cash flows from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maintain effective internal controls over financial reporting, investors may lose confidence in the accuracy and completeness of our financial reports and the market price of our common stock may be negatively affected.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Risk Management and Strategy</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cybersecurity risk management program, which is integrated into our overall risk management function, includes processes to assess, identify and manage material risks arising from cybersecurity threats, including the following:</w:t>
      </w:r>
    </w:p>
    <w:p>
      <w:pPr>
        <w:pStyle w:val="TextBody"/>
        <w:bidi w:val="0"/>
        <w:spacing w:lineRule="auto" w:line="288" w:before="240" w:after="283"/>
        <w:ind w:left="0" w:right="0" w:firstLine="720"/>
        <w:jc w:val="left"/>
        <w:rPr/>
      </w:pPr>
      <w:r>
        <w:rPr>
          <w:rFonts w:ascii="Times New Roman;serif" w:hAnsi="Times New Roman;serif"/>
          <w:b w:val="false"/>
          <w:i/>
          <w:color w:val="000000"/>
          <w:sz w:val="20"/>
          <w:u w:val="single"/>
          <w:shd w:fill="FFFFFF" w:val="clear"/>
        </w:rPr>
        <w:t>Information Security Policies</w:t>
      </w:r>
      <w:r>
        <w:rPr>
          <w:color w:val="000000"/>
          <w:shd w:fill="FFFFFF" w:val="clear"/>
        </w:rPr>
        <w:t xml:space="preserve"> </w:t>
      </w:r>
      <w:r>
        <w:rPr>
          <w:rFonts w:ascii="Times New Roman;serif" w:hAnsi="Times New Roman;serif"/>
          <w:b w:val="false"/>
          <w:color w:val="000000"/>
          <w:sz w:val="20"/>
          <w:shd w:fill="FFFFFF" w:val="clear"/>
        </w:rPr>
        <w:t xml:space="preserve">We maintain information security policies that are formally reviewed and approved by senior management and are periodically updated for new developments. These policies are aligned with standard industry frameworks including the National Institute of Standards and Technology Cybersecurity Framework Version 2.0 (NIST CSF 2.0), Committee of Sponsoring Organizations (COSO), and International Organization for Standardization (ISO) 27001 to establish structured governance, policies, standards, and controls. </w:t>
      </w:r>
    </w:p>
    <w:p>
      <w:pPr>
        <w:pStyle w:val="TextBody"/>
        <w:bidi w:val="0"/>
        <w:spacing w:lineRule="auto" w:line="288" w:before="240" w:after="283"/>
        <w:ind w:left="0" w:right="0" w:firstLine="720"/>
        <w:jc w:val="left"/>
        <w:rPr/>
      </w:pPr>
      <w:r>
        <w:rPr>
          <w:rFonts w:ascii="Times New Roman;serif" w:hAnsi="Times New Roman;serif"/>
          <w:b w:val="false"/>
          <w:i/>
          <w:color w:val="000000"/>
          <w:sz w:val="20"/>
          <w:u w:val="single"/>
          <w:shd w:fill="FFFFFF" w:val="clear"/>
        </w:rPr>
        <w:t>Information Security Certifications and Audits</w:t>
      </w:r>
      <w:r>
        <w:rPr>
          <w:color w:val="000000"/>
          <w:u w:val="single"/>
          <w:shd w:fill="FFFFFF" w:val="clear"/>
        </w:rPr>
        <w:t xml:space="preserve"> </w:t>
      </w:r>
      <w:r>
        <w:rPr>
          <w:rFonts w:ascii="Times New Roman;serif" w:hAnsi="Times New Roman;serif"/>
          <w:b w:val="false"/>
          <w:color w:val="000000"/>
          <w:sz w:val="20"/>
          <w:shd w:fill="FFFFFF" w:val="clear"/>
        </w:rPr>
        <w:t>We maintain certification for compliance with ISO 27001:2022 as assessed by an independent third-party auditor. We also engage an independent accounting firm to perform assessments of our procedures and controls as part of our annual Systems and Organization Controls (SOC) 1 and SOC 2 audits. In addition, we periodically engage independent third-party security firms and consultants to conduct risk assessments, penetration tests, and program maturity evaluations to validate and improve aspects of our cybersecurity program.</w:t>
      </w:r>
    </w:p>
    <w:p>
      <w:pPr>
        <w:pStyle w:val="TextBody"/>
        <w:bidi w:val="0"/>
        <w:spacing w:lineRule="auto" w:line="288" w:before="240" w:after="283"/>
        <w:ind w:left="0" w:right="0" w:firstLine="720"/>
        <w:jc w:val="left"/>
        <w:rPr/>
      </w:pPr>
      <w:r>
        <w:rPr>
          <w:rFonts w:ascii="Times New Roman;serif" w:hAnsi="Times New Roman;serif"/>
          <w:b w:val="false"/>
          <w:i/>
          <w:color w:val="000000"/>
          <w:sz w:val="20"/>
          <w:u w:val="single"/>
          <w:shd w:fill="FFFFFF" w:val="clear"/>
        </w:rPr>
        <w:t>Security Awareness and Training</w:t>
      </w:r>
      <w:r>
        <w:rPr>
          <w:color w:val="000000"/>
        </w:rPr>
        <w:t xml:space="preserve"> </w:t>
      </w:r>
      <w:r>
        <w:rPr>
          <w:rFonts w:ascii="Times New Roman;serif" w:hAnsi="Times New Roman;serif"/>
          <w:b w:val="false"/>
          <w:color w:val="000000"/>
          <w:sz w:val="20"/>
          <w:shd w:fill="FFFFFF" w:val="clear"/>
        </w:rPr>
        <w:t>Through our onboarding process, each new employee is required to complete security training upon employment. Our employees also are required to complete annual security and privacy training to maintain our focus on protecting our information and that of our clients and their employees. This mandatory training educates our employees on safe handling of sensitive information, appropriate responses to a suspected data security breach, and awareness of security responsibilities. We strive to promote a healthy security awareness culture throughout the organization through supplemental education, training courses, videos, internal and external publications, and supporting activities including periodic phishing simulations and social engineering exercises. We also invest in our Information Security professionals with continued information security training and certifications. Our training program also includes content designed to promote awareness of risks associated with artificial intelligence technologies, including AI-enabled social engineering tactics and responsible use of AI tools in the workplace.</w:t>
      </w:r>
    </w:p>
    <w:p>
      <w:pPr>
        <w:pStyle w:val="TextBody"/>
        <w:bidi w:val="0"/>
        <w:spacing w:lineRule="auto" w:line="288" w:before="240" w:after="283"/>
        <w:ind w:left="0" w:right="0" w:firstLine="720"/>
        <w:jc w:val="left"/>
        <w:rPr/>
      </w:pPr>
      <w:r>
        <w:rPr>
          <w:rFonts w:ascii="Times New Roman;serif" w:hAnsi="Times New Roman;serif"/>
          <w:b w:val="false"/>
          <w:i/>
          <w:color w:val="000000"/>
          <w:sz w:val="20"/>
          <w:u w:val="single"/>
          <w:shd w:fill="FFFFFF" w:val="clear"/>
        </w:rPr>
        <w:t>Data and Web Security Safeguards</w:t>
      </w:r>
      <w:r>
        <w:rPr>
          <w:color w:val="000000"/>
          <w:shd w:fill="FFFFFF" w:val="clear"/>
        </w:rPr>
        <w:t xml:space="preserve"> </w:t>
      </w:r>
      <w:r>
        <w:rPr>
          <w:rFonts w:ascii="Times New Roman;serif" w:hAnsi="Times New Roman;serif"/>
          <w:b w:val="false"/>
          <w:color w:val="000000"/>
          <w:sz w:val="20"/>
          <w:shd w:fill="FFFFFF" w:val="clear"/>
        </w:rPr>
        <w:t>We have implemented the following information security solutions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deployment of intrusion prevention systems designed to detect and block malicious traffic,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web application firewalls designed to protect our application from attacks,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network firewalls,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security information and event management,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user and entity behavior analytics,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endpoint detection and response designed to protect our workstation and server population,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data loss prevention software at multiple layers of our IT environment,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regular penetration testing conducted by both our internal teams and external providers, </w:t>
      </w:r>
    </w:p>
    <w:p>
      <w:pPr>
        <w:pStyle w:val="TextBody"/>
        <w:bidi w:val="0"/>
        <w:spacing w:lineRule="auto" w:line="288" w:before="120" w:after="283"/>
        <w:ind w:left="0" w:right="0" w:firstLine="360"/>
        <w:jc w:val="left"/>
        <w:rPr/>
      </w:pPr>
      <w:r>
        <w:rPr>
          <w:color w:val="000000"/>
        </w:rPr>
        <w:t>•</w:t>
      </w:r>
      <w:r>
        <w:rPr>
          <w:rFonts w:ascii="Times New Roman;serif" w:hAnsi="Times New Roman;serif"/>
          <w:b w:val="false"/>
          <w:color w:val="000000"/>
          <w:sz w:val="20"/>
          <w:shd w:fill="FFFFFF" w:val="clear"/>
        </w:rPr>
        <w:t>a multi-layered vulnerability management program designed to identify technical bugs within our product and infrastructure including automated scanning technologies and manual review processes, and</w:t>
      </w:r>
    </w:p>
    <w:p>
      <w:pPr>
        <w:pStyle w:val="TextBody"/>
        <w:bidi w:val="0"/>
        <w:spacing w:lineRule="auto" w:line="288" w:before="120" w:after="283"/>
        <w:ind w:left="0" w:right="0" w:firstLine="360"/>
        <w:jc w:val="left"/>
        <w:rPr/>
      </w:pPr>
      <w:r>
        <w:rPr>
          <w:color w:val="000000"/>
        </w:rPr>
        <w:t>•</w:t>
      </w:r>
      <w:r>
        <w:rPr>
          <w:rFonts w:ascii="Times New Roman;serif" w:hAnsi="Times New Roman;serif"/>
          <w:b w:val="false"/>
          <w:color w:val="000000"/>
          <w:sz w:val="20"/>
          <w:shd w:fill="FFFFFF" w:val="clear"/>
        </w:rPr>
        <w:t xml:space="preserve">a staffed security operations function that monitors our environment on a continuous basis to detect, investigate, and respond to cybersecurity threats and anomalies.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encrypt sensitive client information both during transmission and at rest using industry standard protocols. We also have a mature application security program that promotes security champions within the developer community to instill strong, secure coding practices for reducing vulnerabilities and delivering a secure web application. </w:t>
      </w:r>
    </w:p>
    <w:p>
      <w:pPr>
        <w:pStyle w:val="TextBody"/>
        <w:bidi w:val="0"/>
        <w:spacing w:lineRule="auto" w:line="288" w:before="240" w:after="283"/>
        <w:ind w:left="0" w:right="0" w:firstLine="720"/>
        <w:jc w:val="left"/>
        <w:rPr/>
      </w:pPr>
      <w:r>
        <w:rPr>
          <w:rFonts w:ascii="Times New Roman;serif" w:hAnsi="Times New Roman;serif"/>
          <w:b w:val="false"/>
          <w:i/>
          <w:color w:val="000000"/>
          <w:sz w:val="20"/>
          <w:u w:val="single"/>
          <w:shd w:fill="FFFFFF" w:val="clear"/>
        </w:rPr>
        <w:t xml:space="preserve">Incident Response Plan </w:t>
      </w:r>
      <w:r>
        <w:rPr>
          <w:rFonts w:ascii="Times New Roman;serif" w:hAnsi="Times New Roman;serif"/>
          <w:b w:val="false"/>
          <w:color w:val="000000"/>
          <w:sz w:val="20"/>
          <w:shd w:fill="FFFFFF" w:val="clear"/>
        </w:rPr>
        <w:t>We maintain an incident response plan designed to provide a high-level framework that can be implemented in any cyber incident. The plan addresses identification of the incident, notifications to appropriate individuals, organization of response activities by role, and escalation procedures based on the severity of the incident. We also have action plans to support business remediation and recovery efforts in the event of an incident. We periodically test and refine our incident response plans through tabletop exercises involving cross-functional teams.</w:t>
      </w:r>
      <w:r>
        <w:rPr>
          <w:color w:val="000000"/>
        </w:rPr>
        <w:t xml:space="preserve"> </w:t>
      </w:r>
    </w:p>
    <w:p>
      <w:pPr>
        <w:pStyle w:val="TextBody"/>
        <w:bidi w:val="0"/>
        <w:spacing w:lineRule="auto" w:line="288" w:before="240" w:after="283"/>
        <w:ind w:left="0" w:right="0" w:firstLine="720"/>
        <w:jc w:val="left"/>
        <w:rPr/>
      </w:pPr>
      <w:r>
        <w:rPr>
          <w:rFonts w:ascii="Times New Roman;serif" w:hAnsi="Times New Roman;serif"/>
          <w:b w:val="false"/>
          <w:i/>
          <w:color w:val="000000"/>
          <w:sz w:val="20"/>
          <w:u w:val="single"/>
          <w:shd w:fill="FFFFFF" w:val="clear"/>
        </w:rPr>
        <w:t>Business Resilience</w:t>
      </w:r>
      <w:r>
        <w:rPr>
          <w:color w:val="000000"/>
          <w:shd w:fill="FFFFFF" w:val="clear"/>
        </w:rPr>
        <w:t xml:space="preserve"> </w:t>
      </w:r>
      <w:r>
        <w:rPr>
          <w:rFonts w:ascii="Times New Roman;serif" w:hAnsi="Times New Roman;serif"/>
          <w:b w:val="false"/>
          <w:color w:val="000000"/>
          <w:sz w:val="20"/>
          <w:shd w:fill="FFFFFF" w:val="clear"/>
        </w:rPr>
        <w:t xml:space="preserve">We apply controls from best practices such as, but not limited to, The Business Continuity Institute (BCI), Disaster Recovery Institute International (DRII), and International Organization for Standardization (ISO) 22301 for developing and maintaining threat-agnostic plans with strategies to continue client services and critical business operations in the event of a disruption to critical dependencies. The business resilience planning process includes business impact analyses, risk assessments, and continuity strategies. Our business resilience team conducts regular exercises to validate and continuously improve the plans and strategies, including conducting tabletop exercises with teams from across the organization. </w:t>
      </w:r>
    </w:p>
    <w:p>
      <w:pPr>
        <w:pStyle w:val="TextBody"/>
        <w:bidi w:val="0"/>
        <w:spacing w:lineRule="auto" w:line="288" w:before="240" w:after="283"/>
        <w:ind w:left="0" w:right="0" w:firstLine="720"/>
        <w:jc w:val="left"/>
        <w:rPr/>
      </w:pPr>
      <w:r>
        <w:rPr>
          <w:rFonts w:ascii="Times New Roman;serif" w:hAnsi="Times New Roman;serif"/>
          <w:b w:val="false"/>
          <w:i/>
          <w:color w:val="000000"/>
          <w:sz w:val="20"/>
          <w:u w:val="single"/>
          <w:shd w:fill="FFFFFF" w:val="clear"/>
        </w:rPr>
        <w:t>Third-Party Risk Management</w:t>
      </w:r>
      <w:r>
        <w:rPr>
          <w:color w:val="000000"/>
          <w:shd w:fill="FFFFFF" w:val="clear"/>
        </w:rPr>
        <w:t xml:space="preserve"> </w:t>
      </w:r>
      <w:r>
        <w:rPr>
          <w:rFonts w:ascii="Times New Roman;serif" w:hAnsi="Times New Roman;serif"/>
          <w:b w:val="false"/>
          <w:color w:val="000000"/>
          <w:sz w:val="20"/>
          <w:shd w:fill="FFFFFF" w:val="clear"/>
        </w:rPr>
        <w:t xml:space="preserve">We monitor and reassess our third-party relationships on an ongoing basis depending on risk level or in the event of a change of products and services provided to us. We also require third-party vendors, suppliers and service providers to undergo a cybersecurity risk assessment to be able to enter into a contract with us. The third-party risk assessments, conducted by our information security and enterprise risk management teams with input from key business stakeholders, involve understanding the products and services we obtain from the third party, what sensitive company and client data it will be able to access and an evaluation of the vendor’s security program and documentation. We also require that certain information security-related contract terms be incorporated into agreements with third parties that will have access to sensitive information before entering into such agreements. </w:t>
      </w:r>
      <w:r>
        <w:rPr>
          <w:rFonts w:ascii="Times New Roman;serif" w:hAnsi="Times New Roman;serif"/>
          <w:b w:val="false"/>
          <w:color w:val="000000"/>
          <w:sz w:val="20"/>
        </w:rPr>
        <w:t>Our third-party risk management program also evaluates AI-related risks posed by vendors, including risks associated with third-party AI models, data processing practices, and the potential for AI-generated outputs to affect the confidentiality, integrity, or availability of our systems and data.</w:t>
      </w:r>
    </w:p>
    <w:p>
      <w:pPr>
        <w:pStyle w:val="TextBody"/>
        <w:bidi w:val="0"/>
        <w:spacing w:lineRule="auto" w:line="288" w:before="240" w:after="283"/>
        <w:ind w:left="0" w:right="0" w:firstLine="72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Impact of Risks from Cybersecurity Threats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experienced cybersecurity incidents in the past in the ordinary course of business, none of these incidents to date have materially affected our business strategy, results of operations or financial condition. We continue to invest in cyber-resilience and cyber-threat response preparedness as we anticipate ongoing risks from cybersecurity threats, including those driven by advancements in artificial intelligence. Despite our efforts, there can be no assurance that our risk management program will be effective in preventing cybersecurity incidents that could adversely affect our business strategy, results of operations or financial condition. For more information regarding risks from cybersecurity threats, please refer to the Risk Factors entitled “If our security measures are breached or unauthorized access to client data or funds is otherwise obtained, our solutions may be perceived as not being secure, clients may reduce the use of or stop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solutions and we may incur significant liabilities.” and “Any failure to protect our intellectual property rights could impair our ability to protect our proprietary technology and our brand.” in Part I, Item 1A, Risk Factors.</w:t>
      </w:r>
    </w:p>
    <w:p>
      <w:pPr>
        <w:pStyle w:val="TextBody"/>
        <w:bidi w:val="0"/>
        <w:spacing w:lineRule="auto" w:line="288" w:before="240" w:after="283"/>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Governance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board of directors has delegated oversight of risk assessment and risk management activities, including oversight over cybersecurity risks, to the audit committee. The audit committee meets at least quarterly with our Vice President and Chief Information Security Officer (“CISO”), who oversees our overall information security risk management program. The CISO’s updates to the audit committee include recent developments related to the threat landscape, current IT-related risks, and corresponding controls or projects designed to mitigate those risks, as well as the status of ongoing cybersecurity initiatives and program maturity.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Our CISO reports to our Chief Financial Officer and leads our cybersecurity risk management efforts and our dedicated information security team. Our CISO has over 20 years of information security experience, including over four years as a director in the information security management practice of a big four accounting firm. He</w:t>
      </w:r>
      <w:r>
        <w:rPr>
          <w:color w:val="000000"/>
        </w:rPr>
        <w:t xml:space="preserve"> </w:t>
      </w:r>
      <w:r>
        <w:rPr>
          <w:rFonts w:ascii="Times New Roman;serif" w:hAnsi="Times New Roman;serif"/>
          <w:b w:val="false"/>
          <w:color w:val="000000"/>
          <w:sz w:val="20"/>
          <w:shd w:fill="FFFFFF" w:val="clear"/>
        </w:rPr>
        <w:t xml:space="preserve">holds multiple information security certifications and has a B.S. in Network Security. Our CISO leads our Information Security Steering Committee (“ISSC”), comprised of key executives and operating personnel from across the company, that oversees ongoing day-to-day management of our risks to information systems. The ISSC tracks risks and security initiatives, </w:t>
      </w:r>
      <w:r>
        <w:rPr>
          <w:rFonts w:ascii="Times New Roman;serif" w:hAnsi="Times New Roman;serif"/>
          <w:b w:val="false"/>
          <w:color w:val="000000"/>
          <w:sz w:val="20"/>
        </w:rPr>
        <w:t>reviews the results of</w:t>
      </w:r>
      <w:r>
        <w:rPr>
          <w:color w:val="000000"/>
          <w:shd w:fill="FFFFFF" w:val="clear"/>
        </w:rPr>
        <w:t xml:space="preserve"> </w:t>
      </w:r>
      <w:r>
        <w:rPr>
          <w:rFonts w:ascii="Times New Roman;serif" w:hAnsi="Times New Roman;serif"/>
          <w:b w:val="false"/>
          <w:color w:val="000000"/>
          <w:sz w:val="20"/>
          <w:shd w:fill="FFFFFF" w:val="clear"/>
        </w:rPr>
        <w:t xml:space="preserve">annual cybersecurity risk assessments, reviews the results of internal and third-party information security audits and assessments, identifies significant risks that threaten the achievement of security commitments and identifies controls to mitigate such risks.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CISO, along with other members of the ISSC and information security teams, remains apprised of developing cybersecurity trends through communications with the intelligence and law enforcement communities, vendors and industry engagement so that our cybersecurity risk management and governance controls and processes address new and evolving cybersecurity threats.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corporate headquarters occupied approximately 272,000 square feet in Schaumburg, Illinois under leases with final expiration in October 2032. We also utilize office spaces consisting of approximately 70,000 square feet in Lake Mary, Florida, approximately 78,000 square feet in Meridian, Idaho and approximately 35,000 square feet in Pittsford, New York as other major operations centers. We lease other smaller facilities, primarily across the U.S., that serve as data centers, sales offices and distribution centers.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obligations under operating leases, see Note 13 of the Notes to the Consolidated Financial Statements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and may become involved in litigation related to claims arising from the ordinary course of our business. We believe that there are no claims or actions pending or threatened against us, the ultimate disposition of which would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Global Select Market under the symbol “PCTY”.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29, 2026, the last reported sale price of our common stock on the NASDAQ Global Select Market was $144.79 per share, and there were 6 holders of record of our common stock. The actual number of holders of common stock is greater than the number of record holders and includes stockholders who are beneficial owners, but whose shares are held in street name by brokers and 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declared or paid dividends on our common stock since becoming a publicly traded company. Neither Delaware law nor our third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currently do not anticipate paying cash dividends on our common stock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Graph</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total cumulative stockholder return on our common stock with the total cumulative return of the S&amp;P 500 Index and the S&amp;P Software &amp; Services Select Industry Index during the period commencing on June 30, 2021 and ending on June 30, 2026.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drawing>
          <wp:inline distT="0" distB="0" distL="0" distR="0">
            <wp:extent cx="5838825" cy="381000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3"/>
                    <a:stretch>
                      <a:fillRect/>
                    </a:stretch>
                  </pic:blipFill>
                  <pic:spPr bwMode="auto">
                    <a:xfrm>
                      <a:off x="0" y="0"/>
                      <a:ext cx="5838825" cy="38100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describes the Company’s purchases of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362"/>
        <w:gridCol w:w="317"/>
        <w:gridCol w:w="320"/>
        <w:gridCol w:w="462"/>
        <w:gridCol w:w="462"/>
        <w:gridCol w:w="464"/>
        <w:gridCol w:w="109"/>
        <w:gridCol w:w="109"/>
        <w:gridCol w:w="109"/>
        <w:gridCol w:w="283"/>
        <w:gridCol w:w="969"/>
        <w:gridCol w:w="146"/>
        <w:gridCol w:w="109"/>
        <w:gridCol w:w="109"/>
        <w:gridCol w:w="109"/>
        <w:gridCol w:w="760"/>
        <w:gridCol w:w="760"/>
        <w:gridCol w:w="763"/>
        <w:gridCol w:w="109"/>
        <w:gridCol w:w="109"/>
        <w:gridCol w:w="109"/>
        <w:gridCol w:w="1185"/>
        <w:gridCol w:w="1095"/>
        <w:gridCol w:w="876"/>
      </w:tblGrid>
      <w:tr>
        <w:trPr/>
        <w:tc>
          <w:tcPr>
            <w:tcW w:w="36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Average Price Paid 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Total Number of Shares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Approximate Dollar Value of Shares that May Yet Be Purchased Under the Plans or Programs (2)</w:t>
            </w:r>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13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1,350,362,799</w:t>
            </w:r>
          </w:p>
        </w:tc>
      </w:tr>
      <w:tr>
        <w:trPr/>
        <w:tc>
          <w:tcPr>
            <w:tcW w:w="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138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1,325,362,978</w:t>
            </w:r>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1,302,249,566</w:t>
            </w:r>
          </w:p>
        </w:tc>
      </w:tr>
      <w:tr>
        <w:trPr/>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1388"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average price paid per share excludes excise taxes payable on shares repurchased.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In July 2025 and April 2026, the Company’s board of directors approved $500 million and $1 billion increases, respectively, to the Repurchase Program. For further information, see Note 15. Stockholders' Equity of the Notes to Consolidated Financial Statements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pStyle w:val="TextBody"/>
        <w:bidi w:val="0"/>
        <w:spacing w:lineRule="auto" w:line="288" w:before="240" w:after="283"/>
        <w:jc w:val="left"/>
        <w:rPr/>
      </w:pPr>
      <w:r>
        <w:rPr>
          <w:rFonts w:ascii="Times New Roman;serif" w:hAnsi="Times New Roman;serif"/>
          <w:b w:val="false"/>
          <w:i/>
          <w:color w:val="000000"/>
          <w:sz w:val="20"/>
        </w:rPr>
        <w:t xml:space="preserve">The following discussion of our financial condition and results of operations covers fiscal 2026 and 2025 items and year-over-year comparisons between fiscal 2026 and 2025. Discussion of fiscal 2024 items and year-over-year comparisons between fiscal 2025 and 2024 that are not included in this Form 10-K can be found in “Management’s Discussion and Analysis of Financial Condition and Results of Operations” in Part II, Item 7 of our </w:t>
      </w:r>
      <w:hyperlink r:id="rId4">
        <w:r>
          <w:rPr>
            <w:rStyle w:val="InternetLink"/>
            <w:rFonts w:ascii="Times New Roman;serif" w:hAnsi="Times New Roman;serif"/>
            <w:b w:val="false"/>
            <w:i/>
            <w:color w:val="0000FF"/>
            <w:sz w:val="20"/>
            <w:u w:val="single"/>
          </w:rPr>
          <w:t>Annual Report on Form 10-K for the fiscal year ended June 30, 2025 that was filed with the SEC on August 6, 2025.</w:t>
        </w:r>
      </w:hyperlink>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cloud-based provider of HCM, finance and IT software solutions that deliver a comprehensive platform for the modern workforce. Our platform offers an intuitive, easy-to-use product suite that helps businesses automate and streamline HR, finance and IT processes, attract and retain talent, and build culture and connection with artificial intelligence ("AI") embedded directly into everyday workflows to save time, reduce manual effort, and support better decision-making.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management of human capital, finance and IT operations is a core function in all organizations and requires a significant commitment of resources. Our cloud-based software solutions, combined with our unified database architecture, are highly flexible and configurable and feature a modern, intuitive user experience. The platform is built on a single employee record with workflows and integrations designed to automate processes across teams and systems. AI, analytics and reporting capabilities are embedded throughout the platform to deliver value with intelligent automation, tailored insights, and real-time guidance to administrators and employees. Our platform also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believe that delivering a positive service experience is an essential element of our ability to sell our solutions and retain our clients. We supplement our comprehensive software solutions with an integrated implementation and client service organization designed to meet the needs of our clients and sales prospects. We expect to continue to invest in and grow our implementation and client service organization as our client base grows.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 is a Delaware corporation, which was formed in November 2013. Our business operations are conducted by our wholly 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review a number of metrics, including the following key metrics, to evaluate our business, measure our performance, identify trends affecting our business, formulate financial projections and make strategic decisions.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 Growth</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recurring revenue model and high annual revenue retention rates provide significant visibility into our future operating results and cash flow from operations. This visibility enables us to better manage and invest in our business. Total revenues increased from $1,402.5 million in fiscal 2024 to $1,595.2 million in fiscal 2025, representing a 14% year-over-year increase. Total revenues increased from $1,595.2 million in fiscal 2025 to $1,771.3 million in fiscal 2026, representing an 11% year-over-year increase. The increase in year-over-year total revenue growth was driven by the strong performance of our sales team and continued annual revenue retention in excess of 92%. Uncertainties around market and economic conditions may impact revenue growth, which we have experienced and may continue to experience, through fluctuations in client employee counts, elongated sales cycles, client losses, and a changing interest rate environment, among other factors.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Client Count Growth</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there is a significant opportunity to grow our business by increasing our number of clients. Excluding clients acquired through acquisitions, we have increased the number of clients using our software solutions from approximately 39,050 as of June 30, 2024 to approximately 44,400 as of June 30, 2026, representing a compound annual growth rate of approximately 7%. The table below sets forth the total number of clients using our software solutions for the periods indicated, excluding clients acquired through acquisitions, rounded to the nearest fifty.</w:t>
      </w:r>
    </w:p>
    <w:tbl>
      <w:tblPr>
        <w:tblW w:w="4526" w:type="dxa"/>
        <w:jc w:val="left"/>
        <w:tblInd w:w="0" w:type="dxa"/>
        <w:tblLayout w:type="fixed"/>
        <w:tblCellMar>
          <w:top w:w="28" w:type="dxa"/>
          <w:left w:w="28" w:type="dxa"/>
          <w:bottom w:w="28" w:type="dxa"/>
          <w:right w:w="28" w:type="dxa"/>
        </w:tblCellMar>
      </w:tblPr>
      <w:tblGrid>
        <w:gridCol w:w="428"/>
        <w:gridCol w:w="377"/>
        <w:gridCol w:w="379"/>
        <w:gridCol w:w="360"/>
        <w:gridCol w:w="361"/>
        <w:gridCol w:w="156"/>
        <w:gridCol w:w="109"/>
        <w:gridCol w:w="109"/>
        <w:gridCol w:w="109"/>
        <w:gridCol w:w="360"/>
        <w:gridCol w:w="361"/>
        <w:gridCol w:w="156"/>
        <w:gridCol w:w="109"/>
        <w:gridCol w:w="109"/>
        <w:gridCol w:w="109"/>
        <w:gridCol w:w="360"/>
        <w:gridCol w:w="361"/>
        <w:gridCol w:w="213"/>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Client Count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44,400 </w:t>
            </w:r>
          </w:p>
        </w:tc>
        <w:tc>
          <w:tcPr>
            <w:tcW w:w="213"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Annual Revenue Retention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Adjusted Gross Profit and Adjusted EBITDA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Adjusted Gross Profit and Adjusted EBITDA to evaluate our operating results. Our calculations of Adjusted Gross Profit and Adjusted EBITDA eliminate the impact of items we do not consider indicative of our ongoing operating performance. Adjusted Gross Profit and Adjusted EBITDA are not measurements of financial performance under generally accepted accounting principles in the United States, or GAAP, and these metrics may not be comparable to similarly titled measures of other companies.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Gross Profit as gross profit before amortization of capitalized internal-use software costs and certain acquired intangibles, stock-based compensation expense and employer payroll taxes related to stock releases and option exercises and other items as described below. We define Adjusted EBITDA as net income before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depreciation and amortization expense, stock-based compensation expense and employer payroll taxes related to stock releases and option exercises and other items as described below.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Gross Profit and Adjusted EBITDA have limitations as analytical tools. Some of these limitations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EBITDA does not reflect our ongoing or future requirements for capital expenditures;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EBITDA does not reflect changes in, or cash requirements for, our working capital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EBITDA does not reflect our income tax expense or the cash requirement to pay our taxes;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Adjusted EBITDA does not reflect any cash requirements for such replacements;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companies in our industry may calculate Adjusted Gross Profit and Adjusted EBITDA differently than we do, limiting their usefulness as a comparative measure.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these limitations, you should not consider Adjusted Gross Profit as an alternative to gross profit or Adjusted EBITDA as an alternative to net income, in each case as determined in accordance with GAAP. We compensate for these limitations by relying primarily on our GAAP results, and we use Adjusted Gross Profit and Adjusted EBITDA only as supplemental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Directly comparable GAAP measures to Adjusted Gross Profit and Adjusted EBITDA are gross profit and net income, respectively. We reconcile Adjusted Gross Profit and Adjusted EBITDA as follows:</w:t>
      </w:r>
    </w:p>
    <w:tbl>
      <w:tblPr>
        <w:tblW w:w="10205" w:type="dxa"/>
        <w:jc w:val="left"/>
        <w:tblInd w:w="0" w:type="dxa"/>
        <w:tblLayout w:type="fixed"/>
        <w:tblCellMar>
          <w:top w:w="28" w:type="dxa"/>
          <w:left w:w="28" w:type="dxa"/>
          <w:bottom w:w="28" w:type="dxa"/>
          <w:right w:w="28" w:type="dxa"/>
        </w:tblCellMar>
      </w:tblPr>
      <w:tblGrid>
        <w:gridCol w:w="2087"/>
        <w:gridCol w:w="1835"/>
        <w:gridCol w:w="1843"/>
        <w:gridCol w:w="229"/>
        <w:gridCol w:w="462"/>
        <w:gridCol w:w="469"/>
        <w:gridCol w:w="109"/>
        <w:gridCol w:w="109"/>
        <w:gridCol w:w="109"/>
        <w:gridCol w:w="490"/>
        <w:gridCol w:w="462"/>
        <w:gridCol w:w="469"/>
        <w:gridCol w:w="109"/>
        <w:gridCol w:w="109"/>
        <w:gridCol w:w="109"/>
        <w:gridCol w:w="227"/>
        <w:gridCol w:w="402"/>
        <w:gridCol w:w="576"/>
      </w:tblGrid>
      <w:tr>
        <w:trPr/>
        <w:tc>
          <w:tcPr>
            <w:tcW w:w="208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5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from Gross Profit to Adjusted Gross Profit</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1,225,502</w:t>
            </w:r>
          </w:p>
        </w:tc>
      </w:tr>
      <w:tr>
        <w:trPr/>
        <w:tc>
          <w:tcPr>
            <w:tcW w:w="576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internal-use software costs</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70,496</w:t>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certain acquired intangibles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18,553</w:t>
            </w:r>
          </w:p>
        </w:tc>
      </w:tr>
      <w:tr>
        <w:trPr/>
        <w:tc>
          <w:tcPr>
            <w:tcW w:w="576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160"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20,350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16,914</w:t>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(1)</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r>
      <w:tr>
        <w:trPr/>
        <w:tc>
          <w:tcPr>
            <w:tcW w:w="576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29" w:type="dxa"/>
            <w:tcBorders>
              <w:top w:val="single" w:sz="6"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1,034,758</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6"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1,193,793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6"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1,332,161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46"/>
        <w:gridCol w:w="1976"/>
        <w:gridCol w:w="1985"/>
        <w:gridCol w:w="229"/>
        <w:gridCol w:w="388"/>
        <w:gridCol w:w="393"/>
        <w:gridCol w:w="109"/>
        <w:gridCol w:w="109"/>
        <w:gridCol w:w="109"/>
        <w:gridCol w:w="499"/>
        <w:gridCol w:w="387"/>
        <w:gridCol w:w="394"/>
        <w:gridCol w:w="109"/>
        <w:gridCol w:w="109"/>
        <w:gridCol w:w="109"/>
        <w:gridCol w:w="227"/>
        <w:gridCol w:w="340"/>
        <w:gridCol w:w="487"/>
      </w:tblGrid>
      <w:tr>
        <w:trPr/>
        <w:tc>
          <w:tcPr>
            <w:tcW w:w="224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6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6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from Net income to Adjusted EBITDA</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269,741</w:t>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5,828</w:t>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117,562</w:t>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111,797</w:t>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1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504,928</w:t>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144,147</w:t>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654,890</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Represents acquisition-related costs and severance cost adjustments related to certain roles that have been eliminated. We exclude one-off severance costs that we incur as part of the normal course of our business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    Represents acquisition and nonrecurring transaction-related costs, lease exit activity and severance costs related to certain roles that have been eliminated. We exclude one-off severance costs that we incur as part of the normal course of our business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Recurring and Other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software solutions. Our average client size has continued to be over 150 employees.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 Recurring and other revenue accounted for approximately 91%, 92% and 93% of our total revenues during the years ended June 30, 2024, 2025 and 2026, respectively.</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Income on Funds Held for Clients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primarily of employee-related expenses, including wages, stock-based compensation, bonuses and benefits, and costs related to ongoing client support and implementation activities, payroll tax filing, distribution of printed checks and other materials as well as delivery and computing costs, amortization of certain acquired intangible assets and bank fees associated with client fund transfers. Costs related to recurring support are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expensed as incurred. We capitalize implementation costs related to our proprietary products. For the year ended June 30, 2026 and earlier, such capitalized costs were generally amortized over a period of 7 years. At the end of fiscal 2026, we reassessed the expected period of benefit and, effective June 30, 2026, extended the amortization period to 8 years on a prospective basis. This change did not impact Cost of revenues for the fiscal year ended June 30, 2026. Our cost of revenues is expected to increase in absolute dollars for the foreseeable future as we increase our client base. However, we expect to realize cost efficiencies over the long term as our business scales, resulting in improved operating leverage and increased margins.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capitalize a portion of our internal-use software costs, which are then primarily amortized as Cost of revenues. We amortized $45.2 million, $59.9 million and $70.5 million of capitalized internal-use software costs in fiscal 2024, 2025 and 2026, respectively.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employee-related expenses for our direct sales and marketing staff, including wages, commissions, stock-based compensation, bonuses, and benefits, and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For the year ended June 30, 2026 and earlier, we generally amortized these costs over a period of 7 years. At the end of fiscal 2026, we reassessed the expected period of benefit and, effective June 30, 2026, extended the amortization period to 8 years on a prospective basis. This change did not impact Sales and marketing for the fiscal year ended June 30, 2026.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seek to grow our number of clients for the foreseeable future and therefore our sales and marketing expense is expected to continue to increase in absolute dollars as we grow our sales organization and expand our marketing activities.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2024, 2025 and 2026.</w:t>
      </w:r>
    </w:p>
    <w:tbl>
      <w:tblPr>
        <w:tblW w:w="8217" w:type="dxa"/>
        <w:jc w:val="left"/>
        <w:tblInd w:w="0" w:type="dxa"/>
        <w:tblLayout w:type="fixed"/>
        <w:tblCellMar>
          <w:top w:w="28" w:type="dxa"/>
          <w:left w:w="28" w:type="dxa"/>
          <w:bottom w:w="28" w:type="dxa"/>
          <w:right w:w="28" w:type="dxa"/>
        </w:tblCellMar>
      </w:tblPr>
      <w:tblGrid>
        <w:gridCol w:w="1479"/>
        <w:gridCol w:w="1297"/>
        <w:gridCol w:w="1304"/>
        <w:gridCol w:w="211"/>
        <w:gridCol w:w="826"/>
        <w:gridCol w:w="109"/>
        <w:gridCol w:w="109"/>
        <w:gridCol w:w="109"/>
        <w:gridCol w:w="109"/>
        <w:gridCol w:w="211"/>
        <w:gridCol w:w="826"/>
        <w:gridCol w:w="109"/>
        <w:gridCol w:w="109"/>
        <w:gridCol w:w="109"/>
        <w:gridCol w:w="109"/>
        <w:gridCol w:w="211"/>
        <w:gridCol w:w="82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portion of 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Expensed portion of research and development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employee-related costs, including wages, stock-based compensation, bonuses and benefits for our finance and accounting, legal, information systems, human resources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 generally consists of interest income related to interest earned on our cash and cash equivalents, net of interest expense related to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statements of operations data for each of the periods indicated.</w:t>
      </w:r>
    </w:p>
    <w:tbl>
      <w:tblPr>
        <w:tblW w:w="8597" w:type="dxa"/>
        <w:jc w:val="left"/>
        <w:tblInd w:w="0" w:type="dxa"/>
        <w:tblLayout w:type="fixed"/>
        <w:tblCellMar>
          <w:top w:w="28" w:type="dxa"/>
          <w:left w:w="28" w:type="dxa"/>
          <w:bottom w:w="28" w:type="dxa"/>
          <w:right w:w="28" w:type="dxa"/>
        </w:tblCellMar>
      </w:tblPr>
      <w:tblGrid>
        <w:gridCol w:w="1413"/>
        <w:gridCol w:w="1242"/>
        <w:gridCol w:w="1245"/>
        <w:gridCol w:w="229"/>
        <w:gridCol w:w="463"/>
        <w:gridCol w:w="468"/>
        <w:gridCol w:w="109"/>
        <w:gridCol w:w="109"/>
        <w:gridCol w:w="109"/>
        <w:gridCol w:w="552"/>
        <w:gridCol w:w="462"/>
        <w:gridCol w:w="469"/>
        <w:gridCol w:w="109"/>
        <w:gridCol w:w="109"/>
        <w:gridCol w:w="109"/>
        <w:gridCol w:w="298"/>
        <w:gridCol w:w="528"/>
        <w:gridCol w:w="57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and other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1,651,362</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119,964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1,402,515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1,771,326</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545,824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1,225,502</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393,878</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221,389</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224,242</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700,693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792,974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839,509</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6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385,993</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6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387,303</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117,562 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269,741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statements of operations data as a percentage of total revenue for each of the periods indicated.</w:t>
      </w:r>
    </w:p>
    <w:tbl>
      <w:tblPr>
        <w:tblW w:w="6351" w:type="dxa"/>
        <w:jc w:val="left"/>
        <w:tblInd w:w="0" w:type="dxa"/>
        <w:tblLayout w:type="fixed"/>
        <w:tblCellMar>
          <w:top w:w="28" w:type="dxa"/>
          <w:left w:w="28" w:type="dxa"/>
          <w:bottom w:w="28" w:type="dxa"/>
          <w:right w:w="28" w:type="dxa"/>
        </w:tblCellMar>
      </w:tblPr>
      <w:tblGrid>
        <w:gridCol w:w="1413"/>
        <w:gridCol w:w="1242"/>
        <w:gridCol w:w="1245"/>
        <w:gridCol w:w="194"/>
        <w:gridCol w:w="194"/>
        <w:gridCol w:w="196"/>
        <w:gridCol w:w="109"/>
        <w:gridCol w:w="109"/>
        <w:gridCol w:w="109"/>
        <w:gridCol w:w="194"/>
        <w:gridCol w:w="194"/>
        <w:gridCol w:w="196"/>
        <w:gridCol w:w="109"/>
        <w:gridCol w:w="109"/>
        <w:gridCol w:w="109"/>
        <w:gridCol w:w="183"/>
        <w:gridCol w:w="183"/>
        <w:gridCol w:w="263"/>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and other revenue</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5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58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8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Fiscal Years Ended June 30, 2025 and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thousands)</w:t>
      </w:r>
    </w:p>
    <w:tbl>
      <w:tblPr>
        <w:tblW w:w="10205" w:type="dxa"/>
        <w:jc w:val="left"/>
        <w:tblInd w:w="0" w:type="dxa"/>
        <w:tblLayout w:type="fixed"/>
        <w:tblCellMar>
          <w:top w:w="28" w:type="dxa"/>
          <w:left w:w="28" w:type="dxa"/>
          <w:bottom w:w="28" w:type="dxa"/>
          <w:right w:w="28" w:type="dxa"/>
        </w:tblCellMar>
      </w:tblPr>
      <w:tblGrid>
        <w:gridCol w:w="642"/>
        <w:gridCol w:w="517"/>
        <w:gridCol w:w="521"/>
        <w:gridCol w:w="211"/>
        <w:gridCol w:w="267"/>
        <w:gridCol w:w="664"/>
        <w:gridCol w:w="109"/>
        <w:gridCol w:w="109"/>
        <w:gridCol w:w="109"/>
        <w:gridCol w:w="211"/>
        <w:gridCol w:w="267"/>
        <w:gridCol w:w="664"/>
        <w:gridCol w:w="109"/>
        <w:gridCol w:w="109"/>
        <w:gridCol w:w="109"/>
        <w:gridCol w:w="211"/>
        <w:gridCol w:w="267"/>
        <w:gridCol w:w="664"/>
        <w:gridCol w:w="109"/>
        <w:gridCol w:w="109"/>
        <w:gridCol w:w="109"/>
        <w:gridCol w:w="265"/>
        <w:gridCol w:w="390"/>
        <w:gridCol w:w="391"/>
        <w:gridCol w:w="137"/>
        <w:gridCol w:w="137"/>
        <w:gridCol w:w="137"/>
        <w:gridCol w:w="137"/>
        <w:gridCol w:w="137"/>
        <w:gridCol w:w="137"/>
        <w:gridCol w:w="109"/>
        <w:gridCol w:w="109"/>
        <w:gridCol w:w="109"/>
        <w:gridCol w:w="263"/>
        <w:gridCol w:w="390"/>
        <w:gridCol w:w="391"/>
        <w:gridCol w:w="136"/>
        <w:gridCol w:w="136"/>
        <w:gridCol w:w="136"/>
        <w:gridCol w:w="138"/>
        <w:gridCol w:w="136"/>
        <w:gridCol w:w="197"/>
      </w:tblGrid>
      <w:tr>
        <w:trPr/>
        <w:tc>
          <w:tcPr>
            <w:tcW w:w="64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2025 to 2026</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80"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and other revenue</w:t>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1,281,680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1,471,801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1,651,362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190,121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179,561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revenues</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6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211"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120,835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123,420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119,964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(3,456)</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revenues</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Recurring and Other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Recurring and other revenue for the year ended June 30, 2026 increased by $179.6 million, or 12%, to $1,651.4 million from $1,471.8 million for the year ended June 30, 2025. Recurring and other revenue increased primarily as a result of incremental revenues from new and existing clients due to the strong performance by our sales team and continued annual revenue retention in excess of 92%. Excluding clients acquired through acquisitions, the number of clients using our software solutions at June 30, 2026 increased by 7% to approximately 44,400 from approximately 41,650 at June 30, 2025.</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Income on Funds Held for Clients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 for the year ended June 30, 2026 decreased by $3.5 million, or 3%, to $120.0 million from $123.4 million for the year ended June 30, 2025. Interest income on funds held for clients decreased slightly as the negative impact from lower interest rates was mostly offset by positive impact from higher average daily balances of funds held for new and existing clients as compared to the prior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thousands)</w:t>
      </w:r>
    </w:p>
    <w:tbl>
      <w:tblPr>
        <w:tblW w:w="10205" w:type="dxa"/>
        <w:jc w:val="left"/>
        <w:tblInd w:w="0" w:type="dxa"/>
        <w:tblLayout w:type="fixed"/>
        <w:tblCellMar>
          <w:top w:w="28" w:type="dxa"/>
          <w:left w:w="28" w:type="dxa"/>
          <w:bottom w:w="28" w:type="dxa"/>
          <w:right w:w="28" w:type="dxa"/>
        </w:tblCellMar>
      </w:tblPr>
      <w:tblGrid>
        <w:gridCol w:w="701"/>
        <w:gridCol w:w="557"/>
        <w:gridCol w:w="560"/>
        <w:gridCol w:w="229"/>
        <w:gridCol w:w="388"/>
        <w:gridCol w:w="393"/>
        <w:gridCol w:w="109"/>
        <w:gridCol w:w="109"/>
        <w:gridCol w:w="109"/>
        <w:gridCol w:w="229"/>
        <w:gridCol w:w="388"/>
        <w:gridCol w:w="393"/>
        <w:gridCol w:w="109"/>
        <w:gridCol w:w="109"/>
        <w:gridCol w:w="109"/>
        <w:gridCol w:w="229"/>
        <w:gridCol w:w="388"/>
        <w:gridCol w:w="393"/>
        <w:gridCol w:w="109"/>
        <w:gridCol w:w="109"/>
        <w:gridCol w:w="109"/>
        <w:gridCol w:w="323"/>
        <w:gridCol w:w="338"/>
        <w:gridCol w:w="338"/>
        <w:gridCol w:w="166"/>
        <w:gridCol w:w="166"/>
        <w:gridCol w:w="166"/>
        <w:gridCol w:w="166"/>
        <w:gridCol w:w="166"/>
        <w:gridCol w:w="166"/>
        <w:gridCol w:w="109"/>
        <w:gridCol w:w="109"/>
        <w:gridCol w:w="109"/>
        <w:gridCol w:w="318"/>
        <w:gridCol w:w="338"/>
        <w:gridCol w:w="338"/>
        <w:gridCol w:w="164"/>
        <w:gridCol w:w="164"/>
        <w:gridCol w:w="164"/>
        <w:gridCol w:w="164"/>
        <w:gridCol w:w="164"/>
        <w:gridCol w:w="240"/>
      </w:tblGrid>
      <w:tr>
        <w:trPr/>
        <w:tc>
          <w:tcPr>
            <w:tcW w:w="70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2025 to 2026</w:t>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18"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29"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441,729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498,223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545,824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56,494</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47,601</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1010"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2EDFE" w:val="clear"/>
            <w:tcMar>
              <w:top w:w="0" w:type="dxa"/>
              <w:left w:w="0" w:type="dxa"/>
              <w:bottom w:w="0" w:type="dxa"/>
              <w:right w:w="0" w:type="dxa"/>
            </w:tcMar>
            <w:vAlign w:val="center"/>
          </w:tcPr>
          <w:p>
            <w:pPr>
              <w:pStyle w:val="TableContents"/>
              <w:bidi w:val="0"/>
              <w:spacing w:before="0" w:after="283"/>
              <w:ind w:left="0" w:right="0" w:hanging="44"/>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revenues for the year ended June 30, 2026 increased by $47.6 million, or 10%, to $545.8 million from $498.2 million for the year ended June 30, 2025. Cost of revenues increased primarily as a result of the continued growth of our business, in particular, $26.0 million in additional employee-related costs, $10.7 million in additional processing and delivery related costs, and $10.6 million in increased internal-use software amortization. Gross profit margin was 69% for both years ended June 30, 2025 and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thousands)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673"/>
        <w:gridCol w:w="570"/>
        <w:gridCol w:w="574"/>
        <w:gridCol w:w="229"/>
        <w:gridCol w:w="388"/>
        <w:gridCol w:w="393"/>
        <w:gridCol w:w="109"/>
        <w:gridCol w:w="109"/>
        <w:gridCol w:w="109"/>
        <w:gridCol w:w="229"/>
        <w:gridCol w:w="388"/>
        <w:gridCol w:w="393"/>
        <w:gridCol w:w="109"/>
        <w:gridCol w:w="109"/>
        <w:gridCol w:w="109"/>
        <w:gridCol w:w="229"/>
        <w:gridCol w:w="388"/>
        <w:gridCol w:w="393"/>
        <w:gridCol w:w="109"/>
        <w:gridCol w:w="109"/>
        <w:gridCol w:w="109"/>
        <w:gridCol w:w="323"/>
        <w:gridCol w:w="338"/>
        <w:gridCol w:w="338"/>
        <w:gridCol w:w="166"/>
        <w:gridCol w:w="166"/>
        <w:gridCol w:w="166"/>
        <w:gridCol w:w="166"/>
        <w:gridCol w:w="166"/>
        <w:gridCol w:w="166"/>
        <w:gridCol w:w="109"/>
        <w:gridCol w:w="109"/>
        <w:gridCol w:w="109"/>
        <w:gridCol w:w="318"/>
        <w:gridCol w:w="338"/>
        <w:gridCol w:w="338"/>
        <w:gridCol w:w="164"/>
        <w:gridCol w:w="164"/>
        <w:gridCol w:w="164"/>
        <w:gridCol w:w="164"/>
        <w:gridCol w:w="164"/>
        <w:gridCol w:w="241"/>
      </w:tblGrid>
      <w:tr>
        <w:trPr/>
        <w:tc>
          <w:tcPr>
            <w:tcW w:w="67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2025 to 2026</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17"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9"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334,954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374,216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393,878</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39,262</w:t>
            </w:r>
          </w:p>
        </w:tc>
        <w:tc>
          <w:tcPr>
            <w:tcW w:w="49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19,662</w:t>
            </w:r>
          </w:p>
        </w:tc>
        <w:tc>
          <w:tcPr>
            <w:tcW w:w="49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for the year ended June 30, 2026 increased by $19.7 million, or 5%, to $393.9 million from $374.2 million for the year ended June 30, 2025. The increase in sales and marketing expense was primarily due to $20.5 million of additional employee-related costs, partially offset by $3.7 million in lower stock-based compensation expense. </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674"/>
        <w:gridCol w:w="591"/>
        <w:gridCol w:w="594"/>
        <w:gridCol w:w="229"/>
        <w:gridCol w:w="388"/>
        <w:gridCol w:w="393"/>
        <w:gridCol w:w="109"/>
        <w:gridCol w:w="109"/>
        <w:gridCol w:w="109"/>
        <w:gridCol w:w="229"/>
        <w:gridCol w:w="388"/>
        <w:gridCol w:w="393"/>
        <w:gridCol w:w="109"/>
        <w:gridCol w:w="109"/>
        <w:gridCol w:w="109"/>
        <w:gridCol w:w="229"/>
        <w:gridCol w:w="388"/>
        <w:gridCol w:w="393"/>
        <w:gridCol w:w="109"/>
        <w:gridCol w:w="109"/>
        <w:gridCol w:w="109"/>
        <w:gridCol w:w="317"/>
        <w:gridCol w:w="338"/>
        <w:gridCol w:w="338"/>
        <w:gridCol w:w="164"/>
        <w:gridCol w:w="164"/>
        <w:gridCol w:w="164"/>
        <w:gridCol w:w="164"/>
        <w:gridCol w:w="164"/>
        <w:gridCol w:w="164"/>
        <w:gridCol w:w="109"/>
        <w:gridCol w:w="109"/>
        <w:gridCol w:w="109"/>
        <w:gridCol w:w="313"/>
        <w:gridCol w:w="338"/>
        <w:gridCol w:w="338"/>
        <w:gridCol w:w="161"/>
        <w:gridCol w:w="161"/>
        <w:gridCol w:w="161"/>
        <w:gridCol w:w="161"/>
        <w:gridCol w:w="161"/>
        <w:gridCol w:w="237"/>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2025 to 2026</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178,333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205,851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221,389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27,518</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year ended June 30, 2026 increased by $15.5 million, or 8%, to $221.4 million from $205.9 million for the year ended June 30, 2025. The increase in research and development expenses was primarily due to $16.3 million of additional employee-related costs related to additional development personnel, net of capitalized internal-use software costs, partially offset by $5.2 million in lower stock-based compensation expense.</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684"/>
        <w:gridCol w:w="601"/>
        <w:gridCol w:w="602"/>
        <w:gridCol w:w="229"/>
        <w:gridCol w:w="388"/>
        <w:gridCol w:w="393"/>
        <w:gridCol w:w="109"/>
        <w:gridCol w:w="109"/>
        <w:gridCol w:w="109"/>
        <w:gridCol w:w="229"/>
        <w:gridCol w:w="388"/>
        <w:gridCol w:w="393"/>
        <w:gridCol w:w="109"/>
        <w:gridCol w:w="109"/>
        <w:gridCol w:w="109"/>
        <w:gridCol w:w="229"/>
        <w:gridCol w:w="388"/>
        <w:gridCol w:w="393"/>
        <w:gridCol w:w="109"/>
        <w:gridCol w:w="109"/>
        <w:gridCol w:w="109"/>
        <w:gridCol w:w="314"/>
        <w:gridCol w:w="338"/>
        <w:gridCol w:w="338"/>
        <w:gridCol w:w="162"/>
        <w:gridCol w:w="162"/>
        <w:gridCol w:w="162"/>
        <w:gridCol w:w="162"/>
        <w:gridCol w:w="162"/>
        <w:gridCol w:w="162"/>
        <w:gridCol w:w="109"/>
        <w:gridCol w:w="109"/>
        <w:gridCol w:w="109"/>
        <w:gridCol w:w="310"/>
        <w:gridCol w:w="338"/>
        <w:gridCol w:w="338"/>
        <w:gridCol w:w="160"/>
        <w:gridCol w:w="160"/>
        <w:gridCol w:w="160"/>
        <w:gridCol w:w="160"/>
        <w:gridCol w:w="160"/>
        <w:gridCol w:w="232"/>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from 2025 to 2026</w:t>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187,406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212,907</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224,242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25,501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11,335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year ended June 30, 2026 increased by $11.3 million, or 5%, to $224.2 million from $212.9 million for the year ended June 30, 2025. The increase in general and administrative expenses was primarily due to $6.8 million in additional stock-based compensation expense as compared to the prior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largely driven by executive award forfeitures during the year ended June 30, 2025 and $6.5 million in additional employee-related costs.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73"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for the year ended June 30, 2026 decreased by $3.7 million as compared to the year ended June 30, 2025. The change in other income was primarily due to an $11.7 million reduction in interest earned on our cash and cash equivalents from lower average balances and lower interest rates, partially offset by a $7.2 million decrease in interest expense due to less borrowings under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effective tax rates were 26.5% and 30.4% for the years ended June 30, 2025 and 2026, respectively. Our effective tax rate for the year ended June 30, 2025 was higher than the federal statutory rate of 21% primarily due to state and local income taxes. Our effective tax rate for the year ended June 30, 2026 was higher than the federal statutory rate of 21% primarily due to stock-based compensation shortfalls and state and local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14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 We derive our revenue from contracts with clients substantially all from recurring service fees. Recurring fees are mostly derived from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 obligations related to recurring services are generally satisfied monthly as services are provided, with fees charged and collected based on a per-employee-per-month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certain optional performance obligations that are satisfied at a point in time including the sales of time clocks and W-2 preparation services.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Implementation services and other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 </w:t>
      </w:r>
    </w:p>
    <w:p>
      <w:pPr>
        <w:pStyle w:val="TextBody"/>
        <w:bidi w:val="0"/>
        <w:spacing w:before="24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Capitalized Internal-Use Software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Internal-use software is amortized on a straight-line basis, generally over a two- to three-year period while certain projects that support our main processing activities are amortized over ten years.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2024, 2025 or 2026. We capitalized $75.5 million, $75.9 million and $81.8 million of internal-use software costs for the years ended June 30, 2024, 2025 and 2026, respectively, including stock-based compensation costs of $14.4 million, $13.0 million and $11.8 million for the years ended June 30, 2024, 2025 and 2026, respectively. We amortized $45.2 million, $59.9 million and $70.5 million of capitalized internal-use software costs for the years ended June 30, 2024, 2025 and 2026, respectively.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include the results of businesses acquired in our consolidated financial statements from the date of acquisition. We allocate the purchase price consideration associated with our acquisitions to the fair values of assets acquired and liabilities assumed at their respective acquisition dates, with the excess recorded to goodwill. The purchase price allocations require us to make significant judgments and estimates in determining such fair values, particularly related to the proprietary technology intangible asset. Such estimates used in valuation methodologies can include, but are not limited to, forecasted revenue growth rates, royalty rates, technology migration rates, and required rate of return. These estimates are inherently uncertain and may be refined over the measurement period. Adjustments to the fair values of assets acquired and liabilities assumed may be recorded during the measurement period, which may be up to one year from the acquisition date, with the corresponding offset to goodwill.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in Accounting Estimates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end of fiscal 2026, we reassessed the estimated period of benefit for deferred contract costs. Based on this assessment, which considered factors including average client life and growth in contract renewals beyond initial contract terms, we extended the estimated period of benefit from seven years to eight years effective as of June 30, 2026. This change in accounting estimate is accounted for on a prospective basis and is expected to increase fiscal 2027 Adjusted EBITDA margins by approximately 120 to 140 basis points. This change did not impact our financial statements for the fiscal year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liquidity needs are related to the funding of general business requirements, including working capital requirements, research and development, and capital expenditures. As of June 30, 2026, our principal sources of liquidity were $271.9 million of cash and cash equivalents. We maintain a credit agreement which provides for a $550.0 million revolving credit facility which may be increased up to $825.0 million. In September 2024, we borrowed $325.0 million under this credit facility to fund the October 2024 acquisition of Airbase Inc. We had $81.3 million in outstanding borrowings under this credit facility at June 30, 2026, as we repaid $162.5 million in the second half of fiscal 2025 and an additional $81.3 million in fiscal 2026. Refer to Notes 7 and 12 of the Notes to the Consolidated Financial Statements included in Part II, Item 8: “Financial Statements and Supplementary Data” for additional details on the Airbase acquisition and credit agreement,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our board of directors authorized the repurchase of up to $500 million of our common stock (the “Repurchase Program”). In July 2025 and April 2026, our board of directors approved $500 million and $1 billion increases, respectively, to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fiscal 2024, we repurchased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aggregate of 1.1 million shares for approximately $150.0 million at an average cost per share of $142.82 under the Repurchase Program. During fiscal 2025, we repurchased 0.8 million shares for approximately $149.6 million at an average cost per share of $190.16 under the Repurchase Program. During fiscal 2026, we repurchased 2.8 million shares for approximately $398.1 million at an average cost per share of $144.67 under the Repurchase Program. Refer to Note 15 of the Notes to the Consolidated Financial Statements included in Part II, Item 8: “Financial Statements and Supplementary Data” for additional detail on our Repurchase Program.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and as well as in money market funds. As of June 30, 2026, we did not have any corporate investments classified as available-for-sale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grow our business, we intend to increase our personnel and related expenses and to make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services via ACH transactions at the same time we debit the client’s account for payroll and payroll tax obligations and thus are able to reduce collectability and accounts receivable risks.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data regarding cash flows for the periods indicated:</w:t>
      </w:r>
    </w:p>
    <w:tbl>
      <w:tblPr>
        <w:tblW w:w="10205" w:type="dxa"/>
        <w:jc w:val="left"/>
        <w:tblInd w:w="0" w:type="dxa"/>
        <w:tblLayout w:type="fixed"/>
        <w:tblCellMar>
          <w:top w:w="28" w:type="dxa"/>
          <w:left w:w="28" w:type="dxa"/>
          <w:bottom w:w="28" w:type="dxa"/>
          <w:right w:w="28" w:type="dxa"/>
        </w:tblCellMar>
      </w:tblPr>
      <w:tblGrid>
        <w:gridCol w:w="2267"/>
        <w:gridCol w:w="1867"/>
        <w:gridCol w:w="1871"/>
        <w:gridCol w:w="211"/>
        <w:gridCol w:w="826"/>
        <w:gridCol w:w="109"/>
        <w:gridCol w:w="109"/>
        <w:gridCol w:w="109"/>
        <w:gridCol w:w="109"/>
        <w:gridCol w:w="211"/>
        <w:gridCol w:w="887"/>
        <w:gridCol w:w="109"/>
        <w:gridCol w:w="109"/>
        <w:gridCol w:w="109"/>
        <w:gridCol w:w="109"/>
        <w:gridCol w:w="211"/>
        <w:gridCol w:w="826"/>
        <w:gridCol w:w="156"/>
      </w:tblGrid>
      <w:tr>
        <w:trPr/>
        <w:tc>
          <w:tcPr>
            <w:tcW w:w="226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6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384,670 </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418,226 </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533,252 </w:t>
            </w:r>
          </w:p>
        </w:tc>
        <w:tc>
          <w:tcPr>
            <w:tcW w:w="156"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securities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(304,465)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(260,997)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(271,378)</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available-for-sale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(60,726)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(62,402)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(69,302)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and funds held for clients acquired</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(277,851)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(49,183)</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(101,891)</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(455,548)</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(154,793)</w:t>
            </w:r>
          </w:p>
        </w:tc>
        <w:tc>
          <w:tcPr>
            <w:tcW w:w="156"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client fund obligations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325,056 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(297,923)</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514,173 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credit facility</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(162,500)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(81,250)</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(398,113)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19,143 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18,222 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(325,821)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5"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funds held for clients' cash and cash equivalents</w:t>
            </w:r>
          </w:p>
        </w:tc>
        <w:tc>
          <w:tcPr>
            <w:tcW w:w="21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424,357 </w:t>
            </w:r>
          </w:p>
        </w:tc>
        <w:tc>
          <w:tcPr>
            <w:tcW w:w="109"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(363,143)</w:t>
            </w:r>
          </w:p>
        </w:tc>
        <w:tc>
          <w:tcPr>
            <w:tcW w:w="109"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387,440 </w:t>
            </w:r>
          </w:p>
        </w:tc>
        <w:tc>
          <w:tcPr>
            <w:tcW w:w="156"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$384.7 million, $418.2 million and $533.3 million for the years ended June 30, 2024, 2025 and 2026, respectively.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net cash provided by operating activities from fiscal 2025 to fiscal 2026 was primarily due to improved operating results after adjusting for non-cash items including stock-based compensation expense, depreciation and amortization expense and deferred income tax expense (benefit) and lower income tax payments resulting from the provisions of the One Big Beautiful Bill Act, partially offset by changes in operating assets and liabilities over the same period.</w:t>
      </w:r>
    </w:p>
    <w:p>
      <w:pPr>
        <w:pStyle w:val="TextBody"/>
        <w:bidi w:val="0"/>
        <w:spacing w:before="24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$101.9 million, $455.5 million and $154.8 million, for the years ended June 30, 2024, 2025 and 2026, respectively. Net cash used in investing activities is significantly impacted by the timing of purchases and sales and maturities of investments as we may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net cash used in investing activities from fiscal 2025 to fiscal 2026 was primarily due to a $228.7 million reduction in amounts paid for acquisitions, net of cash acquired, associated with the fiscal 2025 acquisition of Airbase. It was also attributable to a $112.0 million increase in proceeds from sales and maturities of available-for-sale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partially offset by a $23.1 increase in purchases of property and equipment as compared to the year ended June 30, 2025. </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 was $141.6 million, $(325.8) million and $9.0 million for the years ended June 30, 2024, 2025 and 2026, respectively. The change in net cash provided by (used in) financing activities from fiscal 2025 to fiscal 2026 was primarily due to the net change in client fund obligations of $812.1 million due to the timing of client funds collected and related remittance of those funds to client employees, taxing and other regulatory authorities and vendors and an $81.3 million increase in credit facility repayments during the year ended June 30, 2025 as compared to the current year. This was partially offset by $325.0 million in borrowings under our credit facility related to the acquisition of Airbase Inc. during the year ended June 30, 2025 and $248.5 in additional share repurchases during the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$18.0 million, $13.1 million and $36.2 million for the years ended June 30, 2024, 2025 and 2026, respectively, exclusive of capitalized internal-use software costs of $60.7 million, $62.4 million, and $69.3 million for the same periods,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our principal commitments consist of $81.3 million in borrowings under our revolving credit facility, which is contractually not due in the next twelve months, and related interest payments, as well as $59.6 million in operating lease obligations, of which $11.7 million is due in the next twelve months. Refer to Note 13 of the Notes to the Consolidated Financial Statements included in Part II, Item 8: “Financial Statements and Supplementary Data” for additional details on our lease activity. We also have $140.6 million in purchase obligations, of which $85.8 million is due 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of the Notes to the Consolidated Financial Statements included in Part II, Item 8: “Financial Statements and Supplementary Data” for a discussion of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operations take place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$271.9 million and funds held for clients of $3,210.5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money market funds, commercial paper, corporate bonds, asset-backed debt securities, U.S. treasury securities, and other securities. Our investment policy is focused on generating higher yields from these investments while preserving liquidity and capital. However, as a result of our investing activities, we are exposed to changes in interest rates that may materially affect our financial statements.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available-for-sale, no gains or losses are recognized due to changes in interest rates until such securities are sold or decreases in fair value are deemed due to expected credit losses. We have not recorded any credit impairment losses on our portfolio to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a sensitivity model that measures market value changes caused by interest rate fluctuations, an immediate 100-basis point increase in interest rates would have resulted in a decrease in the market value of our available-for-sale securities by $16.0 million as of June 30, 2026. An immediate 100-basis point decrease in interest rates would have resulted in an increase in the market value of our available-for-sale securities by $16.5 million as of June 30, 2026. Fluctuations in the value of our available-for-sale securities caused by changes in interest rates are recorded in other comprehensive income and are only realized if we sell the underlying securities.</w:t>
      </w:r>
    </w:p>
    <w:p>
      <w:pPr>
        <w:pStyle w:val="TextBody"/>
        <w:bidi w:val="0"/>
        <w:spacing w:lineRule="auto" w:line="288" w:before="240" w:after="283"/>
        <w:ind w:left="0" w:right="0" w:firstLine="720"/>
        <w:jc w:val="left"/>
        <w:rPr/>
      </w:pPr>
      <w:r>
        <w:rPr>
          <w:rFonts w:ascii="Times New Roman;serif" w:hAnsi="Times New Roman;serif"/>
          <w:b w:val="false"/>
          <w:color w:val="212529"/>
          <w:sz w:val="20"/>
          <w:shd w:fill="FFFFFF" w:val="clear"/>
        </w:rPr>
        <w:t xml:space="preserve">Additionally, as described in </w:t>
      </w:r>
      <w:r>
        <w:rPr>
          <w:rFonts w:ascii="Times New Roman;serif" w:hAnsi="Times New Roman;serif"/>
          <w:b w:val="false"/>
          <w:color w:val="000000"/>
          <w:sz w:val="20"/>
        </w:rPr>
        <w:t>Note 12 of the Notes to the Consolidated Financial Statements included in Part II, Item 8: “Financial Statements and Supplementary Data”</w:t>
      </w:r>
      <w:r>
        <w:rPr>
          <w:rFonts w:ascii="Times New Roman;serif" w:hAnsi="Times New Roman;serif"/>
          <w:b w:val="false"/>
          <w:color w:val="212529"/>
          <w:sz w:val="20"/>
          <w:shd w:fill="FFFFFF" w:val="clear"/>
        </w:rPr>
        <w:t xml:space="preserve">, we entered into a first amendment to our credit agreement that provides for a revolving credit facility (“credit facility”) in the aggregate amount of </w:t>
      </w:r>
      <w:r>
        <w:rPr>
          <w:rFonts w:ascii="Times New Roman;serif" w:hAnsi="Times New Roman;serif"/>
          <w:b w:val="false"/>
          <w:color w:val="000000"/>
          <w:sz w:val="20"/>
          <w:shd w:fill="FFFFFF" w:val="clear"/>
        </w:rPr>
        <w:t>$550.0</w:t>
      </w:r>
      <w:r>
        <w:rPr>
          <w:color w:val="212529"/>
          <w:shd w:fill="FFFFFF" w:val="clear"/>
        </w:rPr>
        <w:t xml:space="preserve"> </w:t>
      </w:r>
      <w:r>
        <w:rPr>
          <w:rFonts w:ascii="Times New Roman;serif" w:hAnsi="Times New Roman;serif"/>
          <w:b w:val="false"/>
          <w:color w:val="212529"/>
          <w:sz w:val="20"/>
          <w:shd w:fill="FFFFFF" w:val="clear"/>
        </w:rPr>
        <w:t xml:space="preserve">million, which may be increased up to </w:t>
      </w:r>
      <w:r>
        <w:rPr>
          <w:rFonts w:ascii="Times New Roman;serif" w:hAnsi="Times New Roman;serif"/>
          <w:b w:val="false"/>
          <w:color w:val="000000"/>
          <w:sz w:val="20"/>
          <w:shd w:fill="FFFFFF" w:val="clear"/>
        </w:rPr>
        <w:t>$825.0</w:t>
      </w:r>
      <w:r>
        <w:rPr>
          <w:color w:val="212529"/>
          <w:shd w:fill="FFFFFF" w:val="clear"/>
        </w:rPr>
        <w:t xml:space="preserve"> </w:t>
      </w:r>
      <w:r>
        <w:rPr>
          <w:rFonts w:ascii="Times New Roman;serif" w:hAnsi="Times New Roman;serif"/>
          <w:b w:val="false"/>
          <w:color w:val="212529"/>
          <w:sz w:val="20"/>
          <w:shd w:fill="FFFFFF" w:val="clear"/>
        </w:rPr>
        <w:t xml:space="preserve">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serif" w:hAnsi="Times New Roman;serif"/>
          <w:b w:val="false"/>
          <w:color w:val="000000"/>
          <w:sz w:val="20"/>
        </w:rPr>
        <w:t>June 30, 2026</w:t>
      </w:r>
      <w:r>
        <w:rPr>
          <w:rFonts w:ascii="Times New Roman;serif" w:hAnsi="Times New Roman;serif"/>
          <w:b w:val="false"/>
          <w:color w:val="212529"/>
          <w:sz w:val="20"/>
          <w:shd w:fill="FFFFFF" w:val="clear"/>
        </w:rPr>
        <w:t xml:space="preserve">, we had </w:t>
      </w:r>
      <w:r>
        <w:rPr>
          <w:rFonts w:ascii="Times New Roman;serif" w:hAnsi="Times New Roman;serif"/>
          <w:b w:val="false"/>
          <w:color w:val="000000"/>
          <w:sz w:val="20"/>
          <w:shd w:fill="FFFFFF" w:val="clear"/>
        </w:rPr>
        <w:t>$81.3</w:t>
      </w:r>
      <w:r>
        <w:rPr>
          <w:color w:val="000000"/>
        </w:rPr>
        <w:t xml:space="preserve"> </w:t>
      </w:r>
      <w:r>
        <w:rPr>
          <w:rFonts w:ascii="Times New Roman;serif" w:hAnsi="Times New Roman;serif"/>
          <w:b w:val="false"/>
          <w:color w:val="212529"/>
          <w:sz w:val="20"/>
          <w:shd w:fill="FFFFFF" w:val="clear"/>
        </w:rPr>
        <w:t xml:space="preserve">million in borrowings outstanding under our credit facility. Because interest rates applicable to the credit facility are variable, we are exposed to market risk from changes in the underlying index rates, which affects our interest expense. A hypothetical change of 100 basis points in interest rates would not have had a significant impact on our results of operations.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consolidated financial statements and accompanying notes set forth starting on page F-1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of June 30, 2026, the end of the period covered by this Annual Report on Form 10-K. Based upon such evaluation, our Chief Executive Officer and Chief Financial Officer have concluded that our disclosure controls and procedures were effective as of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 and Attestation Report of the Registered Public Accounting Firm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as of June 30, 2026, based on the framework in Internal Control—Integrated Framework issued by the Committee of Sponsoring Organizations of the Treadway Commission (COSO) (2013 framework). Based on this evaluation under the Internal Control—Integrated Framework, our Chief Executive Officer and Chief Financial Officer have concluded that our internal control over financial reporting was effective as of June 30,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which has audited our financial statements, has also audited the effectiveness of our internal control over financial reporting as of June 30, 2026, as stated in their report, which is included in Item 15(a)(1) of this Annual Report on Form 10-K.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fiscal quarter ended June 30, 2026,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Limitations on Controls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executive and director (as defined in Rule 16a-1(f)) modified a “Rule 10b5-1 trading arrangement,” as defined in Item 408(a) of Regulation S-K intending to satisfy the affirmative defense conditions of Rule 10b5-1(c):</w:t>
      </w:r>
    </w:p>
    <w:tbl>
      <w:tblPr>
        <w:tblW w:w="10205" w:type="dxa"/>
        <w:jc w:val="left"/>
        <w:tblInd w:w="0" w:type="dxa"/>
        <w:tblLayout w:type="fixed"/>
        <w:tblCellMar>
          <w:top w:w="28" w:type="dxa"/>
          <w:left w:w="28" w:type="dxa"/>
          <w:bottom w:w="28" w:type="dxa"/>
          <w:right w:w="28" w:type="dxa"/>
        </w:tblCellMar>
      </w:tblPr>
      <w:tblGrid>
        <w:gridCol w:w="802"/>
        <w:gridCol w:w="667"/>
        <w:gridCol w:w="596"/>
        <w:gridCol w:w="109"/>
        <w:gridCol w:w="109"/>
        <w:gridCol w:w="109"/>
        <w:gridCol w:w="802"/>
        <w:gridCol w:w="802"/>
        <w:gridCol w:w="806"/>
        <w:gridCol w:w="109"/>
        <w:gridCol w:w="109"/>
        <w:gridCol w:w="109"/>
        <w:gridCol w:w="694"/>
        <w:gridCol w:w="694"/>
        <w:gridCol w:w="698"/>
        <w:gridCol w:w="109"/>
        <w:gridCol w:w="109"/>
        <w:gridCol w:w="109"/>
        <w:gridCol w:w="329"/>
        <w:gridCol w:w="329"/>
        <w:gridCol w:w="330"/>
        <w:gridCol w:w="109"/>
        <w:gridCol w:w="109"/>
        <w:gridCol w:w="109"/>
        <w:gridCol w:w="392"/>
        <w:gridCol w:w="392"/>
        <w:gridCol w:w="564"/>
      </w:tblGrid>
      <w:tr>
        <w:trPr/>
        <w:tc>
          <w:tcPr>
            <w:tcW w:w="8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Total Shares of Common Stock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color w:val="000000"/>
                <w:sz w:val="20"/>
              </w:rPr>
              <w:t>Duration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Expiration Date</w:t>
            </w:r>
          </w:p>
        </w:tc>
      </w:tr>
      <w:tr>
        <w:trPr/>
        <w:tc>
          <w:tcPr>
            <w:tcW w:w="2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R. Beauchamp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160,000</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14, 2026 - January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31, 2027</w:t>
            </w:r>
          </w:p>
        </w:tc>
      </w:tr>
    </w:tbl>
    <w:p>
      <w:pPr>
        <w:pStyle w:val="TextBody"/>
        <w:bidi w:val="0"/>
        <w:spacing w:before="0" w:after="0"/>
        <w:jc w:val="left"/>
        <w:rPr/>
      </w:pPr>
      <w:r>
        <w:rPr/>
      </w:r>
    </w:p>
    <w:p>
      <w:pPr>
        <w:pStyle w:val="TextBody"/>
        <w:bidi w:val="0"/>
        <w:spacing w:lineRule="auto" w:line="256" w:before="60" w:after="60"/>
        <w:ind w:left="0" w:right="0" w:hanging="72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The Rule 10b5-1trading arrangement permits transactions through and including the earlier to occur of (a) the completion of all sales or (b) the expiration date listed in the table. </w:t>
      </w:r>
    </w:p>
    <w:p>
      <w:pPr>
        <w:pStyle w:val="TextBody"/>
        <w:bidi w:val="0"/>
        <w:spacing w:lineRule="auto" w:line="256" w:before="60" w:after="60"/>
        <w:ind w:left="0" w:right="0" w:hanging="72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Includes 100,000 shares held directly by Mr. Beauchamp and 60,000 shares to be sold by the IRIE Family Trust for the benefit of Mr. Beauchamp’s children and for which Mr. Beauchamp's spouse serves as the trustee.</w:t>
      </w:r>
    </w:p>
    <w:p>
      <w:pPr>
        <w:pStyle w:val="TextBody"/>
        <w:bidi w:val="0"/>
        <w:spacing w:lineRule="auto" w:line="256" w:before="60" w:after="60"/>
        <w:ind w:left="0" w:right="0" w:hanging="72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The number of shares that will be sold is determined, in part, based on pricing triggers outlined in the Rule 10b5-1 trading arrangement.</w:t>
      </w:r>
    </w:p>
    <w:p>
      <w:pPr>
        <w:pStyle w:val="TextBody"/>
        <w:bidi w:val="0"/>
        <w:spacing w:before="60" w:after="60"/>
        <w:ind w:left="0" w:right="0" w:hanging="720"/>
        <w:jc w:val="left"/>
        <w:rPr/>
      </w:pPr>
      <w:r>
        <w:rPr/>
      </w:r>
    </w:p>
    <w:p>
      <w:pPr>
        <w:pStyle w:val="TextBody"/>
        <w:bidi w:val="0"/>
        <w:spacing w:lineRule="auto" w:line="268" w:before="60" w:after="60"/>
        <w:jc w:val="left"/>
        <w:rPr>
          <w:rFonts w:ascii="Times New Roman;serif" w:hAnsi="Times New Roman;serif"/>
          <w:b w:val="false"/>
          <w:color w:val="000000"/>
          <w:sz w:val="20"/>
        </w:rPr>
      </w:pPr>
      <w:r>
        <w:rPr>
          <w:rFonts w:ascii="Times New Roman;serif" w:hAnsi="Times New Roman;serif"/>
          <w:b w:val="false"/>
          <w:color w:val="000000"/>
          <w:sz w:val="20"/>
        </w:rPr>
        <w:t>No directors or officers entered into or terminated a “non-Rule 10b5-1 trading arrangement” as defined in Item 408(a)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required by Part III, Item 10, will be included in our Proxy Statement relating to our 2027 annual meeting of stockholders to be filed with the SEC within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required by Part III, Item 11, will be included in our Proxy Statement relating to our 2027 annual meeting of stockholders to be filed with the SEC within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required by Part III, Item 12, will be included in our Proxy Statement relating to our 2027 annual meeting of stockholders to be filed with the SEC within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3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required by Part III, Item 13, will be included in our Proxy Statement relating to our 2027 annual meeting of stockholders to be filed with the SEC within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KPMG LLP, Chicago, IL, Audit Firm ID: 185.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required by Part III, Item 14, will be included in our Proxy Statement relating to our 2027 annual meeting of stockholders to be filed with the SEC within 120 days after the end of our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(a)Documents Filed with Report</w:t>
      </w:r>
    </w:p>
    <w:p>
      <w:pPr>
        <w:pStyle w:val="TextBody"/>
        <w:bidi w:val="0"/>
        <w:spacing w:lineRule="auto" w:line="288" w:before="240" w:after="283"/>
        <w:ind w:left="0" w:right="0" w:hanging="360"/>
        <w:jc w:val="left"/>
        <w:rPr/>
      </w:pPr>
      <w:r>
        <w:rPr>
          <w:rFonts w:ascii="Times New Roman;serif" w:hAnsi="Times New Roman;serif"/>
          <w:b w:val="false"/>
          <w:color w:val="000000"/>
          <w:sz w:val="20"/>
        </w:rPr>
        <w:t>(1)</w:t>
      </w:r>
      <w:r>
        <w:rPr>
          <w:rFonts w:ascii="Times New Roman;serif" w:hAnsi="Times New Roman;serif"/>
          <w:b w:val="false"/>
          <w:i/>
          <w:color w:val="000000"/>
          <w:sz w:val="20"/>
        </w:rPr>
        <w:t>Financial Statements.</w:t>
      </w:r>
    </w:p>
    <w:tbl>
      <w:tblPr>
        <w:tblW w:w="10095" w:type="dxa"/>
        <w:jc w:val="left"/>
        <w:tblInd w:w="0" w:type="dxa"/>
        <w:tblLayout w:type="fixed"/>
        <w:tblCellMar>
          <w:top w:w="28" w:type="dxa"/>
          <w:left w:w="28" w:type="dxa"/>
          <w:bottom w:w="28" w:type="dxa"/>
          <w:right w:w="28" w:type="dxa"/>
        </w:tblCellMar>
      </w:tblPr>
      <w:tblGrid>
        <w:gridCol w:w="3504"/>
        <w:gridCol w:w="3076"/>
        <w:gridCol w:w="3095"/>
        <w:gridCol w:w="123"/>
        <w:gridCol w:w="123"/>
        <w:gridCol w:w="174"/>
      </w:tblGrid>
      <w:tr>
        <w:trPr/>
        <w:tc>
          <w:tcPr>
            <w:tcW w:w="3504"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82c24740058428a99f77768ccf6e7b5_151">
              <w:r>
                <w:rPr>
                  <w:rStyle w:val="InternetLink"/>
                  <w:rFonts w:ascii="Times New Roman;serif" w:hAnsi="Times New Roman;serif"/>
                  <w:b w:val="false"/>
                  <w:color w:val="0000FF"/>
                  <w:sz w:val="20"/>
                  <w:u w:val="single"/>
                </w:rPr>
                <w:t>Report of Independent Registered Public Accounting Firm</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F-</w:t>
            </w:r>
            <w:hyperlink w:anchor="ib82c24740058428a99f77768ccf6e7b5_151">
              <w:r>
                <w:rPr>
                  <w:rStyle w:val="InternetLink"/>
                  <w:rFonts w:ascii="Times New Roman;serif" w:hAnsi="Times New Roman;serif"/>
                  <w:b w:val="false"/>
                  <w:strike w:val="false"/>
                  <w:dstrike w:val="false"/>
                  <w:color w:val="000000"/>
                  <w:sz w:val="20"/>
                  <w:u w:val="none"/>
                  <w:effect w:val="none"/>
                </w:rPr>
                <w:t>2</w:t>
              </w:r>
            </w:hyperlink>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82c24740058428a99f77768ccf6e7b5_154">
              <w:r>
                <w:rPr>
                  <w:rStyle w:val="InternetLink"/>
                  <w:rFonts w:ascii="Times New Roman;serif" w:hAnsi="Times New Roman;serif"/>
                  <w:b w:val="false"/>
                  <w:color w:val="0000FF"/>
                  <w:sz w:val="20"/>
                  <w:u w:val="single"/>
                </w:rPr>
                <w:t>Consolidated Balance Sheets as of June 30, 2025 and 2026</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F-</w:t>
            </w:r>
            <w:hyperlink w:anchor="ib82c24740058428a99f77768ccf6e7b5_154">
              <w:r>
                <w:rPr>
                  <w:rStyle w:val="InternetLink"/>
                  <w:rFonts w:ascii="Times New Roman;serif" w:hAnsi="Times New Roman;serif"/>
                  <w:b w:val="false"/>
                  <w:strike w:val="false"/>
                  <w:dstrike w:val="false"/>
                  <w:color w:val="000000"/>
                  <w:sz w:val="20"/>
                  <w:u w:val="none"/>
                  <w:effect w:val="none"/>
                </w:rPr>
                <w:t>4</w:t>
              </w:r>
            </w:hyperlink>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82c24740058428a99f77768ccf6e7b5_157">
              <w:r>
                <w:rPr>
                  <w:rStyle w:val="InternetLink"/>
                  <w:rFonts w:ascii="Times New Roman;serif" w:hAnsi="Times New Roman;serif"/>
                  <w:b w:val="false"/>
                  <w:color w:val="0000FF"/>
                  <w:sz w:val="20"/>
                  <w:u w:val="single"/>
                </w:rPr>
                <w:t>Consolidated Statements of Operations and Comprehensive Income for the years ended June 30, 2024, 2025 and 2026</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F-</w:t>
            </w:r>
            <w:hyperlink w:anchor="ib82c24740058428a99f77768ccf6e7b5_157">
              <w:r>
                <w:rPr>
                  <w:rStyle w:val="InternetLink"/>
                  <w:rFonts w:ascii="Times New Roman;serif" w:hAnsi="Times New Roman;serif"/>
                  <w:b w:val="false"/>
                  <w:strike w:val="false"/>
                  <w:dstrike w:val="false"/>
                  <w:color w:val="000000"/>
                  <w:sz w:val="20"/>
                  <w:u w:val="none"/>
                  <w:effect w:val="none"/>
                </w:rPr>
                <w:t>5</w:t>
              </w:r>
            </w:hyperlink>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82c24740058428a99f77768ccf6e7b5_160">
              <w:r>
                <w:rPr>
                  <w:rStyle w:val="InternetLink"/>
                  <w:rFonts w:ascii="Times New Roman;serif" w:hAnsi="Times New Roman;serif"/>
                  <w:b w:val="false"/>
                  <w:color w:val="0000FF"/>
                  <w:sz w:val="20"/>
                  <w:u w:val="single"/>
                </w:rPr>
                <w:t>Consolidated Statements of Changes in Stockholders’ Equity for the years ended June 30, 2024, 2025 and 2026</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F-</w:t>
            </w:r>
            <w:hyperlink w:anchor="ib82c24740058428a99f77768ccf6e7b5_160">
              <w:r>
                <w:rPr>
                  <w:rStyle w:val="InternetLink"/>
                  <w:rFonts w:ascii="Times New Roman;serif" w:hAnsi="Times New Roman;serif"/>
                  <w:b w:val="false"/>
                  <w:strike w:val="false"/>
                  <w:dstrike w:val="false"/>
                  <w:color w:val="000000"/>
                  <w:sz w:val="20"/>
                  <w:u w:val="none"/>
                  <w:effect w:val="none"/>
                </w:rPr>
                <w:t>6</w:t>
              </w:r>
            </w:hyperlink>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82c24740058428a99f77768ccf6e7b5_163">
              <w:r>
                <w:rPr>
                  <w:rStyle w:val="InternetLink"/>
                  <w:rFonts w:ascii="Times New Roman;serif" w:hAnsi="Times New Roman;serif"/>
                  <w:b w:val="false"/>
                  <w:color w:val="0000FF"/>
                  <w:sz w:val="20"/>
                  <w:u w:val="single"/>
                </w:rPr>
                <w:t>Consolidated Statements of Cash Flows for the years ended June 30, 2024, 2025 and 2026</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F-</w:t>
            </w:r>
            <w:hyperlink w:anchor="ib82c24740058428a99f77768ccf6e7b5_163">
              <w:r>
                <w:rPr>
                  <w:rStyle w:val="InternetLink"/>
                  <w:rFonts w:ascii="Times New Roman;serif" w:hAnsi="Times New Roman;serif"/>
                  <w:b w:val="false"/>
                  <w:strike w:val="false"/>
                  <w:dstrike w:val="false"/>
                  <w:color w:val="000000"/>
                  <w:sz w:val="20"/>
                  <w:u w:val="none"/>
                  <w:effect w:val="none"/>
                </w:rPr>
                <w:t>7</w:t>
              </w:r>
            </w:hyperlink>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82c24740058428a99f77768ccf6e7b5_166">
              <w:r>
                <w:rPr>
                  <w:rStyle w:val="InternetLink"/>
                  <w:rFonts w:ascii="Times New Roman;serif" w:hAnsi="Times New Roman;serif"/>
                  <w:b w:val="false"/>
                  <w:color w:val="0000FF"/>
                  <w:sz w:val="20"/>
                  <w:u w:val="single"/>
                </w:rPr>
                <w:t>Notes to the Consolidated Financial Statements</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F-</w:t>
            </w:r>
            <w:hyperlink w:anchor="ib82c24740058428a99f77768ccf6e7b5_166">
              <w:r>
                <w:rPr>
                  <w:rStyle w:val="InternetLink"/>
                  <w:rFonts w:ascii="Times New Roman;serif" w:hAnsi="Times New Roman;serif"/>
                  <w:b w:val="false"/>
                  <w:strike w:val="false"/>
                  <w:dstrike w:val="false"/>
                  <w:color w:val="000000"/>
                  <w:sz w:val="20"/>
                  <w:u w:val="none"/>
                  <w:effect w:val="none"/>
                </w:rPr>
                <w:t>8</w:t>
              </w:r>
            </w:hyperlink>
          </w:p>
        </w:tc>
      </w:tr>
    </w:tbl>
    <w:p>
      <w:pPr>
        <w:pStyle w:val="TextBody"/>
        <w:bidi w:val="0"/>
        <w:spacing w:lineRule="auto" w:line="288" w:before="240" w:after="283"/>
        <w:ind w:left="0" w:right="0" w:hanging="360"/>
        <w:jc w:val="left"/>
        <w:rPr/>
      </w:pPr>
      <w:r>
        <w:rPr>
          <w:rFonts w:ascii="Times New Roman;serif" w:hAnsi="Times New Roman;serif"/>
          <w:b w:val="false"/>
          <w:color w:val="000000"/>
          <w:sz w:val="20"/>
        </w:rPr>
        <w:t>(2)</w:t>
      </w:r>
      <w:r>
        <w:rPr>
          <w:rFonts w:ascii="Times New Roman;serif" w:hAnsi="Times New Roman;serif"/>
          <w:b w:val="false"/>
          <w:i/>
          <w:color w:val="000000"/>
          <w:sz w:val="20"/>
        </w:rPr>
        <w:t>Exhibits.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on the Exhibit Index immediately following this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7"/>
        <w:gridCol w:w="227"/>
        <w:gridCol w:w="228"/>
        <w:gridCol w:w="109"/>
        <w:gridCol w:w="109"/>
        <w:gridCol w:w="109"/>
        <w:gridCol w:w="1728"/>
        <w:gridCol w:w="1517"/>
        <w:gridCol w:w="1451"/>
        <w:gridCol w:w="109"/>
        <w:gridCol w:w="109"/>
        <w:gridCol w:w="109"/>
        <w:gridCol w:w="175"/>
        <w:gridCol w:w="175"/>
        <w:gridCol w:w="176"/>
        <w:gridCol w:w="109"/>
        <w:gridCol w:w="109"/>
        <w:gridCol w:w="109"/>
        <w:gridCol w:w="339"/>
        <w:gridCol w:w="262"/>
        <w:gridCol w:w="233"/>
        <w:gridCol w:w="109"/>
        <w:gridCol w:w="109"/>
        <w:gridCol w:w="109"/>
        <w:gridCol w:w="210"/>
        <w:gridCol w:w="210"/>
        <w:gridCol w:w="211"/>
        <w:gridCol w:w="109"/>
        <w:gridCol w:w="109"/>
        <w:gridCol w:w="109"/>
        <w:gridCol w:w="356"/>
        <w:gridCol w:w="334"/>
        <w:gridCol w:w="481"/>
      </w:tblGrid>
      <w:tr>
        <w:trPr/>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71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1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Third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4, 2023</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Third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4, 2023</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Amended and Restated Investor Rights Agreement, dated June 29, 2012.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333-193661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30, 2014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Form of Indemnification Agreement for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333-193661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30, 2014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2014 Equity Incentive Plan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333-193661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14, 2014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Market Stock Units Notice of Grant and Award Agreement under the 2014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2020</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Form of Executive Restricted Stock Unit Notice of Grant and Award Agreement under 2014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2022</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Amended and Restated 2023 Equity Incentive Plan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5, 2025</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Form of Market Stock Unit Notice of Grant and Award Agreement under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4, 2023</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Form of Performance Stock Unit Notice of Grant and Award Agreement under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Form of Performance Stock Unit Notice of Grant and Award Agreement (California) under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Market Stock Unit Notice of Grant and Award Agreement under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Form of Market Stock Unit Notice of Grant and Award Agreement (California) under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of U.S. Executive Restricted Stock Unit Notice of Grant and Award Agreement under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5, 2025</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Form of U.S. Executive Restricted Stock Unit Notice of Grant and Award Agreement (for California Participants Executive and Board) under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5, 2025</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rFonts w:ascii="Times New Roman;serif" w:hAnsi="Times New Roman;serif"/>
                <w:b w:val="false"/>
                <w:color w:val="000000"/>
                <w:sz w:val="20"/>
              </w:rPr>
              <w:t>10.4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r:id="rId21">
              <w:r>
                <w:rPr>
                  <w:rStyle w:val="InternetLink"/>
                  <w:rFonts w:ascii="Times New Roman;serif" w:hAnsi="Times New Roman;serif"/>
                  <w:b w:val="false"/>
                  <w:color w:val="0000EE"/>
                  <w:sz w:val="20"/>
                  <w:u w:val="single"/>
                </w:rPr>
                <w:t>2014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333-193661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14, 2014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r:id="rId22">
              <w:r>
                <w:rPr>
                  <w:rStyle w:val="InternetLink"/>
                  <w:rFonts w:ascii="Times New Roman;serif" w:hAnsi="Times New Roman;serif"/>
                  <w:b w:val="false"/>
                  <w:color w:val="0000FF"/>
                  <w:sz w:val="20"/>
                  <w:u w:val="single"/>
                </w:rPr>
                <w:t>Second Amendment to Executive Employment Agreement between Paylocity Corporation and Steven R. Beauchamp, dated August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1"/>
        <w:gridCol w:w="230"/>
        <w:gridCol w:w="231"/>
        <w:gridCol w:w="109"/>
        <w:gridCol w:w="109"/>
        <w:gridCol w:w="109"/>
        <w:gridCol w:w="1879"/>
        <w:gridCol w:w="1603"/>
        <w:gridCol w:w="1578"/>
        <w:gridCol w:w="109"/>
        <w:gridCol w:w="109"/>
        <w:gridCol w:w="109"/>
        <w:gridCol w:w="170"/>
        <w:gridCol w:w="170"/>
        <w:gridCol w:w="171"/>
        <w:gridCol w:w="109"/>
        <w:gridCol w:w="109"/>
        <w:gridCol w:w="109"/>
        <w:gridCol w:w="238"/>
        <w:gridCol w:w="238"/>
        <w:gridCol w:w="203"/>
        <w:gridCol w:w="109"/>
        <w:gridCol w:w="109"/>
        <w:gridCol w:w="109"/>
        <w:gridCol w:w="210"/>
        <w:gridCol w:w="210"/>
        <w:gridCol w:w="211"/>
        <w:gridCol w:w="109"/>
        <w:gridCol w:w="109"/>
        <w:gridCol w:w="109"/>
        <w:gridCol w:w="369"/>
        <w:gridCol w:w="301"/>
        <w:gridCol w:w="297"/>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72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2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r:id="rId23">
              <w:r>
                <w:rPr>
                  <w:rStyle w:val="InternetLink"/>
                  <w:rFonts w:ascii="Times New Roman;serif" w:hAnsi="Times New Roman;serif"/>
                  <w:b w:val="false"/>
                  <w:color w:val="0000EE"/>
                  <w:sz w:val="20"/>
                  <w:u w:val="single"/>
                </w:rPr>
                <w:t>Amendment to Executive Employment Agreement between Paylocity Corporation and Toby J. Williams, dated August 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r:id="rId24">
              <w:r>
                <w:rPr>
                  <w:rStyle w:val="InternetLink"/>
                  <w:rFonts w:ascii="Times New Roman;serif" w:hAnsi="Times New Roman;serif"/>
                  <w:b w:val="false"/>
                  <w:color w:val="0000EE"/>
                  <w:sz w:val="20"/>
                  <w:u w:val="single"/>
                </w:rPr>
                <w:t>Amended and Restated Executive Employment Agreement between Paylocity Corporation and Ryan Glenn, dated March 11,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14, 2022</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Executive Employment Agreement between Paylocity Corporation and Joshua Scutt, dated August 16,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2023</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Executive Employment Agreement between Paylocity Corporation and Andrew Cappotelli, dated May 13,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2024</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Executive Employment Agreement between Paylocity Corporation and Melissa King, dated December 16,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cty-20260630xexx1011.htm">
              <w:r>
                <w:rPr>
                  <w:rStyle w:val="InternetLink"/>
                  <w:rFonts w:ascii="Times New Roman;serif" w:hAnsi="Times New Roman;serif"/>
                  <w:b w:val="false"/>
                  <w:color w:val="0000FF"/>
                  <w:sz w:val="20"/>
                  <w:u w:val="single"/>
                </w:rPr>
                <w:t>Executive Employment Agreement between Paylocity Corporation and Nicholas Rost, dated April 23,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Multi-Tenant Office Lease Agreement, dated June 1, 2016, by and between Paylocity Corporation and RPAI Schaumburg American Lane,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 2016</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erif" w:hAnsi="Times New Roman;serif"/>
                  <w:b w:val="false"/>
                  <w:color w:val="0000FF"/>
                  <w:sz w:val="20"/>
                  <w:u w:val="single"/>
                </w:rPr>
                <w:t>Amendments to Multi-Tenant Office Lease Agreement dated June 1, 2016 by and between Paylocity Corporation and RPAI Schaumburg American Lane, L.L.C. and Landmark Schaumburg Towers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9, 2024</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Credit Agreement by and among Paylocity Holding Corporation, the Guarantor party thereto, the Lenders party thereto, PNC Bank, National Association, as Administrative Agent, and PNC Capital Markets, LLC, as sole lead arranger and sole bookrunner, dated July 17,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July 17, 2019</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First Amendment to Credit Agreement and Security Agreement, dated as of August 19, 2022, by and among Paylocity Holding Corporation, the Guarantor party thereto, the Lenders party thereto, PNC Bank, National Association, as Administrative Agent, and PNC Capital Markets, LLC and JPMorgan Chase Bank, N.A., as joint lead arrangers and joint bookrunners.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22, 2022</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Second Amendment to Credit Agreement, dated as of October 1, 2024, by and among Paylocity Holding Corporation, the Guarantor party thereto, the Lenders party thereto, and PNC Bank, National Association,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7, 2025</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4"/>
        <w:gridCol w:w="241"/>
        <w:gridCol w:w="242"/>
        <w:gridCol w:w="109"/>
        <w:gridCol w:w="109"/>
        <w:gridCol w:w="109"/>
        <w:gridCol w:w="1687"/>
        <w:gridCol w:w="1639"/>
        <w:gridCol w:w="1502"/>
        <w:gridCol w:w="109"/>
        <w:gridCol w:w="109"/>
        <w:gridCol w:w="109"/>
        <w:gridCol w:w="170"/>
        <w:gridCol w:w="170"/>
        <w:gridCol w:w="171"/>
        <w:gridCol w:w="109"/>
        <w:gridCol w:w="109"/>
        <w:gridCol w:w="109"/>
        <w:gridCol w:w="245"/>
        <w:gridCol w:w="245"/>
        <w:gridCol w:w="213"/>
        <w:gridCol w:w="109"/>
        <w:gridCol w:w="109"/>
        <w:gridCol w:w="109"/>
        <w:gridCol w:w="210"/>
        <w:gridCol w:w="210"/>
        <w:gridCol w:w="211"/>
        <w:gridCol w:w="109"/>
        <w:gridCol w:w="109"/>
        <w:gridCol w:w="109"/>
        <w:gridCol w:w="331"/>
        <w:gridCol w:w="331"/>
        <w:gridCol w:w="478"/>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75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5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Agreement and Plan of Merger, dated August 29, 2024, by and among Paylocity Corporation, Project Alpine Merger Sub, Inc. Airbase Inc and Shareholder Representative Services LLC</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Paylocity Holding Corporation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pcty-20260630xexx211.htm">
              <w:r>
                <w:rPr>
                  <w:rStyle w:val="InternetLink"/>
                  <w:rFonts w:ascii="Times New Roman;serif" w:hAnsi="Times New Roman;serif"/>
                  <w:b w:val="false"/>
                  <w:color w:val="0000EE"/>
                  <w:sz w:val="20"/>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pcty-20260630xexx231.htm">
              <w:r>
                <w:rPr>
                  <w:rStyle w:val="InternetLink"/>
                  <w:rFonts w:ascii="Times New Roman;serif" w:hAnsi="Times New Roman;serif"/>
                  <w:b w:val="false"/>
                  <w:color w:val="0000EE"/>
                  <w:sz w:val="20"/>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45">
              <w:r>
                <w:rPr>
                  <w:rStyle w:val="InternetLink"/>
                  <w:rFonts w:ascii="Times New Roman;serif" w:hAnsi="Times New Roman;serif"/>
                  <w:b w:val="false"/>
                  <w:color w:val="0000FF"/>
                  <w:sz w:val="20"/>
                  <w:u w:val="single"/>
                </w:rPr>
                <w:t>Power of Attorney (included on the signature page of this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pcty-20260630xexx311.htm">
              <w:r>
                <w:rPr>
                  <w:rStyle w:val="InternetLink"/>
                  <w:rFonts w:ascii="Times New Roman;serif" w:hAnsi="Times New Roman;serif"/>
                  <w:b w:val="false"/>
                  <w:color w:val="0000EE"/>
                  <w:sz w:val="20"/>
                  <w:u w:val="single"/>
                </w:rPr>
                <w:t>Certification of Chief Executive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pcty-20260630xexx312.htm">
              <w:r>
                <w:rPr>
                  <w:rStyle w:val="InternetLink"/>
                  <w:rFonts w:ascii="Times New Roman;serif" w:hAnsi="Times New Roman;serif"/>
                  <w:b w:val="false"/>
                  <w:color w:val="0000EE"/>
                  <w:sz w:val="20"/>
                  <w:u w:val="single"/>
                </w:rPr>
                <w:t>Certification of Chief Financial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pcty-20260630xexx321.htm">
              <w:r>
                <w:rPr>
                  <w:rStyle w:val="InternetLink"/>
                  <w:rFonts w:ascii="Times New Roman;serif" w:hAnsi="Times New Roman;serif"/>
                  <w:b w:val="false"/>
                  <w:color w:val="0000EE"/>
                  <w:sz w:val="20"/>
                  <w:u w:val="single"/>
                </w:rPr>
                <w:t>Certification of Chief Executive Officer Required Under Rule 13a-14(a) and 15d-14(a) of the Securities Exchange Act of 1934, as amended, and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pcty-20260630xexx322.htm">
              <w:r>
                <w:rPr>
                  <w:rStyle w:val="InternetLink"/>
                  <w:rFonts w:ascii="Times New Roman;serif" w:hAnsi="Times New Roman;serif"/>
                  <w:b w:val="false"/>
                  <w:color w:val="0000EE"/>
                  <w:sz w:val="20"/>
                  <w:u w:val="single"/>
                </w:rPr>
                <w:t>Certification of Chief Financial Officer Required Under Rule 13a-14(a) and 15d-14(a) of the Securities Exchange Act of 1934, as amended, and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r:id="rId35">
              <w:r>
                <w:rPr>
                  <w:rStyle w:val="InternetLink"/>
                  <w:rFonts w:ascii="Times New Roman;serif" w:hAnsi="Times New Roman;serif"/>
                  <w:b w:val="false"/>
                  <w:color w:val="0000FF"/>
                  <w:sz w:val="20"/>
                  <w:u w:val="single"/>
                </w:rPr>
                <w:t>Paylocity Holding Corporation Policy for Recovery of Erroneously Awarded Incentive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001-36348</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1738"/>
        <w:gridCol w:w="1717"/>
        <w:gridCol w:w="1723"/>
        <w:gridCol w:w="109"/>
        <w:gridCol w:w="109"/>
        <w:gridCol w:w="109"/>
        <w:gridCol w:w="170"/>
        <w:gridCol w:w="170"/>
        <w:gridCol w:w="171"/>
        <w:gridCol w:w="109"/>
        <w:gridCol w:w="109"/>
        <w:gridCol w:w="109"/>
        <w:gridCol w:w="188"/>
        <w:gridCol w:w="188"/>
        <w:gridCol w:w="190"/>
        <w:gridCol w:w="109"/>
        <w:gridCol w:w="109"/>
        <w:gridCol w:w="109"/>
        <w:gridCol w:w="210"/>
        <w:gridCol w:w="210"/>
        <w:gridCol w:w="211"/>
        <w:gridCol w:w="109"/>
        <w:gridCol w:w="109"/>
        <w:gridCol w:w="109"/>
        <w:gridCol w:w="240"/>
        <w:gridCol w:w="240"/>
        <w:gridCol w:w="347"/>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5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5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Management contract, compensatory plan or arrangement.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938" w:type="dxa"/>
        <w:jc w:val="left"/>
        <w:tblInd w:w="0" w:type="dxa"/>
        <w:tblLayout w:type="fixed"/>
        <w:tblCellMar>
          <w:top w:w="28" w:type="dxa"/>
          <w:left w:w="28" w:type="dxa"/>
          <w:bottom w:w="28" w:type="dxa"/>
          <w:right w:w="28" w:type="dxa"/>
        </w:tblCellMar>
      </w:tblPr>
      <w:tblGrid>
        <w:gridCol w:w="667"/>
        <w:gridCol w:w="587"/>
        <w:gridCol w:w="590"/>
        <w:gridCol w:w="588"/>
        <w:gridCol w:w="588"/>
        <w:gridCol w:w="588"/>
        <w:gridCol w:w="1848"/>
        <w:gridCol w:w="1848"/>
        <w:gridCol w:w="26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color w:val="000000"/>
                <w:sz w:val="20"/>
              </w:rPr>
            </w:pPr>
            <w:r>
              <w:rPr>
                <w:rFonts w:ascii="Times New Roman;serif" w:hAnsi="Times New Roman;serif"/>
                <w:b/>
                <w:color w:val="000000"/>
                <w:sz w:val="20"/>
              </w:rPr>
              <w:t>PAYLOCITY HOLDING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76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330"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/s/ Toby J. Williams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Toby J. Williams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(Principal Executive Officer) and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 AND POWER OF ATTORNEY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Each person whose individual signature appears below hereby authorizes and appoints Steven R. Beauchamp, Toby J. Williams and Ryan Glenn,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w:t>
      </w:r>
    </w:p>
    <w:tbl>
      <w:tblPr>
        <w:tblW w:w="10205" w:type="dxa"/>
        <w:jc w:val="left"/>
        <w:tblInd w:w="0" w:type="dxa"/>
        <w:tblLayout w:type="fixed"/>
        <w:tblCellMar>
          <w:top w:w="28" w:type="dxa"/>
          <w:left w:w="28" w:type="dxa"/>
          <w:bottom w:w="28" w:type="dxa"/>
          <w:right w:w="28" w:type="dxa"/>
        </w:tblCellMar>
      </w:tblPr>
      <w:tblGrid>
        <w:gridCol w:w="741"/>
        <w:gridCol w:w="626"/>
        <w:gridCol w:w="632"/>
        <w:gridCol w:w="109"/>
        <w:gridCol w:w="109"/>
        <w:gridCol w:w="109"/>
        <w:gridCol w:w="2085"/>
        <w:gridCol w:w="2067"/>
        <w:gridCol w:w="2093"/>
        <w:gridCol w:w="109"/>
        <w:gridCol w:w="109"/>
        <w:gridCol w:w="109"/>
        <w:gridCol w:w="380"/>
        <w:gridCol w:w="380"/>
        <w:gridCol w:w="547"/>
      </w:tblGrid>
      <w:tr>
        <w:trPr/>
        <w:tc>
          <w:tcPr>
            <w:tcW w:w="74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Toby J.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vMerge w:val="restart"/>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Toby J.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Ryan Glenn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Rost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vMerge w:val="restart"/>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Treasurer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Nicholas Rost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R. Beauchamp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Steven R. Beauchamp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Linda M. Breard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Linda M. Breard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Virginia G. Breen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Virginia G. Breen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Craig A. Conway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Craig A. Conway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Robin L. Pederson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Robin L. Pederson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Andres D. Reiner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Andres D. Reiner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B.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Kenneth B.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I. Sarowitz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1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Steven I. Sarowitz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4869" w:type="dxa"/>
        <w:jc w:val="left"/>
        <w:tblInd w:w="0" w:type="dxa"/>
        <w:tblLayout w:type="fixed"/>
        <w:tblCellMar>
          <w:top w:w="28" w:type="dxa"/>
          <w:left w:w="28" w:type="dxa"/>
          <w:bottom w:w="28" w:type="dxa"/>
          <w:right w:w="28" w:type="dxa"/>
        </w:tblCellMar>
      </w:tblPr>
      <w:tblGrid>
        <w:gridCol w:w="744"/>
        <w:gridCol w:w="653"/>
        <w:gridCol w:w="658"/>
        <w:gridCol w:w="109"/>
        <w:gridCol w:w="109"/>
        <w:gridCol w:w="109"/>
        <w:gridCol w:w="255"/>
        <w:gridCol w:w="255"/>
        <w:gridCol w:w="256"/>
        <w:gridCol w:w="109"/>
        <w:gridCol w:w="109"/>
        <w:gridCol w:w="109"/>
        <w:gridCol w:w="407"/>
        <w:gridCol w:w="407"/>
        <w:gridCol w:w="580"/>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V. Waters,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Ronald V. Waters,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185" w:type="dxa"/>
        <w:jc w:val="left"/>
        <w:tblInd w:w="0" w:type="dxa"/>
        <w:tblLayout w:type="fixed"/>
        <w:tblCellMar>
          <w:top w:w="28" w:type="dxa"/>
          <w:left w:w="28" w:type="dxa"/>
          <w:bottom w:w="28" w:type="dxa"/>
          <w:right w:w="28" w:type="dxa"/>
        </w:tblCellMar>
      </w:tblPr>
      <w:tblGrid>
        <w:gridCol w:w="3506"/>
        <w:gridCol w:w="3081"/>
        <w:gridCol w:w="3087"/>
        <w:gridCol w:w="149"/>
        <w:gridCol w:w="149"/>
        <w:gridCol w:w="213"/>
      </w:tblGrid>
      <w:tr>
        <w:trPr/>
        <w:tc>
          <w:tcPr>
            <w:tcW w:w="3506"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5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pPr>
            <w:hyperlink w:anchor="ib82c24740058428a99f77768ccf6e7b5_151">
              <w:r>
                <w:rPr>
                  <w:rStyle w:val="InternetLink"/>
                  <w:rFonts w:ascii="Times New Roman;serif" w:hAnsi="Times New Roman;serif"/>
                  <w:b w:val="false"/>
                  <w:color w:val="0000FF"/>
                  <w:sz w:val="20"/>
                  <w:u w:val="single"/>
                </w:rPr>
                <w:t>Report of Independent Registered Public Accounting Firm</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center"/>
              <w:rPr/>
            </w:pPr>
            <w:r>
              <w:rPr>
                <w:rFonts w:ascii="Times New Roman;serif" w:hAnsi="Times New Roman;serif"/>
                <w:b w:val="false"/>
                <w:color w:val="000000"/>
                <w:sz w:val="20"/>
              </w:rPr>
              <w:t>F-</w:t>
            </w:r>
            <w:hyperlink w:anchor="ib82c24740058428a99f77768ccf6e7b5_151">
              <w:r>
                <w:rPr>
                  <w:rStyle w:val="InternetLink"/>
                  <w:rFonts w:ascii="Times New Roman;serif" w:hAnsi="Times New Roman;serif"/>
                  <w:b w:val="false"/>
                  <w:strike w:val="false"/>
                  <w:dstrike w:val="false"/>
                  <w:color w:val="000000"/>
                  <w:sz w:val="20"/>
                  <w:u w:val="none"/>
                  <w:effect w:val="none"/>
                </w:rPr>
                <w:t>2</w:t>
              </w:r>
            </w:hyperlink>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2c24740058428a99f77768ccf6e7b5_154">
              <w:r>
                <w:rPr>
                  <w:rStyle w:val="InternetLink"/>
                  <w:rFonts w:ascii="Times New Roman;serif" w:hAnsi="Times New Roman;serif"/>
                  <w:b w:val="false"/>
                  <w:color w:val="0000FF"/>
                  <w:sz w:val="20"/>
                  <w:u w:val="single"/>
                </w:rPr>
                <w:t>Consolidated Balance Sheets as of June 30, 2025 and 2026</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center"/>
              <w:rPr/>
            </w:pPr>
            <w:r>
              <w:rPr>
                <w:rFonts w:ascii="Times New Roman;serif" w:hAnsi="Times New Roman;serif"/>
                <w:b w:val="false"/>
                <w:color w:val="000000"/>
                <w:sz w:val="20"/>
              </w:rPr>
              <w:t>F-</w:t>
            </w:r>
            <w:hyperlink w:anchor="ib82c24740058428a99f77768ccf6e7b5_154">
              <w:r>
                <w:rPr>
                  <w:rStyle w:val="InternetLink"/>
                  <w:rFonts w:ascii="Times New Roman;serif" w:hAnsi="Times New Roman;serif"/>
                  <w:b w:val="false"/>
                  <w:strike w:val="false"/>
                  <w:dstrike w:val="false"/>
                  <w:color w:val="000000"/>
                  <w:sz w:val="20"/>
                  <w:u w:val="none"/>
                  <w:effect w:val="none"/>
                </w:rPr>
                <w:t>4</w:t>
              </w:r>
            </w:hyperlink>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2c24740058428a99f77768ccf6e7b5_157">
              <w:r>
                <w:rPr>
                  <w:rStyle w:val="InternetLink"/>
                  <w:rFonts w:ascii="Times New Roman;serif" w:hAnsi="Times New Roman;serif"/>
                  <w:b w:val="false"/>
                  <w:color w:val="0000FF"/>
                  <w:sz w:val="20"/>
                  <w:u w:val="single"/>
                </w:rPr>
                <w:t>Consolidated Statements of Operations and Comprehensive Income for the years ended June 30, 2024, 2025 and 2026</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center"/>
              <w:rPr/>
            </w:pPr>
            <w:r>
              <w:rPr>
                <w:rFonts w:ascii="Times New Roman;serif" w:hAnsi="Times New Roman;serif"/>
                <w:b w:val="false"/>
                <w:color w:val="000000"/>
                <w:sz w:val="20"/>
              </w:rPr>
              <w:t>F-</w:t>
            </w:r>
            <w:hyperlink w:anchor="ib82c24740058428a99f77768ccf6e7b5_157">
              <w:r>
                <w:rPr>
                  <w:rStyle w:val="InternetLink"/>
                  <w:rFonts w:ascii="Times New Roman;serif" w:hAnsi="Times New Roman;serif"/>
                  <w:b w:val="false"/>
                  <w:strike w:val="false"/>
                  <w:dstrike w:val="false"/>
                  <w:color w:val="000000"/>
                  <w:sz w:val="20"/>
                  <w:u w:val="none"/>
                  <w:effect w:val="none"/>
                </w:rPr>
                <w:t>5</w:t>
              </w:r>
            </w:hyperlink>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2c24740058428a99f77768ccf6e7b5_160">
              <w:r>
                <w:rPr>
                  <w:rStyle w:val="InternetLink"/>
                  <w:rFonts w:ascii="Times New Roman;serif" w:hAnsi="Times New Roman;serif"/>
                  <w:b w:val="false"/>
                  <w:color w:val="0000FF"/>
                  <w:sz w:val="20"/>
                  <w:u w:val="single"/>
                </w:rPr>
                <w:t>Consolidated Statements of Changes in Stockholders’ Equity for the years ended June 30, 2024, 2025 and 2026</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center"/>
              <w:rPr/>
            </w:pPr>
            <w:r>
              <w:rPr>
                <w:rFonts w:ascii="Times New Roman;serif" w:hAnsi="Times New Roman;serif"/>
                <w:b w:val="false"/>
                <w:color w:val="000000"/>
                <w:sz w:val="20"/>
              </w:rPr>
              <w:t>F-</w:t>
            </w:r>
            <w:hyperlink w:anchor="ib82c24740058428a99f77768ccf6e7b5_160">
              <w:r>
                <w:rPr>
                  <w:rStyle w:val="InternetLink"/>
                  <w:rFonts w:ascii="Times New Roman;serif" w:hAnsi="Times New Roman;serif"/>
                  <w:b w:val="false"/>
                  <w:strike w:val="false"/>
                  <w:dstrike w:val="false"/>
                  <w:color w:val="000000"/>
                  <w:sz w:val="20"/>
                  <w:u w:val="none"/>
                  <w:effect w:val="none"/>
                </w:rPr>
                <w:t>6</w:t>
              </w:r>
            </w:hyperlink>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2c24740058428a99f77768ccf6e7b5_163">
              <w:r>
                <w:rPr>
                  <w:rStyle w:val="InternetLink"/>
                  <w:rFonts w:ascii="Times New Roman;serif" w:hAnsi="Times New Roman;serif"/>
                  <w:b w:val="false"/>
                  <w:color w:val="0000FF"/>
                  <w:sz w:val="20"/>
                  <w:u w:val="single"/>
                </w:rPr>
                <w:t>Consolidated Statements of Cash Flows for the years ended June 30, 2024, 2025 and 2026</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center"/>
              <w:rPr/>
            </w:pPr>
            <w:r>
              <w:rPr>
                <w:rFonts w:ascii="Times New Roman;serif" w:hAnsi="Times New Roman;serif"/>
                <w:b w:val="false"/>
                <w:color w:val="000000"/>
                <w:sz w:val="20"/>
              </w:rPr>
              <w:t>F-</w:t>
            </w:r>
            <w:hyperlink w:anchor="ib82c24740058428a99f77768ccf6e7b5_163">
              <w:r>
                <w:rPr>
                  <w:rStyle w:val="InternetLink"/>
                  <w:rFonts w:ascii="Times New Roman;serif" w:hAnsi="Times New Roman;serif"/>
                  <w:b w:val="false"/>
                  <w:strike w:val="false"/>
                  <w:dstrike w:val="false"/>
                  <w:color w:val="000000"/>
                  <w:sz w:val="20"/>
                  <w:u w:val="none"/>
                  <w:effect w:val="none"/>
                </w:rPr>
                <w:t>7</w:t>
              </w:r>
            </w:hyperlink>
          </w:p>
        </w:tc>
      </w:tr>
      <w:tr>
        <w:trPr/>
        <w:tc>
          <w:tcPr>
            <w:tcW w:w="9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2c24740058428a99f77768ccf6e7b5_166">
              <w:r>
                <w:rPr>
                  <w:rStyle w:val="InternetLink"/>
                  <w:rFonts w:ascii="Times New Roman;serif" w:hAnsi="Times New Roman;serif"/>
                  <w:b w:val="false"/>
                  <w:color w:val="0000FF"/>
                  <w:sz w:val="20"/>
                  <w:u w:val="single"/>
                </w:rPr>
                <w:t>Notes to the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center"/>
              <w:rPr/>
            </w:pPr>
            <w:r>
              <w:rPr>
                <w:rFonts w:ascii="Times New Roman;serif" w:hAnsi="Times New Roman;serif"/>
                <w:b w:val="false"/>
                <w:color w:val="000000"/>
                <w:sz w:val="20"/>
              </w:rPr>
              <w:t>F-</w:t>
            </w:r>
            <w:hyperlink w:anchor="ib82c24740058428a99f77768ccf6e7b5_166">
              <w:r>
                <w:rPr>
                  <w:rStyle w:val="InternetLink"/>
                  <w:rFonts w:ascii="Times New Roman;serif" w:hAnsi="Times New Roman;serif"/>
                  <w:b w:val="false"/>
                  <w:strike w:val="false"/>
                  <w:dstrike w:val="false"/>
                  <w:color w:val="000000"/>
                  <w:sz w:val="20"/>
                  <w:u w:val="non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Opinions on the Consolidated Financial Statements and Internal Control Over Financial Reporting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Paylocity Holding Corporation and subsidiaries (the Company) as of June 30, 2026 and 2025, the related consolidated statements of operations and comprehensive income, changes in stockholders’ equity, and cash flows for each of the years in the three-year period ended June 30, 2026, and the related notes (collectively, the consolidated financial statements). We also have audited the Company’s internal control over financial reporting as of June 30, 2026, based on criteria established in Internal Control – Integrated Framework (2013) issued by the Committee of Sponsoring Organizations of the Treadway Commission.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June 30, 2026 and 2025, and the results of its operations and its cash flows for each of the years in the three-year period ended June 30, 2026, in conformity with U.S. generally accepted accounting principles. Also in our opinion, the Company maintained, in all material respects, effective internal control over financial reporting as of June 30, 2026 based on criteria established in Internal Control – Integrated Framework (2013) issued by the Committee of Sponsoring Organizations of the Treadway Commission.</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Basis for Opinions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0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Capitalized internal-use software development costs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Notes 2 and 8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$143.6 million as of June 30, 2026. The Company capitalized approximately $81.8 million of internal-use software costs during the year ended June 30,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identified the determination of capitalized internal-use software development costs as a critical audit matter because of the degree of subjectivity involved in assessing which projects met the capitalization criteria.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are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 sample of the Company’s capitalized costs by confirming the nature of the activities performed with individual software developers.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2013.</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776"/>
        <w:gridCol w:w="2258"/>
        <w:gridCol w:w="2205"/>
        <w:gridCol w:w="211"/>
        <w:gridCol w:w="976"/>
        <w:gridCol w:w="109"/>
        <w:gridCol w:w="109"/>
        <w:gridCol w:w="109"/>
        <w:gridCol w:w="109"/>
        <w:gridCol w:w="211"/>
        <w:gridCol w:w="976"/>
        <w:gridCol w:w="156"/>
      </w:tblGrid>
      <w:tr>
        <w:trPr/>
        <w:tc>
          <w:tcPr>
            <w:tcW w:w="27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before funds held for clients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607,832 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512,552 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3,210,504 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3,311,969 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3,723,056 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w:t>
              <w:noBreakHyphen/>
              <w:t>term 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4,884,358 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before client fund obligations</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210,428 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211,223 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Client fund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3,209,015 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2,905,270 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3,420,238 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3,155,681 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3,662,941 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5,000 authorized, no shares issued and outstanding at June 30, 2025 and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155,000 shares authorized at June 30, 2025 and June 30, 2026; 55,366 shares issued and outstanding at June 30, 2025 and 53,271 shares issued and outstanding at June 30,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1,233,747 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1,221,417 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4,884,358 </w:t>
            </w:r>
          </w:p>
        </w:tc>
        <w:tc>
          <w:tcPr>
            <w:tcW w:w="1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061" w:type="dxa"/>
        <w:jc w:val="left"/>
        <w:tblInd w:w="0" w:type="dxa"/>
        <w:tblLayout w:type="fixed"/>
        <w:tblCellMar>
          <w:top w:w="28" w:type="dxa"/>
          <w:left w:w="28" w:type="dxa"/>
          <w:bottom w:w="28" w:type="dxa"/>
          <w:right w:w="28" w:type="dxa"/>
        </w:tblCellMar>
      </w:tblPr>
      <w:tblGrid>
        <w:gridCol w:w="1984"/>
        <w:gridCol w:w="1739"/>
        <w:gridCol w:w="1751"/>
        <w:gridCol w:w="211"/>
        <w:gridCol w:w="976"/>
        <w:gridCol w:w="109"/>
        <w:gridCol w:w="109"/>
        <w:gridCol w:w="109"/>
        <w:gridCol w:w="109"/>
        <w:gridCol w:w="211"/>
        <w:gridCol w:w="976"/>
        <w:gridCol w:w="109"/>
        <w:gridCol w:w="109"/>
        <w:gridCol w:w="109"/>
        <w:gridCol w:w="109"/>
        <w:gridCol w:w="211"/>
        <w:gridCol w:w="976"/>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474" w:type="dxa"/>
            <w:gridSpan w:val="3"/>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1,402,515 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1,595,221 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1,771,326 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960,786 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1,096,998 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1,225,502 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700,693 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792,974 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839,509 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304,024 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385,993 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277,015 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309,063 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387,303 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206,766 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227,127 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269,741 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(6,822)</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210,345 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233,654 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262,919 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56,976 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56,550 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54,770 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834"/>
        <w:gridCol w:w="499"/>
        <w:gridCol w:w="501"/>
        <w:gridCol w:w="323"/>
        <w:gridCol w:w="323"/>
        <w:gridCol w:w="196"/>
        <w:gridCol w:w="109"/>
        <w:gridCol w:w="109"/>
        <w:gridCol w:w="109"/>
        <w:gridCol w:w="212"/>
        <w:gridCol w:w="359"/>
        <w:gridCol w:w="120"/>
        <w:gridCol w:w="109"/>
        <w:gridCol w:w="109"/>
        <w:gridCol w:w="109"/>
        <w:gridCol w:w="196"/>
        <w:gridCol w:w="736"/>
        <w:gridCol w:w="109"/>
        <w:gridCol w:w="109"/>
        <w:gridCol w:w="109"/>
        <w:gridCol w:w="109"/>
        <w:gridCol w:w="204"/>
        <w:gridCol w:w="909"/>
        <w:gridCol w:w="113"/>
        <w:gridCol w:w="109"/>
        <w:gridCol w:w="109"/>
        <w:gridCol w:w="109"/>
        <w:gridCol w:w="382"/>
        <w:gridCol w:w="1114"/>
        <w:gridCol w:w="213"/>
        <w:gridCol w:w="109"/>
        <w:gridCol w:w="109"/>
        <w:gridCol w:w="109"/>
        <w:gridCol w:w="196"/>
        <w:gridCol w:w="871"/>
        <w:gridCol w:w="160"/>
      </w:tblGrid>
      <w:tr>
        <w:trPr/>
        <w:tc>
          <w:tcPr>
            <w:tcW w:w="83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2023</w:t>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55,912 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380,632 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466,690 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(4,515)</w:t>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842,863 </w:t>
            </w:r>
          </w:p>
        </w:tc>
        <w:tc>
          <w:tcPr>
            <w:tcW w:w="16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163,602 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settlement for taxes and/or exercise price related to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(150,340)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securities,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206,766 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206,766 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2024</w:t>
            </w:r>
          </w:p>
        </w:tc>
        <w:tc>
          <w:tcPr>
            <w:tcW w:w="64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55,514 </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360,488 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673,456 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(936)</w:t>
            </w:r>
          </w:p>
        </w:tc>
        <w:tc>
          <w:tcPr>
            <w:tcW w:w="2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1,033,064 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157,337 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equity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settlement for taxes and/or exercise price related to equity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common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(149,957)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securities,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227,127 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227,127 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64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55,366 </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327,518 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900,583 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5,591 </w:t>
            </w:r>
          </w:p>
        </w:tc>
        <w:tc>
          <w:tcPr>
            <w:tcW w:w="2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1,233,747 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151,422 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settlement for taxes related to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(43,686)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(401,205)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(401,207)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losses on securities,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(6,257)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269,741 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269,741 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64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53,271 </w:t>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52,271 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1,170,324 </w:t>
            </w:r>
          </w:p>
        </w:tc>
        <w:tc>
          <w:tcPr>
            <w:tcW w:w="11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(1,231)</w:t>
            </w:r>
          </w:p>
        </w:tc>
        <w:tc>
          <w:tcPr>
            <w:tcW w:w="21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1,221,417 </w:t>
            </w:r>
          </w:p>
        </w:tc>
        <w:tc>
          <w:tcPr>
            <w:tcW w:w="16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00"/>
        <w:gridCol w:w="1830"/>
        <w:gridCol w:w="1846"/>
        <w:gridCol w:w="196"/>
        <w:gridCol w:w="871"/>
        <w:gridCol w:w="109"/>
        <w:gridCol w:w="109"/>
        <w:gridCol w:w="109"/>
        <w:gridCol w:w="109"/>
        <w:gridCol w:w="196"/>
        <w:gridCol w:w="871"/>
        <w:gridCol w:w="109"/>
        <w:gridCol w:w="109"/>
        <w:gridCol w:w="109"/>
        <w:gridCol w:w="109"/>
        <w:gridCol w:w="196"/>
        <w:gridCol w:w="871"/>
        <w:gridCol w:w="156"/>
      </w:tblGrid>
      <w:tr>
        <w:trPr/>
        <w:tc>
          <w:tcPr>
            <w:tcW w:w="230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amortization of premiums (accretion of discounts) on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(47,933)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418,226 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533,252 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(304,465)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(260,997)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(271,378)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and maturities of available-for-sale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272,115 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internal-use software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(69,302)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businesses, net of cash and funds held for clients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(49,183)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(101,891)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(455,548)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(154,793)</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client fund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(297,923)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(398,113)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(43,686)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141,578 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(325,821)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8,981 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funds held for clients' cash and cash equivalents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424,357 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(363,143)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387,440 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funds held for clients' cash and cash equivalents—beginning of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2,845,669 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2,482,526 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funds held for clients' cash and cash equivalents—end of year</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2,845,669 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2,482,526 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2,869,966 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Investing and Financing Activities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and internal-use software, accrued but not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assumed for acquisitions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55,730 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4,037 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cash, cash equivalents and funds held for clients' cash and cash equivalents to the Consolidated Balance Sheets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Funds held for clients'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2,598,049 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funds held for clients' cash and cash equivalents</w:t>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2,845,669 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2,482,526 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2,869,966 </w:t>
            </w:r>
          </w:p>
        </w:tc>
        <w:tc>
          <w:tcPr>
            <w:tcW w:w="1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amounts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 (the “Company”) is a cloud-based provider of human capital management (“HCM”), finance and IT software solutions. Services are provided in a Software-as-a-Service (“SaaS”) delivery model. The Company offers a product suite that enables businesses streamline HR, finance, and IT operations, manage spend and talent, and build culture and connection with artificial intelligence (“AI”) embedded directly into everyday workflows.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 xml:space="preserve">(a) </w:t>
      </w:r>
      <w:r>
        <w:rPr>
          <w:rFonts w:ascii="Times New Roman;serif" w:hAnsi="Times New Roman;serif"/>
          <w:b/>
          <w:i/>
          <w:color w:val="000000"/>
          <w:sz w:val="20"/>
        </w:rPr>
        <w:t>Basis of Presentation, Consolidation, and 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of the Company have been prepared pursuant to the rules and regulations of the United States Securities and Exchange Commission (the “SEC”).</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 owned subsidiaries. All intercompany accounts and transactions have been eliminated in consolidation.</w:t>
      </w:r>
    </w:p>
    <w:p>
      <w:pPr>
        <w:pStyle w:val="TextBody"/>
        <w:bidi w:val="0"/>
        <w:spacing w:lineRule="auto" w:line="288" w:before="240" w:after="283"/>
        <w:jc w:val="left"/>
        <w:rPr/>
      </w:pPr>
      <w:r>
        <w:rPr>
          <w:rFonts w:ascii="Times New Roman;serif" w:hAnsi="Times New Roman;serif"/>
          <w:b w:val="false"/>
          <w:color w:val="000000"/>
          <w:sz w:val="20"/>
        </w:rPr>
        <w:t xml:space="preserve">(b) </w:t>
      </w:r>
      <w:r>
        <w:rPr>
          <w:rFonts w:ascii="Times New Roman;serif" w:hAnsi="Times New Roman;serif"/>
          <w:b/>
          <w:i/>
          <w:color w:val="000000"/>
          <w:sz w:val="20"/>
        </w:rPr>
        <w:t>Concentrations of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pStyle w:val="TextBody"/>
        <w:bidi w:val="0"/>
        <w:spacing w:lineRule="auto" w:line="288" w:before="240" w:after="283"/>
        <w:jc w:val="left"/>
        <w:rPr/>
      </w:pPr>
      <w:r>
        <w:rPr>
          <w:rFonts w:ascii="Times New Roman;serif" w:hAnsi="Times New Roman;serif"/>
          <w:b w:val="false"/>
          <w:color w:val="000000"/>
          <w:sz w:val="20"/>
        </w:rPr>
        <w:t xml:space="preserve">(c) </w:t>
      </w:r>
      <w:r>
        <w:rPr>
          <w:rFonts w:ascii="Times New Roman;serif" w:hAnsi="Times New Roman;serif"/>
          <w:b/>
          <w:i/>
          <w:color w:val="000000"/>
          <w:sz w:val="20"/>
        </w:rPr>
        <w:t>Cash and Cash Equivalents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when purchased to be cash equivalents. Any interest earned on the Company’s cash and cash equivalents is reported as Other income (expense) in the Consolidated Statements of Operations and Comprehensive Income.</w:t>
      </w:r>
    </w:p>
    <w:p>
      <w:pPr>
        <w:pStyle w:val="TextBody"/>
        <w:bidi w:val="0"/>
        <w:spacing w:lineRule="auto" w:line="288" w:before="240" w:after="283"/>
        <w:jc w:val="left"/>
        <w:rPr/>
      </w:pPr>
      <w:r>
        <w:rPr>
          <w:rFonts w:ascii="Times New Roman;serif" w:hAnsi="Times New Roman;serif"/>
          <w:b w:val="false"/>
          <w:color w:val="000000"/>
          <w:sz w:val="20"/>
        </w:rPr>
        <w:t xml:space="preserve">(d) </w:t>
      </w:r>
      <w:r>
        <w:rPr>
          <w:rFonts w:ascii="Times New Roman;serif" w:hAnsi="Times New Roman;serif"/>
          <w:b/>
          <w:i/>
          <w:color w:val="000000"/>
          <w:sz w:val="20"/>
        </w:rPr>
        <w:t>Funds Held For Clients and Client Fund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obtains funds from clients in advance of performing payroll, payroll tax filing and spend management services on behalf of those clients. Funds held for clients represent assets that are used solely for the purposes of satisfying the obligations to remit funds relating to payroll, payroll tax filing and spend management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in the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whether a decline in an individual security’s fair value as compared to its amortized cost basis resulted from credit loss or other factors. If the Company determines that an individual security’s unrealized loss results from credit impairment, it compares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2024, 2025 or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Client fund obligations represent the Company’s contractual obligations to remit funds to satisfy clients’ payroll, tax and spend management payment obligations and are recorded in the accompanying Consolidated Balance Sheets at the time that the Company obtains funds from clients. The client fund obligations represent liabilities that will be repaid within one year of the balance sheet date.</w:t>
      </w:r>
    </w:p>
    <w:p>
      <w:pPr>
        <w:pStyle w:val="TextBody"/>
        <w:bidi w:val="0"/>
        <w:spacing w:lineRule="auto" w:line="288" w:before="240" w:after="283"/>
        <w:jc w:val="left"/>
        <w:rPr/>
      </w:pPr>
      <w:r>
        <w:rPr>
          <w:rFonts w:ascii="Times New Roman;serif" w:hAnsi="Times New Roman;serif"/>
          <w:b w:val="false"/>
          <w:color w:val="000000"/>
          <w:sz w:val="20"/>
        </w:rPr>
        <w:t xml:space="preserve">(e) </w:t>
      </w:r>
      <w:r>
        <w:rPr>
          <w:rFonts w:ascii="Times New Roman;serif" w:hAnsi="Times New Roman;serif"/>
          <w:b/>
          <w:i/>
          <w:color w:val="000000"/>
          <w:sz w:val="20"/>
        </w:rPr>
        <w:t>Accounts Receivable,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is comprised of trade receivables, accrued interest on funds held for clients and other receivables. Trade receivables are recorded at the invoiced amount and do not bear interest. Amounts collected on accounts receivable are generally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pStyle w:val="TextBody"/>
        <w:bidi w:val="0"/>
        <w:spacing w:lineRule="auto" w:line="288" w:before="240" w:after="283"/>
        <w:jc w:val="left"/>
        <w:rPr/>
      </w:pPr>
      <w:r>
        <w:rPr>
          <w:rFonts w:ascii="Times New Roman;serif" w:hAnsi="Times New Roman;serif"/>
          <w:b w:val="false"/>
          <w:color w:val="000000"/>
          <w:sz w:val="20"/>
        </w:rPr>
        <w:t xml:space="preserve">(f) </w:t>
      </w:r>
      <w:r>
        <w:rPr>
          <w:rFonts w:ascii="Times New Roman;serif" w:hAnsi="Times New Roman;serif"/>
          <w:b/>
          <w:i/>
          <w:color w:val="000000"/>
          <w:sz w:val="20"/>
        </w:rPr>
        <w:t>Deferred Contract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the portfolio approach to account for both the cost of obtaining a contract and the cost of fulfilling a contract. These capitalized costs are amortized over the expected period of benefit, which the Company increased from 7 years to </w:t>
      </w:r>
      <w:bookmarkStart w:id="2" w:name="i40d6cbae6dbb43c4a1330927d525bad9_17132"/>
      <w:bookmarkEnd w:id="2"/>
      <w:r>
        <w:rPr>
          <w:rFonts w:ascii="Times New Roman;serif" w:hAnsi="Times New Roman;serif"/>
          <w:b w:val="false"/>
          <w:color w:val="000000"/>
          <w:sz w:val="20"/>
        </w:rPr>
        <w:t>8 years effective June 30, 2026, on a prospective basis, based on the Company’s average client life and growth of term contract renewals beyond their initial terms. This change did not impact the Company’s financial statements for the fiscal year ended June 30, 2026.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 Management evaluates deferred contract costs for impairment if changes in circumstances occur that could impact the recoverability of the costs to obtain or fulfill contracts with the Company’s customers.</w:t>
      </w:r>
    </w:p>
    <w:p>
      <w:pPr>
        <w:pStyle w:val="TextBody"/>
        <w:bidi w:val="0"/>
        <w:spacing w:lineRule="auto" w:line="288" w:before="240" w:after="283"/>
        <w:jc w:val="left"/>
        <w:rPr/>
      </w:pPr>
      <w:r>
        <w:rPr>
          <w:rFonts w:ascii="Times New Roman;serif" w:hAnsi="Times New Roman;serif"/>
          <w:b w:val="false"/>
          <w:color w:val="000000"/>
          <w:sz w:val="20"/>
        </w:rPr>
        <w:t xml:space="preserve">(g) </w:t>
      </w:r>
      <w:r>
        <w:rPr>
          <w:rFonts w:ascii="Times New Roman;serif" w:hAnsi="Times New Roman;serif"/>
          <w:b/>
          <w:i/>
          <w:color w:val="000000"/>
          <w:sz w:val="20"/>
        </w:rPr>
        <w:t>Capitalized</w:t>
      </w:r>
      <w:r>
        <w:rPr>
          <w:color w:val="000000"/>
        </w:rPr>
        <w:t xml:space="preserve"> </w:t>
      </w:r>
      <w:r>
        <w:rPr>
          <w:rFonts w:ascii="Times New Roman;serif" w:hAnsi="Times New Roman;serif"/>
          <w:b/>
          <w:i/>
          <w:color w:val="000000"/>
          <w:sz w:val="20"/>
        </w:rPr>
        <w:t>Internal-Use Software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capitalizes internal-use software costs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costs are amortized on a straight-line basis over their estimated useful lives, which are generally two to three years while certain projects that support the Company’s main processing activities have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estimated useful life of ten years. Management evaluates the useful lives of these assets on an annual basis and tests for impairment whenever events or changes in circumstances occur that could impact the recoverability of these assets.</w:t>
      </w:r>
    </w:p>
    <w:p>
      <w:pPr>
        <w:pStyle w:val="TextBody"/>
        <w:bidi w:val="0"/>
        <w:spacing w:lineRule="auto" w:line="288" w:before="240" w:after="283"/>
        <w:jc w:val="left"/>
        <w:rPr/>
      </w:pPr>
      <w:r>
        <w:rPr>
          <w:rFonts w:ascii="Times New Roman;serif" w:hAnsi="Times New Roman;serif"/>
          <w:b w:val="false"/>
          <w:color w:val="000000"/>
          <w:sz w:val="20"/>
        </w:rPr>
        <w:t xml:space="preserve">(h) </w:t>
      </w:r>
      <w:r>
        <w:rPr>
          <w:rFonts w:ascii="Times New Roman;serif" w:hAnsi="Times New Roman;serif"/>
          <w:b/>
          <w:i/>
          <w:color w:val="000000"/>
          <w:sz w:val="20"/>
        </w:rPr>
        <w:t>Property and Equipment and Long-Lived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pStyle w:val="TextBody"/>
        <w:bidi w:val="0"/>
        <w:spacing w:lineRule="auto" w:line="288" w:before="240" w:after="283"/>
        <w:jc w:val="left"/>
        <w:rPr/>
      </w:pPr>
      <w:r>
        <w:rPr>
          <w:rFonts w:ascii="Times New Roman;serif" w:hAnsi="Times New Roman;serif"/>
          <w:b w:val="false"/>
          <w:color w:val="000000"/>
          <w:sz w:val="20"/>
        </w:rPr>
        <w:t xml:space="preserve">(i) </w:t>
      </w:r>
      <w:r>
        <w:rPr>
          <w:rFonts w:ascii="Times New Roman;serif" w:hAnsi="Times New Roman;serif"/>
          <w:b/>
          <w:i/>
          <w:color w:val="000000"/>
          <w:sz w:val="20"/>
        </w:rPr>
        <w:t>Business Combinations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in accordance with ASC 805, Business Combinations using the acquisition method of accounting. It allocates the purchase price consideration associated with its acquisitions to the fair values of assets acquired and liabilities assumed at their respective acquisition dates, with the excess recorded to goodwill. Estimating the fair values of assets acquired and liabilities assumed requires the use of significant judgments and estimates, which are inherently uncertain and subject to refinement as additional information becomes available. Adjustments to the fair values of assets acquired and liabilities assumed may be recorded during the measurement period, which may be up to one year from the acquisition date, with the corresponding offset to goodwill. The Company may engage a valuation specialist to assist in the fair value measurement of assets acquired and liabilities assumed for each acquisition.</w:t>
      </w:r>
    </w:p>
    <w:p>
      <w:pPr>
        <w:pStyle w:val="TextBody"/>
        <w:bidi w:val="0"/>
        <w:spacing w:lineRule="auto" w:line="288" w:before="240" w:after="283"/>
        <w:jc w:val="left"/>
        <w:rPr/>
      </w:pPr>
      <w:r>
        <w:rPr>
          <w:rFonts w:ascii="Times New Roman;serif" w:hAnsi="Times New Roman;serif"/>
          <w:b w:val="false"/>
          <w:color w:val="000000"/>
          <w:sz w:val="20"/>
        </w:rPr>
        <w:t xml:space="preserve">(j) </w:t>
      </w:r>
      <w:r>
        <w:rPr>
          <w:rFonts w:ascii="Times New Roman;serif" w:hAnsi="Times New Roman;serif"/>
          <w:b/>
          <w:i/>
          <w:color w:val="000000"/>
          <w:sz w:val="20"/>
        </w:rPr>
        <w:t>Intangible Assets, Net of Accumulated Amortization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are comprised primarily of acquired client relationships, proprietary technology, trade names and non-solicitation agreements and are reported net of accumulated amortization on the Consolidated Balance Sheets. The Company uses the straight-line method of amortization to amortize client relationships over a five to nine-year period from the date of acquisition, proprietary technology over a five to seven-year period from the date of acquisition and trade names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pStyle w:val="TextBody"/>
        <w:bidi w:val="0"/>
        <w:spacing w:lineRule="auto" w:line="288" w:before="240" w:after="283"/>
        <w:jc w:val="left"/>
        <w:rPr/>
      </w:pPr>
      <w:r>
        <w:rPr>
          <w:rFonts w:ascii="Times New Roman;serif" w:hAnsi="Times New Roman;serif"/>
          <w:b w:val="false"/>
          <w:color w:val="000000"/>
          <w:sz w:val="20"/>
        </w:rPr>
        <w:t xml:space="preserve">(k) </w:t>
      </w:r>
      <w:r>
        <w:rPr>
          <w:rFonts w:ascii="Times New Roman;serif" w:hAnsi="Times New Roman;serif"/>
          <w:b/>
          <w:i/>
          <w:color w:val="000000"/>
          <w:sz w:val="20"/>
        </w:rPr>
        <w:t>Goodwill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performs its annual impairment review of goodwill in its fiscal fourth quarter or when a triggering event occurs between annual impairment tests. No impairment was recorded in fiscal 2024, 2025 or 2026 as a result of the Company’s qualitative assessments over its single reporting unit.</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(l) </w:t>
      </w:r>
      <w:r>
        <w:rPr>
          <w:rFonts w:ascii="Times New Roman;serif" w:hAnsi="Times New Roman;serif"/>
          <w:b/>
          <w:i/>
          <w:color w:val="000000"/>
          <w:sz w:val="20"/>
        </w:rPr>
        <w:t>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right-of-use assets and Operating lease liabilities when it is reasonably certain it will exercise such options. Leases with an initial term of 12 months or less are not recorded on the balance sheet. Lease expense is recognized on a straight-line basis over the expected lease term.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lessor, such as insurance, taxes, and common area maintenance, payments based on the usage of the asset, and rental payments adjusted periodically for inflation. Variable payments are expensed as incurred and included within variable lease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material residual value guarantees, restrictions, or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 xml:space="preserve">(m) </w:t>
      </w:r>
      <w:r>
        <w:rPr>
          <w:rFonts w:ascii="Times New Roman;serif" w:hAnsi="Times New Roman;serif"/>
          <w:b/>
          <w:i/>
          <w:color w:val="000000"/>
          <w:sz w:val="20"/>
        </w:rPr>
        <w:t>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14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(n) </w:t>
      </w:r>
      <w:r>
        <w:rPr>
          <w:rFonts w:ascii="Times New Roman;serif" w:hAnsi="Times New Roman;serif"/>
          <w:b/>
          <w:i/>
          <w:color w:val="000000"/>
          <w:sz w:val="20"/>
        </w:rPr>
        <w:t>Share Repurchases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retires all shares repurchased pursuant to its approved share repurchase program (the "Repurchase Program"). The Company records the share purchase price and the amount of any excise taxes payable on shares repurchased as a reduction of Additional paid-in capital on its Consolidated Balance Sheets. If the Company exhausts Additional paid-in capital, it will record the excess as a reduction to Retained earnings. For more information on the Repurchase Program, refer to Note 15.</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 </w:t>
      </w:r>
      <w:r>
        <w:rPr>
          <w:rFonts w:ascii="Times New Roman;serif" w:hAnsi="Times New Roman;serif"/>
          <w:b/>
          <w:i/>
          <w:color w:val="000000"/>
          <w:sz w:val="20"/>
        </w:rPr>
        <w:t>Revenue Recognition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 transfers control of goods or services to a customer in an amount that reflects the consideration to which it expects to be entitled to for those goods or services based on the following five steps: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1)Identify the contract with a customer;</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2)Identify the performance obligations in the contract;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3)Determine the transaction price;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4)Allocate the transaction price to performance obligations in the contract;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5)Recognize revenue when or as the Company satisfies a performance obligation.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derives its revenue from contracts substantially all from recurring service fees. While the majority of its agreements are generally cancellable by the client on 60 days’ notice or less, the Company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HCM-related software solutions, including employee management and benefits enrollment and administration, substantially all of which are delivered on a monthly basis.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As a result, implementation fees are deferred and amortized generally over a period up to 24 months.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taxes collected from clients and remitted to governmental authorities where applicable are accounted for on a net basis and therefore are excluded from revenues in the Consolidated Statements of Operations and Comprehensive Income.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earned on funds held for clients is recognized in Interest income on funds held for clients when earned as the collection, holding and remittance of these funds are components of providing services to clients.</w:t>
      </w:r>
    </w:p>
    <w:p>
      <w:pPr>
        <w:pStyle w:val="TextBody"/>
        <w:bidi w:val="0"/>
        <w:spacing w:lineRule="auto" w:line="288" w:before="240" w:after="283"/>
        <w:jc w:val="left"/>
        <w:rPr/>
      </w:pPr>
      <w:r>
        <w:rPr>
          <w:rFonts w:ascii="Times New Roman;serif" w:hAnsi="Times New Roman;serif"/>
          <w:b w:val="false"/>
          <w:color w:val="000000"/>
          <w:sz w:val="20"/>
        </w:rPr>
        <w:t xml:space="preserve">(p) </w:t>
      </w:r>
      <w:r>
        <w:rPr>
          <w:rFonts w:ascii="Times New Roman;serif" w:hAnsi="Times New Roman;serif"/>
          <w:b/>
          <w:i/>
          <w:color w:val="000000"/>
          <w:sz w:val="20"/>
        </w:rPr>
        <w:t>Cost of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revenues consists primarily of employee-related costs for ongoing client support and implementation activities and also includes amortization of capitalized internal-use software and certain acquired intangibles. The Company generally expenses these costs when incurred except for costs related to the implementation of the Company’s proprietary products. These costs are capitalized and amortized over the expected period of benefit, which the Company increased from 7 years to 8 years effective June 30, 2026, on a prospective basis.</w:t>
      </w:r>
    </w:p>
    <w:p>
      <w:pPr>
        <w:pStyle w:val="TextBody"/>
        <w:bidi w:val="0"/>
        <w:spacing w:before="24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(q) </w:t>
      </w:r>
      <w:r>
        <w:rPr>
          <w:rFonts w:ascii="Times New Roman;serif" w:hAnsi="Times New Roman;serif"/>
          <w:b/>
          <w:i/>
          <w:color w:val="000000"/>
          <w:sz w:val="20"/>
        </w:rPr>
        <w:t>Advertising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Advertising costs amounted to $22,414, $19,803 and $21,307 for the years ended June 30, 2024, 2025 and 2026, respectively.</w:t>
      </w:r>
    </w:p>
    <w:p>
      <w:pPr>
        <w:pStyle w:val="TextBody"/>
        <w:bidi w:val="0"/>
        <w:spacing w:lineRule="auto" w:line="288" w:before="240" w:after="283"/>
        <w:jc w:val="left"/>
        <w:rPr/>
      </w:pPr>
      <w:r>
        <w:rPr>
          <w:rFonts w:ascii="Times New Roman;serif" w:hAnsi="Times New Roman;serif"/>
          <w:b w:val="false"/>
          <w:color w:val="000000"/>
          <w:sz w:val="20"/>
        </w:rPr>
        <w:t xml:space="preserve">(r) </w:t>
      </w:r>
      <w:r>
        <w:rPr>
          <w:rFonts w:ascii="Times New Roman;serif" w:hAnsi="Times New Roman;serif"/>
          <w:b/>
          <w:i/>
          <w:color w:val="000000"/>
          <w:sz w:val="20"/>
        </w:rPr>
        <w:t>Stock-Based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as a cost in the financial statements. Equity-classified awards, comprised of restricted stock units, performance stock units and market share units, are measured at the grant date fair value of each award and expense is recognized, net of assumed forfeitures, on a straight-line basis over the requisite service period for each separately vesting portion of each award. For market share units, the Company estimates grant date fair value using a discrete model based on multiple stock price-paths developed through the use of Monte Carlo simulation. For estimated shares purchasable under the 2014 Employee Stock Purchase Plan (“ESPP”), the Company estimates grant date fair value using the Black-Scholes option-pricing model and recognizes applicable expense on a straight-line basis over each purchase period. The Company may update the assumed forfeiture rates based on historical experience as appropriate.</w:t>
      </w:r>
    </w:p>
    <w:p>
      <w:pPr>
        <w:pStyle w:val="TextBody"/>
        <w:bidi w:val="0"/>
        <w:spacing w:lineRule="auto" w:line="288" w:before="240" w:after="283"/>
        <w:jc w:val="left"/>
        <w:rPr/>
      </w:pPr>
      <w:r>
        <w:rPr>
          <w:rFonts w:ascii="Times New Roman;serif" w:hAnsi="Times New Roman;serif"/>
          <w:b w:val="false"/>
          <w:color w:val="000000"/>
          <w:sz w:val="20"/>
        </w:rPr>
        <w:t xml:space="preserve">(s) </w:t>
      </w:r>
      <w:r>
        <w:rPr>
          <w:rFonts w:ascii="Times New Roman;serif" w:hAnsi="Times New Roman;serif"/>
          <w:b/>
          <w:i/>
          <w:color w:val="000000"/>
          <w:sz w:val="20"/>
        </w:rPr>
        <w:t>Commitments and Contingencies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lineRule="auto" w:line="288" w:before="240" w:after="283"/>
        <w:jc w:val="left"/>
        <w:rPr/>
      </w:pPr>
      <w:r>
        <w:rPr>
          <w:rFonts w:ascii="Times New Roman;serif" w:hAnsi="Times New Roman;serif"/>
          <w:b w:val="false"/>
          <w:color w:val="000000"/>
          <w:sz w:val="20"/>
        </w:rPr>
        <w:t xml:space="preserve">(t) </w:t>
      </w:r>
      <w:r>
        <w:rPr>
          <w:rFonts w:ascii="Times New Roman;serif" w:hAnsi="Times New Roman;serif"/>
          <w:b/>
          <w:i/>
          <w:color w:val="000000"/>
          <w:sz w:val="20"/>
        </w:rPr>
        <w:t>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reviews the financial results of the Company in total when evaluating financial performance and for purposes of allocating resources. The Company has thus determined that it operates in a single operating and reportable segment.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(u)</w:t>
      </w:r>
      <w:r>
        <w:rPr>
          <w:color w:val="000000"/>
        </w:rPr>
        <w:t xml:space="preserve"> </w:t>
      </w:r>
      <w:r>
        <w:rPr>
          <w:rFonts w:ascii="Times New Roman;serif" w:hAnsi="Times New Roman;serif"/>
          <w:b/>
          <w:i/>
          <w:color w:val="000000"/>
          <w:sz w:val="20"/>
        </w:rPr>
        <w:t>Recently Adopted Accounting Standards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Company adopted this ASU on a prospective basis for the fiscal year ended June 30, 2026. Refer to Note 14 for the Company’s disclosures under this standard.</w:t>
      </w:r>
    </w:p>
    <w:p>
      <w:pPr>
        <w:pStyle w:val="TextBody"/>
        <w:bidi w:val="0"/>
        <w:spacing w:lineRule="auto" w:line="288" w:before="240" w:after="283"/>
        <w:jc w:val="left"/>
        <w:rPr/>
      </w:pPr>
      <w:r>
        <w:rPr>
          <w:rFonts w:ascii="Times New Roman;serif" w:hAnsi="Times New Roman;serif"/>
          <w:b w:val="false"/>
          <w:color w:val="000000"/>
          <w:sz w:val="20"/>
        </w:rPr>
        <w:t xml:space="preserve">(v) </w:t>
      </w:r>
      <w:r>
        <w:rPr>
          <w:rFonts w:ascii="Times New Roman;serif" w:hAnsi="Times New Roman;serif"/>
          <w:b/>
          <w:i/>
          <w:color w:val="000000"/>
          <w:sz w:val="20"/>
        </w:rPr>
        <w:t>Recently Issued Accounting Standards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2025-06, Intangibles - Goodwill and Other - Internal-Use Software (Subtopic 350-40): Targeted Improvements to the Accounting for Internal-Use Software ("ASU 2025-06"). ASU 2025-06 removes all references to software development stages in existing guidance and, instead, requires the capitalization of software development costs when the Company's management has authorized and committed to funding a project and it is probable the project will be completed and the software will be used to perform its intended function. This ASU may be applied on a prospective, retrospective or on a modified transition basis based on project and capitalization status before the adoption date. This ASU is effective for all fiscal years beginning after December 15, 2027 and interim periods beginning within those annual reporting periods, with early adoption permitted as of the beginning of an annual reporting period. The Company is currently assessing the impact of this ASU on its consolidated financial statements and is evaluating the method and timing of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revenue by Recurring fees and Implementation services and other, which the Company believes depicts the nature, amount and timing of its revenue:</w:t>
      </w:r>
    </w:p>
    <w:tbl>
      <w:tblPr>
        <w:tblW w:w="7087" w:type="dxa"/>
        <w:jc w:val="left"/>
        <w:tblInd w:w="0" w:type="dxa"/>
        <w:tblLayout w:type="fixed"/>
        <w:tblCellMar>
          <w:top w:w="28" w:type="dxa"/>
          <w:left w:w="28" w:type="dxa"/>
          <w:bottom w:w="28" w:type="dxa"/>
          <w:right w:w="28" w:type="dxa"/>
        </w:tblCellMar>
      </w:tblPr>
      <w:tblGrid>
        <w:gridCol w:w="1052"/>
        <w:gridCol w:w="924"/>
        <w:gridCol w:w="934"/>
        <w:gridCol w:w="229"/>
        <w:gridCol w:w="463"/>
        <w:gridCol w:w="468"/>
        <w:gridCol w:w="109"/>
        <w:gridCol w:w="109"/>
        <w:gridCol w:w="109"/>
        <w:gridCol w:w="229"/>
        <w:gridCol w:w="463"/>
        <w:gridCol w:w="468"/>
        <w:gridCol w:w="109"/>
        <w:gridCol w:w="109"/>
        <w:gridCol w:w="109"/>
        <w:gridCol w:w="227"/>
        <w:gridCol w:w="402"/>
        <w:gridCol w:w="57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fees</w:t>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1,587,508</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Implementation services and other</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63,854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from contracts</w:t>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1,651,362</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tbl>
      <w:tblPr>
        <w:tblW w:w="5552" w:type="dxa"/>
        <w:jc w:val="left"/>
        <w:tblInd w:w="0" w:type="dxa"/>
        <w:tblLayout w:type="fixed"/>
        <w:tblCellMar>
          <w:top w:w="28" w:type="dxa"/>
          <w:left w:w="28" w:type="dxa"/>
          <w:bottom w:w="28" w:type="dxa"/>
          <w:right w:w="28" w:type="dxa"/>
        </w:tblCellMar>
      </w:tblPr>
      <w:tblGrid>
        <w:gridCol w:w="999"/>
        <w:gridCol w:w="879"/>
        <w:gridCol w:w="882"/>
        <w:gridCol w:w="336"/>
        <w:gridCol w:w="459"/>
        <w:gridCol w:w="338"/>
        <w:gridCol w:w="147"/>
        <w:gridCol w:w="147"/>
        <w:gridCol w:w="147"/>
        <w:gridCol w:w="361"/>
        <w:gridCol w:w="434"/>
        <w:gridCol w:w="423"/>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year</w:t>
            </w:r>
          </w:p>
        </w:tc>
        <w:tc>
          <w:tcPr>
            <w:tcW w:w="3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28,306</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revenue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48,468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52,542</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(45,045)</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(45,399)</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year</w:t>
            </w:r>
          </w:p>
        </w:tc>
        <w:tc>
          <w:tcPr>
            <w:tcW w:w="33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35,449</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related to these nonrefundable upfront fees are recorded within Accrued expenses and Other long-term liabilities on the Consolidated Balance Sheets. The Company expects to recognize these deferred revenue balances of $26,430 in fiscal 2027, $7,942 in fiscal 2028, and $1,077 thereafter.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Deferred contract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deferred contract costs balances and the related amortization expense for these deferred contract costs:</w:t>
      </w:r>
    </w:p>
    <w:tbl>
      <w:tblPr>
        <w:tblW w:w="8337" w:type="dxa"/>
        <w:jc w:val="left"/>
        <w:tblInd w:w="0" w:type="dxa"/>
        <w:tblLayout w:type="fixed"/>
        <w:tblCellMar>
          <w:top w:w="28" w:type="dxa"/>
          <w:left w:w="28" w:type="dxa"/>
          <w:bottom w:w="28" w:type="dxa"/>
          <w:right w:w="28" w:type="dxa"/>
        </w:tblCellMar>
      </w:tblPr>
      <w:tblGrid>
        <w:gridCol w:w="929"/>
        <w:gridCol w:w="814"/>
        <w:gridCol w:w="821"/>
        <w:gridCol w:w="406"/>
        <w:gridCol w:w="388"/>
        <w:gridCol w:w="393"/>
        <w:gridCol w:w="109"/>
        <w:gridCol w:w="109"/>
        <w:gridCol w:w="109"/>
        <w:gridCol w:w="457"/>
        <w:gridCol w:w="388"/>
        <w:gridCol w:w="393"/>
        <w:gridCol w:w="109"/>
        <w:gridCol w:w="109"/>
        <w:gridCol w:w="109"/>
        <w:gridCol w:w="211"/>
        <w:gridCol w:w="901"/>
        <w:gridCol w:w="109"/>
        <w:gridCol w:w="109"/>
        <w:gridCol w:w="109"/>
        <w:gridCol w:w="109"/>
        <w:gridCol w:w="320"/>
        <w:gridCol w:w="339"/>
        <w:gridCol w:w="487"/>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 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Capitalized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Ending </w:t>
              <w:br/>
              <w:t>Balance</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to obtain a new contract</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(61,327)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282,090</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to fulfill a contract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228,758</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(109,128)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510,848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8337" w:type="dxa"/>
        <w:jc w:val="left"/>
        <w:tblInd w:w="0" w:type="dxa"/>
        <w:tblLayout w:type="fixed"/>
        <w:tblCellMar>
          <w:top w:w="28" w:type="dxa"/>
          <w:left w:w="28" w:type="dxa"/>
          <w:bottom w:w="28" w:type="dxa"/>
          <w:right w:w="28" w:type="dxa"/>
        </w:tblCellMar>
      </w:tblPr>
      <w:tblGrid>
        <w:gridCol w:w="929"/>
        <w:gridCol w:w="814"/>
        <w:gridCol w:w="821"/>
        <w:gridCol w:w="406"/>
        <w:gridCol w:w="388"/>
        <w:gridCol w:w="393"/>
        <w:gridCol w:w="109"/>
        <w:gridCol w:w="109"/>
        <w:gridCol w:w="109"/>
        <w:gridCol w:w="457"/>
        <w:gridCol w:w="388"/>
        <w:gridCol w:w="393"/>
        <w:gridCol w:w="109"/>
        <w:gridCol w:w="109"/>
        <w:gridCol w:w="109"/>
        <w:gridCol w:w="211"/>
        <w:gridCol w:w="901"/>
        <w:gridCol w:w="109"/>
        <w:gridCol w:w="109"/>
        <w:gridCol w:w="109"/>
        <w:gridCol w:w="109"/>
        <w:gridCol w:w="320"/>
        <w:gridCol w:w="339"/>
        <w:gridCol w:w="487"/>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 2026</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Capitalized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Ending </w:t>
              <w:br/>
              <w:t>Balance</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to obtain a new contract</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(71,559)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311,784</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to fulfill a contract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247,402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(128,792)</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559,186</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contract costs are recorded within Deferred contract costs and Long-term deferred contract costs on the Consolidated Balance Sheets. Amortization of deferred contract costs is primarily recorded in Cost of revenues and Sales and marketing in the Consolidated Statements of Operations and Comprehensive Income. The Company did not record any impairment losses associated with its deferred contract costs during the years ended June 30, 2024, 2025 or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value of the Company’s remaining performance obligations related to minimum monthly fees on its term-based contracts was approximately $237,614 as of June 30, 2026, which will be generally recognized over the next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Cash and Cash Equivalents and Funds Held for Clients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Funds held for clients consisted of the following:</w:t>
      </w:r>
    </w:p>
    <w:tbl>
      <w:tblPr>
        <w:tblW w:w="10205" w:type="dxa"/>
        <w:jc w:val="left"/>
        <w:tblInd w:w="0" w:type="dxa"/>
        <w:tblLayout w:type="fixed"/>
        <w:tblCellMar>
          <w:top w:w="28" w:type="dxa"/>
          <w:left w:w="28" w:type="dxa"/>
          <w:bottom w:w="28" w:type="dxa"/>
          <w:right w:w="28" w:type="dxa"/>
        </w:tblCellMar>
      </w:tblPr>
      <w:tblGrid>
        <w:gridCol w:w="1263"/>
        <w:gridCol w:w="954"/>
        <w:gridCol w:w="962"/>
        <w:gridCol w:w="109"/>
        <w:gridCol w:w="109"/>
        <w:gridCol w:w="109"/>
        <w:gridCol w:w="533"/>
        <w:gridCol w:w="463"/>
        <w:gridCol w:w="468"/>
        <w:gridCol w:w="109"/>
        <w:gridCol w:w="109"/>
        <w:gridCol w:w="109"/>
        <w:gridCol w:w="703"/>
        <w:gridCol w:w="410"/>
        <w:gridCol w:w="363"/>
        <w:gridCol w:w="109"/>
        <w:gridCol w:w="109"/>
        <w:gridCol w:w="109"/>
        <w:gridCol w:w="707"/>
        <w:gridCol w:w="381"/>
        <w:gridCol w:w="366"/>
        <w:gridCol w:w="109"/>
        <w:gridCol w:w="109"/>
        <w:gridCol w:w="109"/>
        <w:gridCol w:w="343"/>
        <w:gridCol w:w="401"/>
        <w:gridCol w:w="580"/>
      </w:tblGrid>
      <w:tr>
        <w:trPr/>
        <w:tc>
          <w:tcPr>
            <w:tcW w:w="126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Type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7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398,070</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2,084,456</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378,592</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52,178</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61,687</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85,264</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17,272</w:t>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24,688</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619,681</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3,094,627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3,102,207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6"/>
        <w:gridCol w:w="942"/>
        <w:gridCol w:w="951"/>
        <w:gridCol w:w="109"/>
        <w:gridCol w:w="109"/>
        <w:gridCol w:w="109"/>
        <w:gridCol w:w="531"/>
        <w:gridCol w:w="463"/>
        <w:gridCol w:w="468"/>
        <w:gridCol w:w="109"/>
        <w:gridCol w:w="109"/>
        <w:gridCol w:w="109"/>
        <w:gridCol w:w="697"/>
        <w:gridCol w:w="409"/>
        <w:gridCol w:w="361"/>
        <w:gridCol w:w="109"/>
        <w:gridCol w:w="109"/>
        <w:gridCol w:w="109"/>
        <w:gridCol w:w="702"/>
        <w:gridCol w:w="433"/>
        <w:gridCol w:w="363"/>
        <w:gridCol w:w="109"/>
        <w:gridCol w:w="109"/>
        <w:gridCol w:w="109"/>
        <w:gridCol w:w="341"/>
        <w:gridCol w:w="401"/>
        <w:gridCol w:w="579"/>
      </w:tblGrid>
      <w:tr>
        <w:trPr/>
        <w:tc>
          <w:tcPr>
            <w:tcW w:w="125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Type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271,917</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2,598,049</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505,670</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38,977</w:t>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38,822</w:t>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28,986</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612,455</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3,483,307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3,482,421</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available-for-sale securities were included in Funds held for clients at June 30, 2025 and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funds held for clients’ cash and cash equivalents included demand deposit accounts and money market funds as of June 30, 2025 and 2026.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Classification of investments on the consolidated balance sheets was as follows:</w:t>
      </w:r>
    </w:p>
    <w:tbl>
      <w:tblPr>
        <w:tblW w:w="4954" w:type="dxa"/>
        <w:jc w:val="left"/>
        <w:tblInd w:w="0" w:type="dxa"/>
        <w:tblLayout w:type="fixed"/>
        <w:tblCellMar>
          <w:top w:w="28" w:type="dxa"/>
          <w:left w:w="28" w:type="dxa"/>
          <w:bottom w:w="28" w:type="dxa"/>
          <w:right w:w="28" w:type="dxa"/>
        </w:tblCellMar>
      </w:tblPr>
      <w:tblGrid>
        <w:gridCol w:w="820"/>
        <w:gridCol w:w="720"/>
        <w:gridCol w:w="724"/>
        <w:gridCol w:w="229"/>
        <w:gridCol w:w="462"/>
        <w:gridCol w:w="469"/>
        <w:gridCol w:w="109"/>
        <w:gridCol w:w="109"/>
        <w:gridCol w:w="109"/>
        <w:gridCol w:w="227"/>
        <w:gridCol w:w="401"/>
        <w:gridCol w:w="575"/>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271,917</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2,704,137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3,210,504</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3,482,421</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securities that have been in an unrealized loss position for a period of less and greater than 12 months as of June 30, 2025 and 2026 had fair market value as follows: </w:t>
      </w:r>
    </w:p>
    <w:tbl>
      <w:tblPr>
        <w:tblW w:w="10205" w:type="dxa"/>
        <w:jc w:val="left"/>
        <w:tblInd w:w="0" w:type="dxa"/>
        <w:tblLayout w:type="fixed"/>
        <w:tblCellMar>
          <w:top w:w="28" w:type="dxa"/>
          <w:left w:w="28" w:type="dxa"/>
          <w:bottom w:w="28" w:type="dxa"/>
          <w:right w:w="28" w:type="dxa"/>
        </w:tblCellMar>
      </w:tblPr>
      <w:tblGrid>
        <w:gridCol w:w="809"/>
        <w:gridCol w:w="614"/>
        <w:gridCol w:w="466"/>
        <w:gridCol w:w="548"/>
        <w:gridCol w:w="282"/>
        <w:gridCol w:w="274"/>
        <w:gridCol w:w="139"/>
        <w:gridCol w:w="139"/>
        <w:gridCol w:w="139"/>
        <w:gridCol w:w="319"/>
        <w:gridCol w:w="338"/>
        <w:gridCol w:w="338"/>
        <w:gridCol w:w="109"/>
        <w:gridCol w:w="109"/>
        <w:gridCol w:w="109"/>
        <w:gridCol w:w="586"/>
        <w:gridCol w:w="303"/>
        <w:gridCol w:w="216"/>
        <w:gridCol w:w="147"/>
        <w:gridCol w:w="147"/>
        <w:gridCol w:w="147"/>
        <w:gridCol w:w="334"/>
        <w:gridCol w:w="337"/>
        <w:gridCol w:w="339"/>
        <w:gridCol w:w="109"/>
        <w:gridCol w:w="109"/>
        <w:gridCol w:w="109"/>
        <w:gridCol w:w="544"/>
        <w:gridCol w:w="313"/>
        <w:gridCol w:w="281"/>
        <w:gridCol w:w="109"/>
        <w:gridCol w:w="109"/>
        <w:gridCol w:w="109"/>
        <w:gridCol w:w="284"/>
        <w:gridCol w:w="340"/>
        <w:gridCol w:w="501"/>
      </w:tblGrid>
      <w:tr>
        <w:trPr/>
        <w:tc>
          <w:tcPr>
            <w:tcW w:w="8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in an unrealized loss</w:t>
              <w:br/>
              <w:t>position for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in an unrealized loss</w:t>
              <w:br/>
              <w:t>position for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5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18,281</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7,102</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19,468</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38,579</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17,272</w:t>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5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87"/>
        <w:gridCol w:w="584"/>
        <w:gridCol w:w="420"/>
        <w:gridCol w:w="515"/>
        <w:gridCol w:w="426"/>
        <w:gridCol w:w="256"/>
        <w:gridCol w:w="131"/>
        <w:gridCol w:w="131"/>
        <w:gridCol w:w="131"/>
        <w:gridCol w:w="427"/>
        <w:gridCol w:w="485"/>
        <w:gridCol w:w="296"/>
        <w:gridCol w:w="109"/>
        <w:gridCol w:w="109"/>
        <w:gridCol w:w="109"/>
        <w:gridCol w:w="557"/>
        <w:gridCol w:w="288"/>
        <w:gridCol w:w="192"/>
        <w:gridCol w:w="137"/>
        <w:gridCol w:w="137"/>
        <w:gridCol w:w="137"/>
        <w:gridCol w:w="318"/>
        <w:gridCol w:w="285"/>
        <w:gridCol w:w="286"/>
        <w:gridCol w:w="109"/>
        <w:gridCol w:w="109"/>
        <w:gridCol w:w="109"/>
        <w:gridCol w:w="510"/>
        <w:gridCol w:w="419"/>
        <w:gridCol w:w="264"/>
        <w:gridCol w:w="109"/>
        <w:gridCol w:w="109"/>
        <w:gridCol w:w="109"/>
        <w:gridCol w:w="272"/>
        <w:gridCol w:w="340"/>
        <w:gridCol w:w="493"/>
      </w:tblGrid>
      <w:tr>
        <w:trPr/>
        <w:tc>
          <w:tcPr>
            <w:tcW w:w="78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in an unrealized loss</w:t>
              <w:br/>
              <w:t>position for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in an unrealized loss</w:t>
              <w:br/>
              <w:t>position for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5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255,519</w:t>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18,105</w:t>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31,823</w:t>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5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317,682</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regularly reviews the composition of its portfolio to determine the existence of credit impairment. The Company did not recognize any credit impairment losses during the years ended June 30, 2024, 2025 or 2026. All securities in the Company's portfolio held an A rating or better as of June 30,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make any material reclassification adjustments out of Accumulated other comprehensive income for realized gains and losses on the sale of available-for-sale securities during the years ended June 30, 2024, 2025 or 2026. Gross realized gains and losses on the sale of available-for-sale securities were immaterial for the years ended June 30, 2024, 2025 and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Expected maturities of available-for-sale securities at June 30, 2026 were as follows:</w:t>
      </w:r>
    </w:p>
    <w:tbl>
      <w:tblPr>
        <w:tblW w:w="5743" w:type="dxa"/>
        <w:jc w:val="left"/>
        <w:tblInd w:w="0" w:type="dxa"/>
        <w:tblLayout w:type="fixed"/>
        <w:tblCellMar>
          <w:top w:w="28" w:type="dxa"/>
          <w:left w:w="28" w:type="dxa"/>
          <w:bottom w:w="28" w:type="dxa"/>
          <w:right w:w="28" w:type="dxa"/>
        </w:tblCellMar>
      </w:tblPr>
      <w:tblGrid>
        <w:gridCol w:w="1016"/>
        <w:gridCol w:w="896"/>
        <w:gridCol w:w="908"/>
        <w:gridCol w:w="590"/>
        <w:gridCol w:w="389"/>
        <w:gridCol w:w="392"/>
        <w:gridCol w:w="109"/>
        <w:gridCol w:w="109"/>
        <w:gridCol w:w="109"/>
        <w:gridCol w:w="399"/>
        <w:gridCol w:w="340"/>
        <w:gridCol w:w="486"/>
      </w:tblGrid>
      <w:tr>
        <w:trPr/>
        <w:tc>
          <w:tcPr>
            <w:tcW w:w="101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5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65,587</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to two years</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49,489</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Two years to three years</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192,912</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Three years to five years</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294,659</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thereafter</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9,808</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59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612,455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Fair Value Measurement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1—Quoted prices in active markets for identical assets and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2—Quoted prices in active markets for similar assets and liabilities, or other inputs that are observable for the asset or liability, either directly or indirectly, for substantially the full term of the financial instrument.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cash and cash equivalents, funds held for clients' cash and cash equivalents, accounts receivable, accounts payable and client fund obligations at fair value on a recurring basis using Level 1 inputs and borrowings under its credit facility using Level 2 inputs. The Company considers the recorded value of these financial assets and liabilities to approximate the fair value of the respective assets and liabilities at June 30, 2025 and 2026 based upon the short-term nature of these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Marketable securities classified as available-for-sale are recorded at fair value on a recurring basis using Level 2 inputs obtained from an independent pricing service. Available-for-sale securities may include commercial paper, corporate bonds, asset-backed securities,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2025 or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level for the Company’s cash and cash equivalents and available-for-sale securities was as follows:</w:t>
      </w:r>
    </w:p>
    <w:tbl>
      <w:tblPr>
        <w:tblW w:w="9540" w:type="dxa"/>
        <w:jc w:val="left"/>
        <w:tblInd w:w="0" w:type="dxa"/>
        <w:tblLayout w:type="fixed"/>
        <w:tblCellMar>
          <w:top w:w="28" w:type="dxa"/>
          <w:left w:w="28" w:type="dxa"/>
          <w:bottom w:w="28" w:type="dxa"/>
          <w:right w:w="28" w:type="dxa"/>
        </w:tblCellMar>
      </w:tblPr>
      <w:tblGrid>
        <w:gridCol w:w="1467"/>
        <w:gridCol w:w="1288"/>
        <w:gridCol w:w="1295"/>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40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398,070 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398,070 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 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2,482,526 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619,681 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40" w:type="dxa"/>
        <w:jc w:val="left"/>
        <w:tblInd w:w="0" w:type="dxa"/>
        <w:tblLayout w:type="fixed"/>
        <w:tblCellMar>
          <w:top w:w="28" w:type="dxa"/>
          <w:left w:w="28" w:type="dxa"/>
          <w:bottom w:w="28" w:type="dxa"/>
          <w:right w:w="28" w:type="dxa"/>
        </w:tblCellMar>
      </w:tblPr>
      <w:tblGrid>
        <w:gridCol w:w="1467"/>
        <w:gridCol w:w="1288"/>
        <w:gridCol w:w="1295"/>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40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 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2,869,966 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i/>
          <w:color w:val="000000"/>
          <w:sz w:val="20"/>
        </w:rPr>
        <w:t>Assets and Liabilities Recorded at Fair Value on a Non-Recurring Basis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assets acquired and liabilities assumed in business combinations at fair value. Refer to Note 7 for further details on the fair value measurements of certain assets and liabilities recorded at fair value on a non-recurring basis using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Accounts Receivable,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accounts receivable were as follows:</w:t>
      </w:r>
    </w:p>
    <w:tbl>
      <w:tblPr>
        <w:tblW w:w="5903" w:type="dxa"/>
        <w:jc w:val="left"/>
        <w:tblInd w:w="0" w:type="dxa"/>
        <w:tblLayout w:type="fixed"/>
        <w:tblCellMar>
          <w:top w:w="28" w:type="dxa"/>
          <w:left w:w="28" w:type="dxa"/>
          <w:bottom w:w="28" w:type="dxa"/>
          <w:right w:w="28" w:type="dxa"/>
        </w:tblCellMar>
      </w:tblPr>
      <w:tblGrid>
        <w:gridCol w:w="1249"/>
        <w:gridCol w:w="1099"/>
        <w:gridCol w:w="1101"/>
        <w:gridCol w:w="211"/>
        <w:gridCol w:w="721"/>
        <w:gridCol w:w="109"/>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funds held for clients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accounts receivable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Activity in the allowance for credit losses related to accounts receivable was as follows:</w:t>
      </w:r>
    </w:p>
    <w:tbl>
      <w:tblPr>
        <w:tblW w:w="6570" w:type="dxa"/>
        <w:jc w:val="left"/>
        <w:tblInd w:w="0" w:type="dxa"/>
        <w:tblLayout w:type="fixed"/>
        <w:tblCellMar>
          <w:top w:w="28" w:type="dxa"/>
          <w:left w:w="28" w:type="dxa"/>
          <w:bottom w:w="28" w:type="dxa"/>
          <w:right w:w="28" w:type="dxa"/>
        </w:tblCellMar>
      </w:tblPr>
      <w:tblGrid>
        <w:gridCol w:w="1108"/>
        <w:gridCol w:w="974"/>
        <w:gridCol w:w="977"/>
        <w:gridCol w:w="241"/>
        <w:gridCol w:w="299"/>
        <w:gridCol w:w="287"/>
        <w:gridCol w:w="109"/>
        <w:gridCol w:w="109"/>
        <w:gridCol w:w="109"/>
        <w:gridCol w:w="307"/>
        <w:gridCol w:w="383"/>
        <w:gridCol w:w="287"/>
        <w:gridCol w:w="109"/>
        <w:gridCol w:w="109"/>
        <w:gridCol w:w="109"/>
        <w:gridCol w:w="326"/>
        <w:gridCol w:w="364"/>
        <w:gridCol w:w="363"/>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expense</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due to acquisition</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year</w:t>
            </w:r>
          </w:p>
        </w:tc>
        <w:tc>
          <w:tcPr>
            <w:tcW w:w="2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Business Combinations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 The results of these acquisitions have been included in the Company’s consolidated financial statements since their respective closing dates. The goodwill related to these transactions is primarily attributable to the assembled workforce and growth opportunities from the expansion and enhancement of the Company’s product offerings and is not deductible for income tax purposes. Direct costs related to these acquisitions were not material and were expensed as incurred primarily as General and administrative in the Consolidated Statements of Operations and Comprehensive Income.</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TraceHQ.com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allocation of the purchase price for Trace was approximately $6,809 of goodwill, $4,200 of proprietary technology and other immaterial assets and liabilities, which reflects certain immaterial measurement period adjustments recorded during the years ended June 30, 2024 and 2025. Pro forma information is not presented for the Trace acquisition because the effects of the acquisition are not material to the Company’s consolidated financial statements.</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Airbase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2024, the Company acquired all of the outstanding shares of Airbase Inc. ("Airbase") for cash consideration of $320,205, net of cash acquired and preliminary purchase price adjustments, which was funded by borrowings under its credit facility. Refer to Note 12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for Airbase was as follows, which reflects certain immaterial measurement period adjustments recorded before the measurement period closed on September 30, 2025:</w:t>
      </w:r>
    </w:p>
    <w:tbl>
      <w:tblPr>
        <w:tblW w:w="3606" w:type="dxa"/>
        <w:jc w:val="left"/>
        <w:tblInd w:w="0" w:type="dxa"/>
        <w:tblLayout w:type="fixed"/>
        <w:tblCellMar>
          <w:top w:w="28" w:type="dxa"/>
          <w:left w:w="28" w:type="dxa"/>
          <w:bottom w:w="28" w:type="dxa"/>
          <w:right w:w="28" w:type="dxa"/>
        </w:tblCellMar>
      </w:tblPr>
      <w:tblGrid>
        <w:gridCol w:w="875"/>
        <w:gridCol w:w="768"/>
        <w:gridCol w:w="772"/>
        <w:gridCol w:w="211"/>
        <w:gridCol w:w="82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Non-solicitation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Client fund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assumed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361,455 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fair value estimate of the acquired proprietary technology is based on a relief from royalty rate methodology which includes, but is not limited to, forecasted revenue growth rates, royalty rates, technology migration rates and required rate of return. </w:t>
      </w:r>
    </w:p>
    <w:p>
      <w:pPr>
        <w:pStyle w:val="TextBody"/>
        <w:bidi w:val="0"/>
        <w:spacing w:lineRule="auto" w:line="276" w:before="20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Unaudited Pro Forma Financial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information below summarizes the combined results of the Company and Airbase as if the Company’s acquisition of Airbase closed on July 1, 2023, but does not necessarily reflect the combined actual results of operations of the Company and Airbase that would have been achieved, nor is it necessarily indicative of future results of operations. The unaudited pro forma information reflects certain adjustments that were directly attributable to the acquisition of Airbase, including amortization of acquired intangible assets, interest expense incurred to fund the acquisition and acquisition related costs.</w:t>
      </w:r>
    </w:p>
    <w:tbl>
      <w:tblPr>
        <w:tblW w:w="4013" w:type="dxa"/>
        <w:jc w:val="left"/>
        <w:tblInd w:w="0" w:type="dxa"/>
        <w:tblLayout w:type="fixed"/>
        <w:tblCellMar>
          <w:top w:w="28" w:type="dxa"/>
          <w:left w:w="28" w:type="dxa"/>
          <w:bottom w:w="28" w:type="dxa"/>
          <w:right w:w="28" w:type="dxa"/>
        </w:tblCellMar>
      </w:tblPr>
      <w:tblGrid>
        <w:gridCol w:w="379"/>
        <w:gridCol w:w="334"/>
        <w:gridCol w:w="336"/>
        <w:gridCol w:w="211"/>
        <w:gridCol w:w="976"/>
        <w:gridCol w:w="109"/>
        <w:gridCol w:w="109"/>
        <w:gridCol w:w="109"/>
        <w:gridCol w:w="109"/>
        <w:gridCol w:w="211"/>
        <w:gridCol w:w="97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1,422,873 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1,601,619 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40"/>
        <w:ind w:left="0" w:right="0" w:firstLine="720"/>
        <w:jc w:val="left"/>
        <w:rPr>
          <w:rFonts w:ascii="Times New Roman;serif" w:hAnsi="Times New Roman;serif"/>
          <w:b/>
          <w:color w:val="000000"/>
          <w:sz w:val="20"/>
        </w:rPr>
      </w:pPr>
      <w:r>
        <w:rPr>
          <w:rFonts w:ascii="Times New Roman;serif" w:hAnsi="Times New Roman;serif"/>
          <w:b/>
          <w:color w:val="000000"/>
          <w:sz w:val="20"/>
        </w:rPr>
        <w:t>Grayscale Labs, Inc.</w:t>
      </w:r>
    </w:p>
    <w:p>
      <w:pPr>
        <w:pStyle w:val="TextBody"/>
        <w:bidi w:val="0"/>
        <w:spacing w:lineRule="auto" w:line="276"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6, 2026, the Company acquired all of the outstanding shares of Grayscale Labs, Inc. ("Grayscale") through a merger for cash consideration of $50,240, subject to working capital and other customary purchase price adjustments. Grayscale is an AI-powered recruiting automation company. This acquisition expands the Company's recruiting capabilities with AI-powered automation to enable its clients to engage candidates earlier and move faster through time-sensitive hiring workflows. The preliminary allocation of the purchase price for Grayscale was approximately $35,806 of goodwill, $11,600 of proprietary technology, $3,200 of client relationships and other immaterial assets and liabilities. The fair values of the assets acquired and liabilities assumed due to this acquisition are currently provisional and are subject to change over the measurement period. The measurement period will end no later than one year from the acquisition date. Pro forma information is not presented for the Grayscale acquisition because the effects of the acquisition are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Capitalized Internal-Use Software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and accumulated amortization were as follows:</w:t>
      </w:r>
    </w:p>
    <w:tbl>
      <w:tblPr>
        <w:tblW w:w="6141" w:type="dxa"/>
        <w:jc w:val="left"/>
        <w:tblInd w:w="0" w:type="dxa"/>
        <w:tblLayout w:type="fixed"/>
        <w:tblCellMar>
          <w:top w:w="28" w:type="dxa"/>
          <w:left w:w="28" w:type="dxa"/>
          <w:bottom w:w="28" w:type="dxa"/>
          <w:right w:w="28" w:type="dxa"/>
        </w:tblCellMar>
      </w:tblPr>
      <w:tblGrid>
        <w:gridCol w:w="1134"/>
        <w:gridCol w:w="998"/>
        <w:gridCol w:w="1003"/>
        <w:gridCol w:w="334"/>
        <w:gridCol w:w="566"/>
        <w:gridCol w:w="393"/>
        <w:gridCol w:w="109"/>
        <w:gridCol w:w="109"/>
        <w:gridCol w:w="109"/>
        <w:gridCol w:w="359"/>
        <w:gridCol w:w="541"/>
        <w:gridCol w:w="486"/>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3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481,895</w:t>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(267,805)</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(338,301)</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net</w:t>
            </w:r>
          </w:p>
        </w:tc>
        <w:tc>
          <w:tcPr>
            <w:tcW w:w="3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143,594</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internal-use software amounted to $45,246, $59,948 and $70,496 for the years ended June 30, 2024, 2025 and 2026, respectively and is included in Cost of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Property and Equipment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 classes of property and equipment were as follows:</w:t>
      </w:r>
    </w:p>
    <w:tbl>
      <w:tblPr>
        <w:tblW w:w="4959" w:type="dxa"/>
        <w:jc w:val="left"/>
        <w:tblInd w:w="0" w:type="dxa"/>
        <w:tblLayout w:type="fixed"/>
        <w:tblCellMar>
          <w:top w:w="28" w:type="dxa"/>
          <w:left w:w="28" w:type="dxa"/>
          <w:bottom w:w="28" w:type="dxa"/>
          <w:right w:w="28" w:type="dxa"/>
        </w:tblCellMar>
      </w:tblPr>
      <w:tblGrid>
        <w:gridCol w:w="907"/>
        <w:gridCol w:w="796"/>
        <w:gridCol w:w="802"/>
        <w:gridCol w:w="211"/>
        <w:gridCol w:w="721"/>
        <w:gridCol w:w="109"/>
        <w:gridCol w:w="109"/>
        <w:gridCol w:w="109"/>
        <w:gridCol w:w="109"/>
        <w:gridCol w:w="211"/>
        <w:gridCol w:w="721"/>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clocks rented by clients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157,921 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187,501 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54,210 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71,403 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amounted to $20,744, $20,568 and $19,970 for the years ended June 30, 2024, 2025 and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Goodwill and Intangible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goodwill during the years presented below:</w:t>
      </w:r>
    </w:p>
    <w:tbl>
      <w:tblPr>
        <w:tblW w:w="5782" w:type="dxa"/>
        <w:jc w:val="left"/>
        <w:tblInd w:w="0" w:type="dxa"/>
        <w:tblLayout w:type="fixed"/>
        <w:tblCellMar>
          <w:top w:w="28" w:type="dxa"/>
          <w:left w:w="28" w:type="dxa"/>
          <w:bottom w:w="28" w:type="dxa"/>
          <w:right w:w="28" w:type="dxa"/>
        </w:tblCellMar>
      </w:tblPr>
      <w:tblGrid>
        <w:gridCol w:w="1146"/>
        <w:gridCol w:w="1007"/>
        <w:gridCol w:w="1011"/>
        <w:gridCol w:w="285"/>
        <w:gridCol w:w="390"/>
        <w:gridCol w:w="391"/>
        <w:gridCol w:w="147"/>
        <w:gridCol w:w="147"/>
        <w:gridCol w:w="147"/>
        <w:gridCol w:w="285"/>
        <w:gridCol w:w="342"/>
        <w:gridCol w:w="48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108,937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343,100</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attributable to acquisitions</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234,237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35,806</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Measurement period adjustments </w:t>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343,100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378,964</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7 for further details on acquisition activity during the years ended June 30, 2025 and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amortizable intangible assets and estimated useful lives were as follows:</w:t>
      </w:r>
    </w:p>
    <w:tbl>
      <w:tblPr>
        <w:tblW w:w="6290" w:type="dxa"/>
        <w:jc w:val="left"/>
        <w:tblInd w:w="0" w:type="dxa"/>
        <w:tblLayout w:type="fixed"/>
        <w:tblCellMar>
          <w:top w:w="28" w:type="dxa"/>
          <w:left w:w="28" w:type="dxa"/>
          <w:bottom w:w="28" w:type="dxa"/>
          <w:right w:w="28" w:type="dxa"/>
        </w:tblCellMar>
      </w:tblPr>
      <w:tblGrid>
        <w:gridCol w:w="875"/>
        <w:gridCol w:w="767"/>
        <w:gridCol w:w="772"/>
        <w:gridCol w:w="211"/>
        <w:gridCol w:w="826"/>
        <w:gridCol w:w="109"/>
        <w:gridCol w:w="109"/>
        <w:gridCol w:w="109"/>
        <w:gridCol w:w="109"/>
        <w:gridCol w:w="211"/>
        <w:gridCol w:w="826"/>
        <w:gridCol w:w="109"/>
        <w:gridCol w:w="109"/>
        <w:gridCol w:w="109"/>
        <w:gridCol w:w="109"/>
        <w:gridCol w:w="272"/>
        <w:gridCol w:w="272"/>
        <w:gridCol w:w="386"/>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useful</w:t>
              <w:br/>
              <w:t>life (years)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Non-solicitation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92,671 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86,140 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acquired intangible assets was $10,436, $19,120 and $21,331 for the years ended June 30, 2024, 2025 and 2026, respectively, and is included in Cost of revenues and General and administrative.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amortization expense for acquired intangible assets was as follows as of June 30, 2026:</w:t>
      </w:r>
    </w:p>
    <w:tbl>
      <w:tblPr>
        <w:tblW w:w="2150" w:type="dxa"/>
        <w:jc w:val="left"/>
        <w:tblInd w:w="0" w:type="dxa"/>
        <w:tblLayout w:type="fixed"/>
        <w:tblCellMar>
          <w:top w:w="28" w:type="dxa"/>
          <w:left w:w="28" w:type="dxa"/>
          <w:bottom w:w="28" w:type="dxa"/>
          <w:right w:w="28" w:type="dxa"/>
        </w:tblCellMar>
      </w:tblPr>
      <w:tblGrid>
        <w:gridCol w:w="384"/>
        <w:gridCol w:w="338"/>
        <w:gridCol w:w="342"/>
        <w:gridCol w:w="211"/>
        <w:gridCol w:w="721"/>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Accrued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accrued expenses were as follows:</w:t>
      </w:r>
    </w:p>
    <w:tbl>
      <w:tblPr>
        <w:tblW w:w="5724" w:type="dxa"/>
        <w:jc w:val="left"/>
        <w:tblInd w:w="0" w:type="dxa"/>
        <w:tblLayout w:type="fixed"/>
        <w:tblCellMar>
          <w:top w:w="28" w:type="dxa"/>
          <w:left w:w="28" w:type="dxa"/>
          <w:bottom w:w="28" w:type="dxa"/>
          <w:right w:w="28" w:type="dxa"/>
        </w:tblCellMar>
      </w:tblPr>
      <w:tblGrid>
        <w:gridCol w:w="1109"/>
        <w:gridCol w:w="972"/>
        <w:gridCol w:w="979"/>
        <w:gridCol w:w="211"/>
        <w:gridCol w:w="826"/>
        <w:gridCol w:w="109"/>
        <w:gridCol w:w="109"/>
        <w:gridCol w:w="109"/>
        <w:gridCol w:w="109"/>
        <w:gridCol w:w="211"/>
        <w:gridCol w:w="826"/>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personnel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Debt</w:t>
      </w:r>
    </w:p>
    <w:p>
      <w:pPr>
        <w:pStyle w:val="TextBody"/>
        <w:bidi w:val="0"/>
        <w:spacing w:lineRule="auto" w:line="288" w:before="200" w:after="283"/>
        <w:ind w:left="0" w:right="0" w:firstLine="720"/>
        <w:jc w:val="left"/>
        <w:rPr/>
      </w:pPr>
      <w:r>
        <w:rPr>
          <w:rFonts w:ascii="Times New Roman;serif" w:hAnsi="Times New Roman;serif"/>
          <w:b w:val="false"/>
          <w:color w:val="000000"/>
          <w:sz w:val="20"/>
          <w:shd w:fill="FFFFFF" w:val="clear"/>
        </w:rPr>
        <w:t xml:space="preserve">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outstanding borrowings will mature and be payable upon expiration. During fiscal 2025, the Company borrowed </w:t>
      </w:r>
      <w:r>
        <w:rPr>
          <w:rFonts w:ascii="Times New Roman;serif" w:hAnsi="Times New Roman;serif"/>
          <w:b w:val="false"/>
          <w:color w:val="000000"/>
          <w:sz w:val="20"/>
        </w:rPr>
        <w:t>$325,000</w:t>
      </w:r>
      <w:r>
        <w:rPr>
          <w:color w:val="000000"/>
          <w:shd w:fill="FFFFFF" w:val="clear"/>
        </w:rPr>
        <w:t xml:space="preserve"> </w:t>
      </w:r>
      <w:r>
        <w:rPr>
          <w:rFonts w:ascii="Times New Roman;serif" w:hAnsi="Times New Roman;serif"/>
          <w:b w:val="false"/>
          <w:color w:val="000000"/>
          <w:sz w:val="20"/>
          <w:shd w:fill="FFFFFF" w:val="clear"/>
        </w:rPr>
        <w:t xml:space="preserve">to fund the acquisition of Airbase Inc. in October 2024, of which it repaid </w:t>
      </w:r>
      <w:r>
        <w:rPr>
          <w:rFonts w:ascii="Times New Roman;serif" w:hAnsi="Times New Roman;serif"/>
          <w:b w:val="false"/>
          <w:color w:val="000000"/>
          <w:sz w:val="20"/>
        </w:rPr>
        <w:t>$162,500</w:t>
      </w:r>
      <w:r>
        <w:rPr>
          <w:color w:val="000000"/>
          <w:shd w:fill="FFFFFF" w:val="clear"/>
        </w:rPr>
        <w:t xml:space="preserve"> </w:t>
      </w:r>
      <w:r>
        <w:rPr>
          <w:rFonts w:ascii="Times New Roman;serif" w:hAnsi="Times New Roman;serif"/>
          <w:b w:val="false"/>
          <w:color w:val="000000"/>
          <w:sz w:val="20"/>
          <w:shd w:fill="FFFFFF" w:val="clear"/>
        </w:rPr>
        <w:t xml:space="preserve">during fiscal 2025 and an additional </w:t>
      </w:r>
      <w:r>
        <w:rPr>
          <w:rFonts w:ascii="Times New Roman;serif" w:hAnsi="Times New Roman;serif"/>
          <w:b w:val="false"/>
          <w:color w:val="000000"/>
          <w:sz w:val="20"/>
        </w:rPr>
        <w:t xml:space="preserve">$81,250 during fiscal 2026. </w:t>
      </w:r>
      <w:r>
        <w:rPr>
          <w:rFonts w:ascii="Times New Roman;serif" w:hAnsi="Times New Roman;serif"/>
          <w:b w:val="false"/>
          <w:color w:val="000000"/>
          <w:sz w:val="20"/>
          <w:shd w:fill="FFFFFF" w:val="clear"/>
        </w:rPr>
        <w:t xml:space="preserve">As a result, </w:t>
      </w:r>
      <w:r>
        <w:rPr>
          <w:rFonts w:ascii="Times New Roman;serif" w:hAnsi="Times New Roman;serif"/>
          <w:b w:val="false"/>
          <w:color w:val="000000"/>
          <w:sz w:val="20"/>
        </w:rPr>
        <w:t>$81,250</w:t>
      </w:r>
      <w:r>
        <w:rPr>
          <w:color w:val="000000"/>
          <w:shd w:fill="FFFFFF" w:val="clear"/>
        </w:rPr>
        <w:t xml:space="preserve"> </w:t>
      </w:r>
      <w:r>
        <w:rPr>
          <w:rFonts w:ascii="Times New Roman;serif" w:hAnsi="Times New Roman;serif"/>
          <w:b w:val="false"/>
          <w:color w:val="000000"/>
          <w:sz w:val="20"/>
          <w:shd w:fill="FFFFFF" w:val="clear"/>
        </w:rPr>
        <w:t xml:space="preserve">remained outstanding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Refer to Note 7 for further details on the Company's acquisition of Airbase Inc. The Company incurred interest expense related to any borrowings at an average interest rate of 4.20% and 5.07% during the year ended </w:t>
      </w:r>
      <w:r>
        <w:rPr>
          <w:rFonts w:ascii="Times New Roman;serif" w:hAnsi="Times New Roman;serif"/>
          <w:b w:val="false"/>
          <w:color w:val="000000"/>
          <w:sz w:val="20"/>
        </w:rPr>
        <w:t xml:space="preserve">June 30, 2025 and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revolving credit facility expiration without a premium or a penalty, other than customary “breakage” costs. </w:t>
      </w:r>
    </w:p>
    <w:p>
      <w:pPr>
        <w:pStyle w:val="TextBody"/>
        <w:bidi w:val="0"/>
        <w:spacing w:lineRule="auto" w:line="288" w:before="200" w:after="283"/>
        <w:ind w:left="0" w:right="0" w:firstLine="720"/>
        <w:jc w:val="left"/>
        <w:rPr/>
      </w:pPr>
      <w:r>
        <w:rPr>
          <w:rFonts w:ascii="Times New Roman;serif" w:hAnsi="Times New Roman;serif"/>
          <w:b w:val="false"/>
          <w:color w:val="000000"/>
          <w:sz w:val="20"/>
          <w:shd w:fill="FFFFFF" w:val="clear"/>
        </w:rPr>
        <w:t xml:space="preserve">Any borrowings under the credit facility will bear interest, at the Company’s option, at a rate per annum determined by reference to either the Term </w:t>
      </w:r>
      <w:r>
        <w:rPr>
          <w:rFonts w:ascii="Times New Roman;serif" w:hAnsi="Times New Roman;serif"/>
          <w:b w:val="false"/>
          <w:color w:val="212529"/>
          <w:sz w:val="20"/>
          <w:shd w:fill="FFFFFF" w:val="clear"/>
        </w:rPr>
        <w:t>Secured Overnight Financing Rate (“</w:t>
      </w:r>
      <w:r>
        <w:rPr>
          <w:rFonts w:ascii="Times New Roman;serif" w:hAnsi="Times New Roman;serif"/>
          <w:b w:val="false"/>
          <w:color w:val="000000"/>
          <w:sz w:val="20"/>
          <w:shd w:fill="FFFFFF" w:val="clear"/>
        </w:rPr>
        <w:t>SOFR”) rate plus the SOFR Adjustment or an adjusted base rate, in each case plus an applicable margin ranging from 0.875% to 1.500% and 0.00%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June 30, 2026, the Company was in compliance with all of the aforementioned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leases office space under non-cancellable operating leases expiring on various dates from January 2027 through January 2037.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July 2026 through September 2028.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operating lease expense were as follows: </w:t>
      </w:r>
    </w:p>
    <w:tbl>
      <w:tblPr>
        <w:tblW w:w="5621" w:type="dxa"/>
        <w:jc w:val="left"/>
        <w:tblInd w:w="0" w:type="dxa"/>
        <w:tblLayout w:type="fixed"/>
        <w:tblCellMar>
          <w:top w:w="28" w:type="dxa"/>
          <w:left w:w="28" w:type="dxa"/>
          <w:bottom w:w="28" w:type="dxa"/>
          <w:right w:w="28" w:type="dxa"/>
        </w:tblCellMar>
      </w:tblPr>
      <w:tblGrid>
        <w:gridCol w:w="651"/>
        <w:gridCol w:w="572"/>
        <w:gridCol w:w="576"/>
        <w:gridCol w:w="211"/>
        <w:gridCol w:w="721"/>
        <w:gridCol w:w="109"/>
        <w:gridCol w:w="109"/>
        <w:gridCol w:w="109"/>
        <w:gridCol w:w="109"/>
        <w:gridCol w:w="211"/>
        <w:gridCol w:w="721"/>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cost excludes $4,283 in lease exit gains recorded during the year ended June 30,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classification of the Company’s operating lease right-of-use assets, operating lease liabilities and other supplemental information related to the Company’s operating leases were as follows:</w:t>
      </w:r>
    </w:p>
    <w:tbl>
      <w:tblPr>
        <w:tblW w:w="6692" w:type="dxa"/>
        <w:jc w:val="left"/>
        <w:tblInd w:w="0" w:type="dxa"/>
        <w:tblLayout w:type="fixed"/>
        <w:tblCellMar>
          <w:top w:w="28" w:type="dxa"/>
          <w:left w:w="28" w:type="dxa"/>
          <w:bottom w:w="28" w:type="dxa"/>
          <w:right w:w="28" w:type="dxa"/>
        </w:tblCellMar>
      </w:tblPr>
      <w:tblGrid>
        <w:gridCol w:w="1417"/>
        <w:gridCol w:w="1245"/>
        <w:gridCol w:w="1252"/>
        <w:gridCol w:w="211"/>
        <w:gridCol w:w="721"/>
        <w:gridCol w:w="271"/>
        <w:gridCol w:w="109"/>
        <w:gridCol w:w="109"/>
        <w:gridCol w:w="109"/>
        <w:gridCol w:w="211"/>
        <w:gridCol w:w="721"/>
        <w:gridCol w:w="316"/>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supplemental cash flow information related to the Company’s operating leases: </w:t>
      </w:r>
    </w:p>
    <w:tbl>
      <w:tblPr>
        <w:tblW w:w="10205" w:type="dxa"/>
        <w:jc w:val="left"/>
        <w:tblInd w:w="0" w:type="dxa"/>
        <w:tblLayout w:type="fixed"/>
        <w:tblCellMar>
          <w:top w:w="28" w:type="dxa"/>
          <w:left w:w="28" w:type="dxa"/>
          <w:bottom w:w="28" w:type="dxa"/>
          <w:right w:w="28" w:type="dxa"/>
        </w:tblCellMar>
      </w:tblPr>
      <w:tblGrid>
        <w:gridCol w:w="2390"/>
        <w:gridCol w:w="2095"/>
        <w:gridCol w:w="2107"/>
        <w:gridCol w:w="211"/>
        <w:gridCol w:w="616"/>
        <w:gridCol w:w="109"/>
        <w:gridCol w:w="109"/>
        <w:gridCol w:w="109"/>
        <w:gridCol w:w="109"/>
        <w:gridCol w:w="211"/>
        <w:gridCol w:w="616"/>
        <w:gridCol w:w="109"/>
        <w:gridCol w:w="109"/>
        <w:gridCol w:w="109"/>
        <w:gridCol w:w="109"/>
        <w:gridCol w:w="211"/>
        <w:gridCol w:w="721"/>
        <w:gridCol w:w="155"/>
      </w:tblGrid>
      <w:tr>
        <w:trPr/>
        <w:tc>
          <w:tcPr>
            <w:tcW w:w="2390"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new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undiscounted cash flows for future maturities of the Company’s operating lease liabilities and the reconciliation to the balance of operating lease liabilities reflected on the Company’s balance sheet were as follows as of June 30, 2026: </w:t>
      </w:r>
    </w:p>
    <w:tbl>
      <w:tblPr>
        <w:tblW w:w="3740" w:type="dxa"/>
        <w:jc w:val="left"/>
        <w:tblInd w:w="0" w:type="dxa"/>
        <w:tblLayout w:type="fixed"/>
        <w:tblCellMar>
          <w:top w:w="28" w:type="dxa"/>
          <w:left w:w="28" w:type="dxa"/>
          <w:bottom w:w="28" w:type="dxa"/>
          <w:right w:w="28" w:type="dxa"/>
        </w:tblCellMar>
      </w:tblPr>
      <w:tblGrid>
        <w:gridCol w:w="1035"/>
        <w:gridCol w:w="910"/>
        <w:gridCol w:w="709"/>
        <w:gridCol w:w="211"/>
        <w:gridCol w:w="721"/>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cash flows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above excludes $8,563 of undiscounted future minimum lease payments for operating lease liabilities for office space that had not yet commenced for a term of 10.6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(a) </w:t>
      </w:r>
      <w:r>
        <w:rPr>
          <w:rFonts w:ascii="Times New Roman;serif" w:hAnsi="Times New Roman;serif"/>
          <w:b/>
          <w:i/>
          <w:color w:val="000000"/>
          <w:sz w:val="20"/>
        </w:rPr>
        <w:t>Income before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for the year ended June 30, 2026 consisted of the following:</w:t>
      </w:r>
    </w:p>
    <w:tbl>
      <w:tblPr>
        <w:tblW w:w="2077" w:type="dxa"/>
        <w:jc w:val="left"/>
        <w:tblInd w:w="0" w:type="dxa"/>
        <w:tblLayout w:type="fixed"/>
        <w:tblCellMar>
          <w:top w:w="28" w:type="dxa"/>
          <w:left w:w="28" w:type="dxa"/>
          <w:bottom w:w="28" w:type="dxa"/>
          <w:right w:w="28" w:type="dxa"/>
        </w:tblCellMar>
      </w:tblPr>
      <w:tblGrid>
        <w:gridCol w:w="321"/>
        <w:gridCol w:w="282"/>
        <w:gridCol w:w="283"/>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382,102</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5,201</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(b) </w:t>
      </w:r>
      <w:r>
        <w:rPr>
          <w:rFonts w:ascii="Times New Roman;serif" w:hAnsi="Times New Roman;serif"/>
          <w:b/>
          <w:i/>
          <w:color w:val="000000"/>
          <w:sz w:val="20"/>
        </w:rPr>
        <w:t>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years ended June 30, 2024, 2025 and 2026 consisted of the following:</w:t>
      </w:r>
    </w:p>
    <w:tbl>
      <w:tblPr>
        <w:tblW w:w="6132" w:type="dxa"/>
        <w:jc w:val="left"/>
        <w:tblInd w:w="0" w:type="dxa"/>
        <w:tblLayout w:type="fixed"/>
        <w:tblCellMar>
          <w:top w:w="28" w:type="dxa"/>
          <w:left w:w="28" w:type="dxa"/>
          <w:bottom w:w="28" w:type="dxa"/>
          <w:right w:w="28" w:type="dxa"/>
        </w:tblCellMar>
      </w:tblPr>
      <w:tblGrid>
        <w:gridCol w:w="798"/>
        <w:gridCol w:w="700"/>
        <w:gridCol w:w="707"/>
        <w:gridCol w:w="211"/>
        <w:gridCol w:w="721"/>
        <w:gridCol w:w="109"/>
        <w:gridCol w:w="109"/>
        <w:gridCol w:w="109"/>
        <w:gridCol w:w="109"/>
        <w:gridCol w:w="211"/>
        <w:gridCol w:w="721"/>
        <w:gridCol w:w="109"/>
        <w:gridCol w:w="109"/>
        <w:gridCol w:w="109"/>
        <w:gridCol w:w="109"/>
        <w:gridCol w:w="211"/>
        <w:gridCol w:w="82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117,562 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(c) </w:t>
      </w:r>
      <w:r>
        <w:rPr>
          <w:rFonts w:ascii="Times New Roman;serif" w:hAnsi="Times New Roman;serif"/>
          <w:b/>
          <w:i/>
          <w:color w:val="000000"/>
          <w:sz w:val="20"/>
        </w:rPr>
        <w:t>Tax Rate Reconciliation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differed from the amounts computed by applying the U.S. federal income tax rate of 21% for the year ended June 30, 2026 to pretax income as a result of the following:</w:t>
      </w:r>
    </w:p>
    <w:tbl>
      <w:tblPr>
        <w:tblW w:w="7505" w:type="dxa"/>
        <w:jc w:val="left"/>
        <w:tblInd w:w="0" w:type="dxa"/>
        <w:tblLayout w:type="fixed"/>
        <w:tblCellMar>
          <w:top w:w="28" w:type="dxa"/>
          <w:left w:w="28" w:type="dxa"/>
          <w:bottom w:w="28" w:type="dxa"/>
          <w:right w:w="28" w:type="dxa"/>
        </w:tblCellMar>
      </w:tblPr>
      <w:tblGrid>
        <w:gridCol w:w="1881"/>
        <w:gridCol w:w="1659"/>
        <w:gridCol w:w="1665"/>
        <w:gridCol w:w="211"/>
        <w:gridCol w:w="826"/>
        <w:gridCol w:w="109"/>
        <w:gridCol w:w="109"/>
        <w:gridCol w:w="109"/>
        <w:gridCol w:w="109"/>
        <w:gridCol w:w="255"/>
        <w:gridCol w:w="256"/>
        <w:gridCol w:w="316"/>
      </w:tblGrid>
      <w:tr>
        <w:trPr/>
        <w:tc>
          <w:tcPr>
            <w:tcW w:w="188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non-deductible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State taxes in California, Illinois, Florida and Pennsylvania made up the majority (greater than 50%) of the tax effect in this category.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differed from the amounts computed by applying the U.S. federal income tax rate of 21% for the years ended June 30, 2024 and 2025 to pretax income as a result of the following:</w:t>
      </w:r>
    </w:p>
    <w:tbl>
      <w:tblPr>
        <w:tblW w:w="7292" w:type="dxa"/>
        <w:jc w:val="left"/>
        <w:tblInd w:w="0" w:type="dxa"/>
        <w:tblLayout w:type="fixed"/>
        <w:tblCellMar>
          <w:top w:w="28" w:type="dxa"/>
          <w:left w:w="28" w:type="dxa"/>
          <w:bottom w:w="28" w:type="dxa"/>
          <w:right w:w="28" w:type="dxa"/>
        </w:tblCellMar>
      </w:tblPr>
      <w:tblGrid>
        <w:gridCol w:w="1859"/>
        <w:gridCol w:w="1640"/>
        <w:gridCol w:w="1646"/>
        <w:gridCol w:w="255"/>
        <w:gridCol w:w="256"/>
        <w:gridCol w:w="334"/>
        <w:gridCol w:w="134"/>
        <w:gridCol w:w="134"/>
        <w:gridCol w:w="134"/>
        <w:gridCol w:w="255"/>
        <w:gridCol w:w="256"/>
        <w:gridCol w:w="389"/>
      </w:tblGrid>
      <w:tr>
        <w:trPr/>
        <w:tc>
          <w:tcPr>
            <w:tcW w:w="185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statutory federal rate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(reduction) in income taxes resulting from:</w:t>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 and other credits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benefit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years ended June 30, 2024, 2025 and 2026 was 25.4%, 26.5% and 30.4%, respectively, on pre-tax income of $277,015, $309,063 and $387,303, respectively. The increase in the effective tax rate for the years ended June 30, 2024 and 2025 were primarily due to state and local income tax. The increase in effective tax rate for the year ended June 30, 2026 was due to stock-based compensation shortfalls and state and local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(d) </w:t>
      </w:r>
      <w:r>
        <w:rPr>
          <w:rFonts w:ascii="Times New Roman;serif" w:hAnsi="Times New Roman;serif"/>
          <w:b/>
          <w:i/>
          <w:color w:val="000000"/>
          <w:sz w:val="20"/>
        </w:rPr>
        <w:t>Income Taxes Paid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summary of income taxes paid by jurisdiction for the year ended June 30, 2026:</w:t>
      </w:r>
    </w:p>
    <w:tbl>
      <w:tblPr>
        <w:tblW w:w="4095" w:type="dxa"/>
        <w:jc w:val="left"/>
        <w:tblInd w:w="0" w:type="dxa"/>
        <w:tblLayout w:type="fixed"/>
        <w:tblCellMar>
          <w:top w:w="28" w:type="dxa"/>
          <w:left w:w="28" w:type="dxa"/>
          <w:bottom w:w="28" w:type="dxa"/>
          <w:right w:w="28" w:type="dxa"/>
        </w:tblCellMar>
      </w:tblPr>
      <w:tblGrid>
        <w:gridCol w:w="880"/>
        <w:gridCol w:w="772"/>
        <w:gridCol w:w="778"/>
        <w:gridCol w:w="323"/>
        <w:gridCol w:w="1106"/>
        <w:gridCol w:w="236"/>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taxes</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33,155 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cash taxes paid by the Company during the years ended June 30, 2024 and 2025 was $47,619 million and $86,100, respectively.</w:t>
      </w:r>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(e) </w:t>
      </w:r>
      <w:r>
        <w:rPr>
          <w:rFonts w:ascii="Times New Roman;serif" w:hAnsi="Times New Roman;serif"/>
          <w:b/>
          <w:i/>
          <w:color w:val="000000"/>
          <w:sz w:val="20"/>
        </w:rPr>
        <w:t>Components of Deferred Tax Assets and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that give rise to significant portions of the deferred tax assets and deferred tax liabilities at June 30, 2025 and 2026 are presented below.</w:t>
      </w:r>
    </w:p>
    <w:tbl>
      <w:tblPr>
        <w:tblW w:w="5483" w:type="dxa"/>
        <w:jc w:val="left"/>
        <w:tblInd w:w="0" w:type="dxa"/>
        <w:tblLayout w:type="fixed"/>
        <w:tblCellMar>
          <w:top w:w="28" w:type="dxa"/>
          <w:left w:w="28" w:type="dxa"/>
          <w:bottom w:w="28" w:type="dxa"/>
          <w:right w:w="28" w:type="dxa"/>
        </w:tblCellMar>
      </w:tblPr>
      <w:tblGrid>
        <w:gridCol w:w="1046"/>
        <w:gridCol w:w="914"/>
        <w:gridCol w:w="919"/>
        <w:gridCol w:w="211"/>
        <w:gridCol w:w="796"/>
        <w:gridCol w:w="109"/>
        <w:gridCol w:w="109"/>
        <w:gridCol w:w="109"/>
        <w:gridCol w:w="109"/>
        <w:gridCol w:w="211"/>
        <w:gridCol w:w="79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24,191</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16,352</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tax credits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16,116</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94,057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91,103</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(8,328)</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(20,184)</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(185,951)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(94,848)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maintains a valuation allowance of $2,954 for certain state tax benefits which may not be realized. The increase to the valuation allowance is mainly due to changes to the realizability of Illinois tax attributes due to impacts from the One Big Beautiful Bill Act. Such assessment may change in the future as further evidence becomes available.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has gross net operating loss carryforwards for federal income tax purposes of approximately $37,187, all of which can be carried forward indefinitely. The Company has gross net operating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carryforwards for state income tax purposes of approximately $118,343, of which $109,355 expire from 2031 to 2046, while the remaining $8,988 can be carried forward indefinitely. The Company also has gross state research and development tax credits and other state credit carryforwards of approximately $19,232, which expire between 2026 and 2045.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2026, the Company’s liabilities for unrecognized tax benefits, which would impact the Company’s effective tax rate if recognized, are presented below. The Company will include applicable penalties and interest when the benefit is recognized: </w:t>
      </w:r>
    </w:p>
    <w:tbl>
      <w:tblPr>
        <w:tblW w:w="6474" w:type="dxa"/>
        <w:jc w:val="left"/>
        <w:tblInd w:w="0" w:type="dxa"/>
        <w:tblLayout w:type="fixed"/>
        <w:tblCellMar>
          <w:top w:w="28" w:type="dxa"/>
          <w:left w:w="28" w:type="dxa"/>
          <w:bottom w:w="28" w:type="dxa"/>
          <w:right w:w="28" w:type="dxa"/>
        </w:tblCellMar>
      </w:tblPr>
      <w:tblGrid>
        <w:gridCol w:w="1533"/>
        <w:gridCol w:w="1345"/>
        <w:gridCol w:w="1352"/>
        <w:gridCol w:w="211"/>
        <w:gridCol w:w="616"/>
        <w:gridCol w:w="109"/>
        <w:gridCol w:w="109"/>
        <w:gridCol w:w="109"/>
        <w:gridCol w:w="109"/>
        <w:gridCol w:w="211"/>
        <w:gridCol w:w="616"/>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beginning of the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current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periods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at end of year</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with the United States federal government and various state jurisdictions. Certain tax years remain open for federal and state tax reporting jurisdictions in which the Company does business due to net operating loss and tax credit carryforwards from such years or utilized in a period remaining open for audit under normal statute of limitations relating to income tax liabilities. The Company, including its domestic subsidiaries, files a consolidated federal income tax return. For years before fiscal year ended June 30, 2023, the Company is no longer subject to U.S. federal examination; however, the Internal Revenue Service (IRS) has the ability to review years prior to fiscal year 2023 to the extent the Company utilized tax attributes carried forward from those prior years. The statute of limitations on state filings is generally three to four years.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into law. The Act included changes to U.S. income tax law that were applicable to the Company beginning in fiscal 2026. The Act included significant provisions such as accelerated tax deductions for qualified property and research expenditures. The Company incorporated the impacts of the Act into its Consolidated Financial Statements, including applicable impacts related to the realizability of state income tax attributes.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Stockholders’ Equity</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common stock are entitled to one vote per share and to receive dividends, when declared. The holders have no preemptive or other subscription rights, and there are no redemption or sinking fund provisions with respect to such shares.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Company's board of directors approved a share repurchase program (the "Repurchase Program") under which the Company is authorized to purchase (in the aggregate) up to $500,000 of its issued and outstanding common stock. The board of directors subsequently approved increases to the authorized amount under the Repurchase Program of $500,000 in July 2025 and an additional $1,000,000 in April 2026. Under the Repurchase Program, shares may be repurchased from time-to-time in open market transactions at prevailing market prices, privately negotiated transactions or by other means, including the use of Rule 10b5-1 trading plans entered into by the Company. The actual timing, number and value of shares repurchased under the Repurchase Program will depend on the market price of its common stock, trading volume, general market conditions and other corporate and economic considerations. The Repurchase Program does not obligate the Company to repurchase any specific number of shares and may be modified, suspended or terminated at any time. During the years ended June 30, 2024, 2025 and 2026, the Company repurchased 1,050, 787 and 2,752 shares, respectively, for $150,000, $149,638 and $398,113, respectively. All shares of common stock repurchased were retired. As of June 30, 2026, $1,302,250 remained available for future share repurchases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(a) </w:t>
      </w:r>
      <w:r>
        <w:rPr>
          <w:rFonts w:ascii="Times New Roman;serif" w:hAnsi="Times New Roman;serif"/>
          <w:b/>
          <w:i/>
          <w:color w:val="000000"/>
          <w:sz w:val="20"/>
        </w:rPr>
        <w:t>Equity Incentive Plans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maintained a 2014 Equity Incentive Plan (the “2014 Plan”) and continues to maintain a 2023 Equity Incentive Plan (the “2023 Plan”), which was amended and restated in December 2025 to increase the number of shares available for issuance by 444 shares and remove certain share recycling provisions for stock options and stock appreciation rights. The 2023 Plan serves as the successor to the 2014 Plan and permits the granting of restricted stock units ("RSUs"), performance stock units ("PSUs"), market stock units ("MSUs") and other equity incentives at the discretion of the compensation committee of the Company’s board of directors ("Committee"). No new awards have been nor will be issued under the 2014 Plan since the effective date of the 2023 Plan. Outstanding awards under the 2014 Plan continue to be subject to the terms and conditions of the 2014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3,241 shares allocated to the 2023 Plan, of which 1,515 shares were subject to outstanding awards. Generally, the Company issues previously unissued shares for the vesting of awards; however, shares previously subject to 2023 Plan grants or awards that are forfeited or net settled at exercise or release may be reissued to satisfy future issuances.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RSUs, PSUs, MSUs and the Employee Stock Purchase Plan (as described below) was included in the following line items in the accompanying Consolidated Statements of Operations and Comprehensive Income:</w:t>
      </w:r>
    </w:p>
    <w:tbl>
      <w:tblPr>
        <w:tblW w:w="7587" w:type="dxa"/>
        <w:jc w:val="left"/>
        <w:tblInd w:w="0" w:type="dxa"/>
        <w:tblLayout w:type="fixed"/>
        <w:tblCellMar>
          <w:top w:w="28" w:type="dxa"/>
          <w:left w:w="28" w:type="dxa"/>
          <w:bottom w:w="28" w:type="dxa"/>
          <w:right w:w="28" w:type="dxa"/>
        </w:tblCellMar>
      </w:tblPr>
      <w:tblGrid>
        <w:gridCol w:w="1247"/>
        <w:gridCol w:w="1099"/>
        <w:gridCol w:w="1104"/>
        <w:gridCol w:w="211"/>
        <w:gridCol w:w="826"/>
        <w:gridCol w:w="109"/>
        <w:gridCol w:w="109"/>
        <w:gridCol w:w="109"/>
        <w:gridCol w:w="109"/>
        <w:gridCol w:w="211"/>
        <w:gridCol w:w="826"/>
        <w:gridCol w:w="109"/>
        <w:gridCol w:w="109"/>
        <w:gridCol w:w="109"/>
        <w:gridCol w:w="109"/>
        <w:gridCol w:w="211"/>
        <w:gridCol w:w="82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capitalized $14,376, $12,996 and $11,817 of stock-based compensation expense in its capitalized internal-use software costs in the years ended June 30, 2024, 2025 and 2026, respectively.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stock options granted during the years ended June 30, 2024, 2025 or 2026. The total intrinsic value of options exercised during the years ended June 30, 2024 and 2025 was $18,438 and $22,819, respectively. There were no stock options exercised or outstanding during the year ended June 30,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grants RSUs under its equity incentive plans with terms determined at the discretion of the Committee. RSUs generally vest over four years following the grant date and have time-based vesting conditions. The following table represents restricted stock unit activity during the year ended June 30, 2026:</w:t>
      </w:r>
    </w:p>
    <w:tbl>
      <w:tblPr>
        <w:tblW w:w="4740" w:type="dxa"/>
        <w:jc w:val="left"/>
        <w:tblInd w:w="0" w:type="dxa"/>
        <w:tblLayout w:type="fixed"/>
        <w:tblCellMar>
          <w:top w:w="28" w:type="dxa"/>
          <w:left w:w="28" w:type="dxa"/>
          <w:bottom w:w="28" w:type="dxa"/>
          <w:right w:w="28" w:type="dxa"/>
        </w:tblCellMar>
      </w:tblPr>
      <w:tblGrid>
        <w:gridCol w:w="924"/>
        <w:gridCol w:w="811"/>
        <w:gridCol w:w="815"/>
        <w:gridCol w:w="308"/>
        <w:gridCol w:w="308"/>
        <w:gridCol w:w="161"/>
        <w:gridCol w:w="109"/>
        <w:gridCol w:w="109"/>
        <w:gridCol w:w="109"/>
        <w:gridCol w:w="211"/>
        <w:gridCol w:w="7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 balance at July 1,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 balance at June 30, 2026</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The Company also grants PSUs under the 2023 Plan with terms determined at the discretion of the Committee. The actual number of PSUs that will be eligible to vest is based on the achievement of Recurring and other revenue targets over a </w:t>
      </w:r>
      <w:r>
        <w:rPr>
          <w:rFonts w:ascii="Times New Roman;serif" w:hAnsi="Times New Roman;serif"/>
          <w:b w:val="false"/>
          <w:color w:val="000000"/>
          <w:sz w:val="20"/>
        </w:rPr>
        <w:t>one year</w:t>
      </w:r>
      <w:r>
        <w:rPr>
          <w:color w:val="000000"/>
          <w:shd w:fill="FFFFFF" w:val="clear"/>
        </w:rPr>
        <w:t xml:space="preserve"> </w:t>
      </w:r>
      <w:r>
        <w:rPr>
          <w:rFonts w:ascii="Times New Roman;serif" w:hAnsi="Times New Roman;serif"/>
          <w:b w:val="false"/>
          <w:color w:val="000000"/>
          <w:sz w:val="20"/>
          <w:shd w:fill="FFFFFF" w:val="clear"/>
        </w:rPr>
        <w:t xml:space="preserve">period with vesting taking place annually over </w:t>
      </w:r>
      <w:r>
        <w:rPr>
          <w:rFonts w:ascii="Times New Roman;serif" w:hAnsi="Times New Roman;serif"/>
          <w:b w:val="false"/>
          <w:color w:val="000000"/>
          <w:sz w:val="20"/>
        </w:rPr>
        <w:t>three years</w:t>
      </w:r>
      <w:r>
        <w:rPr>
          <w:rFonts w:ascii="Times New Roman;serif" w:hAnsi="Times New Roman;serif"/>
          <w:b w:val="false"/>
          <w:color w:val="000000"/>
          <w:sz w:val="20"/>
          <w:shd w:fill="FFFFFF" w:val="clear"/>
        </w:rPr>
        <w:t xml:space="preserve">. Up to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 xml:space="preserve">of the target number of shares subject to each PSU are eligible to be earned. </w:t>
      </w:r>
      <w:r>
        <w:rPr>
          <w:rFonts w:ascii="Times New Roman;serif" w:hAnsi="Times New Roman;serif"/>
          <w:b w:val="false"/>
          <w:color w:val="000000"/>
          <w:sz w:val="20"/>
        </w:rPr>
        <w:t>The following table represents performance stock unit activity during the year ended June 30, 2026:</w:t>
      </w:r>
    </w:p>
    <w:tbl>
      <w:tblPr>
        <w:tblW w:w="4572" w:type="dxa"/>
        <w:jc w:val="left"/>
        <w:tblInd w:w="0" w:type="dxa"/>
        <w:tblLayout w:type="fixed"/>
        <w:tblCellMar>
          <w:top w:w="28" w:type="dxa"/>
          <w:left w:w="28" w:type="dxa"/>
          <w:bottom w:w="28" w:type="dxa"/>
          <w:right w:w="28" w:type="dxa"/>
        </w:tblCellMar>
      </w:tblPr>
      <w:tblGrid>
        <w:gridCol w:w="913"/>
        <w:gridCol w:w="802"/>
        <w:gridCol w:w="805"/>
        <w:gridCol w:w="218"/>
        <w:gridCol w:w="218"/>
        <w:gridCol w:w="161"/>
        <w:gridCol w:w="109"/>
        <w:gridCol w:w="109"/>
        <w:gridCol w:w="109"/>
        <w:gridCol w:w="407"/>
        <w:gridCol w:w="297"/>
        <w:gridCol w:w="42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 balance at July 1, 2025</w:t>
            </w:r>
          </w:p>
        </w:tc>
        <w:tc>
          <w:tcPr>
            <w:tcW w:w="5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170.07</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155.95</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 balance at June 30, 2026</w:t>
            </w:r>
          </w:p>
        </w:tc>
        <w:tc>
          <w:tcPr>
            <w:tcW w:w="59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167.02</w:t>
            </w:r>
          </w:p>
        </w:tc>
      </w:tr>
    </w:tbl>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w:t>
      </w:r>
      <w:r>
        <w:rPr>
          <w:rFonts w:ascii="Times New Roman;serif" w:hAnsi="Times New Roman;serif"/>
          <w:b w:val="false"/>
          <w:color w:val="000000"/>
          <w:sz w:val="20"/>
          <w:shd w:fill="FFFFFF" w:val="clear"/>
        </w:rPr>
        <w:t>three years</w:t>
      </w:r>
      <w:r>
        <w:rPr>
          <w:rFonts w:ascii="Times New Roman;serif" w:hAnsi="Times New Roman;serif"/>
          <w:b w:val="false"/>
          <w:color w:val="000000"/>
          <w:sz w:val="20"/>
        </w:rPr>
        <w:t xml:space="preserve">. The MSUs vest at the end of each TSR measurement period, and up to </w:t>
      </w:r>
      <w:r>
        <w:rPr>
          <w:rFonts w:ascii="Times New Roman;serif" w:hAnsi="Times New Roman;serif"/>
          <w:b w:val="false"/>
          <w:color w:val="000000"/>
          <w:sz w:val="20"/>
          <w:shd w:fill="FFFFFF" w:val="clear"/>
        </w:rPr>
        <w:t>200%</w:t>
      </w:r>
      <w:r>
        <w:rPr>
          <w:color w:val="000000"/>
        </w:rPr>
        <w:t xml:space="preserve"> </w:t>
      </w:r>
      <w:r>
        <w:rPr>
          <w:rFonts w:ascii="Times New Roman;serif" w:hAnsi="Times New Roman;serif"/>
          <w:b w:val="false"/>
          <w:color w:val="000000"/>
          <w:sz w:val="20"/>
        </w:rPr>
        <w:t xml:space="preserve">of the target number of shares subject to each MSU are eligible to be earned. </w:t>
      </w:r>
      <w:r>
        <w:rPr>
          <w:rFonts w:ascii="Times New Roman;serif" w:hAnsi="Times New Roman;serif"/>
          <w:b w:val="false"/>
          <w:color w:val="000000"/>
          <w:sz w:val="20"/>
          <w:shd w:fill="FFFFFF" w:val="clear"/>
        </w:rPr>
        <w:t xml:space="preserve">The following table represents market share unit activity during the year ended </w:t>
      </w:r>
      <w:r>
        <w:rPr>
          <w:rFonts w:ascii="Times New Roman;serif" w:hAnsi="Times New Roman;serif"/>
          <w:b w:val="false"/>
          <w:color w:val="000000"/>
          <w:sz w:val="20"/>
        </w:rPr>
        <w:t>June 30, 2026:</w:t>
      </w:r>
    </w:p>
    <w:tbl>
      <w:tblPr>
        <w:tblW w:w="4647" w:type="dxa"/>
        <w:jc w:val="left"/>
        <w:tblInd w:w="0" w:type="dxa"/>
        <w:tblLayout w:type="fixed"/>
        <w:tblCellMar>
          <w:top w:w="28" w:type="dxa"/>
          <w:left w:w="28" w:type="dxa"/>
          <w:bottom w:w="28" w:type="dxa"/>
          <w:right w:w="28" w:type="dxa"/>
        </w:tblCellMar>
      </w:tblPr>
      <w:tblGrid>
        <w:gridCol w:w="940"/>
        <w:gridCol w:w="826"/>
        <w:gridCol w:w="829"/>
        <w:gridCol w:w="218"/>
        <w:gridCol w:w="218"/>
        <w:gridCol w:w="161"/>
        <w:gridCol w:w="109"/>
        <w:gridCol w:w="109"/>
        <w:gridCol w:w="109"/>
        <w:gridCol w:w="407"/>
        <w:gridCol w:w="297"/>
        <w:gridCol w:w="42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MSU balance at July 1, 2025</w:t>
            </w:r>
          </w:p>
        </w:tc>
        <w:tc>
          <w:tcPr>
            <w:tcW w:w="5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311.38</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MSUs granted</w:t>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MSUs vested</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391.16</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MSUs forfeited</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391.16</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MSU balance at June 30, 2026</w:t>
            </w:r>
          </w:p>
        </w:tc>
        <w:tc>
          <w:tcPr>
            <w:tcW w:w="59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243.98</w:t>
            </w:r>
          </w:p>
        </w:tc>
      </w:tr>
    </w:tbl>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estimated the grant date fair value of the MSUs using a Monte Carlo simulation model that included the following assumptions:</w:t>
      </w:r>
    </w:p>
    <w:tbl>
      <w:tblPr>
        <w:tblW w:w="4809" w:type="dxa"/>
        <w:jc w:val="left"/>
        <w:tblInd w:w="0" w:type="dxa"/>
        <w:tblLayout w:type="fixed"/>
        <w:tblCellMar>
          <w:top w:w="28" w:type="dxa"/>
          <w:left w:w="28" w:type="dxa"/>
          <w:bottom w:w="28" w:type="dxa"/>
          <w:right w:w="28" w:type="dxa"/>
        </w:tblCellMar>
      </w:tblPr>
      <w:tblGrid>
        <w:gridCol w:w="772"/>
        <w:gridCol w:w="677"/>
        <w:gridCol w:w="681"/>
        <w:gridCol w:w="153"/>
        <w:gridCol w:w="153"/>
        <w:gridCol w:w="324"/>
        <w:gridCol w:w="109"/>
        <w:gridCol w:w="109"/>
        <w:gridCol w:w="109"/>
        <w:gridCol w:w="164"/>
        <w:gridCol w:w="164"/>
        <w:gridCol w:w="347"/>
        <w:gridCol w:w="109"/>
        <w:gridCol w:w="109"/>
        <w:gridCol w:w="109"/>
        <w:gridCol w:w="161"/>
        <w:gridCol w:w="161"/>
        <w:gridCol w:w="398"/>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assumptions:</w:t>
            </w:r>
          </w:p>
        </w:tc>
        <w:tc>
          <w:tcPr>
            <w:tcW w:w="63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37.7%</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3.04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w:t>
              <w:noBreakHyphen/>
              <w:t>free interest rate</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3.70% </w:t>
            </w:r>
          </w:p>
        </w:tc>
      </w:tr>
    </w:tbl>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there was $99,963 of total unrecognized compensation cost, net of estimated forfeitures, related to unvested RSUs, PSUs and MSUs. That cost is expected to be recognized over a weighted average period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excess income tax benefits on $9,374 of stock-based compensation arrangements for the year ended June 30, 2024. The Company recognized tax shortfalls on $2,598 and $69,333 of stock-based compensation arrangements for the years ended June 30, 2025 and 2026, respectively. The tax impacts for all years were recognized through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(b) </w:t>
      </w:r>
      <w:r>
        <w:rPr>
          <w:rFonts w:ascii="Times New Roman;serif" w:hAnsi="Times New Roman;serif"/>
          <w:b/>
          <w:i/>
          <w:color w:val="000000"/>
          <w:sz w:val="20"/>
        </w:rPr>
        <w:t>Employee Stock Purchase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Employee Stock Purchase Plan (“ESPP”), the Company can grant stock purchase rights to all eligible employees during specific offering periods. Shares are purchased through employees’ payroll deductions, up to a maximum of 10% of employees’ compensation for each purchase period, at a purchase price equal to 85% of the lesser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market value of the Company’s common stock at the first trading day of the applicable offering period or the purchase date. The ESPP is considered compensatory and results in compensation expense.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 total of 1,726 shares of common stock were reserved for future issuances under the ESPP.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issued a total of 171 shares upon the completion of its six-month offering periods ending November 15, 2025 and May 15, 2026. The Company recorded compensation expense attributable to the ESPP of $6,378, $5,988 and $5,732 for the years ended June 30, 2024, 2025 and 2026, respectively, which is included in the summary of stock-based compensation expense above. The grant date fair values of the ESPP offering periods were estimated using the following assumptions:</w:t>
      </w:r>
    </w:p>
    <w:tbl>
      <w:tblPr>
        <w:tblW w:w="6293" w:type="dxa"/>
        <w:jc w:val="left"/>
        <w:tblInd w:w="0" w:type="dxa"/>
        <w:tblLayout w:type="fixed"/>
        <w:tblCellMar>
          <w:top w:w="28" w:type="dxa"/>
          <w:left w:w="28" w:type="dxa"/>
          <w:bottom w:w="28" w:type="dxa"/>
          <w:right w:w="28" w:type="dxa"/>
        </w:tblCellMar>
      </w:tblPr>
      <w:tblGrid>
        <w:gridCol w:w="788"/>
        <w:gridCol w:w="691"/>
        <w:gridCol w:w="695"/>
        <w:gridCol w:w="275"/>
        <w:gridCol w:w="275"/>
        <w:gridCol w:w="590"/>
        <w:gridCol w:w="109"/>
        <w:gridCol w:w="109"/>
        <w:gridCol w:w="109"/>
        <w:gridCol w:w="275"/>
        <w:gridCol w:w="275"/>
        <w:gridCol w:w="590"/>
        <w:gridCol w:w="109"/>
        <w:gridCol w:w="109"/>
        <w:gridCol w:w="109"/>
        <w:gridCol w:w="263"/>
        <w:gridCol w:w="263"/>
        <w:gridCol w:w="659"/>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assumptions: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dividend yield </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volatility </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32.9 - 43.3%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31.3 - 33.4%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27.9 - 43.0%</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term (years) </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w:t>
              <w:noBreakHyphen/>
              <w:t xml:space="preserve">free interest rate </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5.26 - 5.41%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4.30 - 5.41%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3.77 - 4.30%</w:t>
            </w:r>
          </w:p>
        </w:tc>
      </w:tr>
    </w:tbl>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(c) </w:t>
      </w:r>
      <w:r>
        <w:rPr>
          <w:rFonts w:ascii="Times New Roman;serif" w:hAnsi="Times New Roman;serif"/>
          <w:b/>
          <w:i/>
          <w:color w:val="000000"/>
          <w:sz w:val="20"/>
        </w:rPr>
        <w:t>401(k)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401(k) plan with a matching provision that covers all eligible employees. The Company matches 50% of employees’ contributions up to 8% of their gross pay. Contributions were $17,377, $18,946 and $19,568 for the years ended June 30, 2024, 2025 and 2026,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(a) </w:t>
      </w:r>
      <w:r>
        <w:rPr>
          <w:rFonts w:ascii="Times New Roman;serif" w:hAnsi="Times New Roman;serif"/>
          <w:b/>
          <w:i/>
          <w:color w:val="000000"/>
          <w:sz w:val="20"/>
        </w:rPr>
        <w:t>Employment Agreements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pStyle w:val="TextBody"/>
        <w:bidi w:val="0"/>
        <w:spacing w:lineRule="auto" w:line="288" w:before="240" w:after="283"/>
        <w:ind w:left="0" w:right="0" w:hanging="360"/>
        <w:jc w:val="left"/>
        <w:rPr/>
      </w:pPr>
      <w:r>
        <w:rPr>
          <w:rFonts w:ascii="Times New Roman;serif" w:hAnsi="Times New Roman;serif"/>
          <w:b w:val="false"/>
          <w:color w:val="000000"/>
          <w:sz w:val="20"/>
        </w:rPr>
        <w:t xml:space="preserve">(b) </w:t>
      </w:r>
      <w:r>
        <w:rPr>
          <w:rFonts w:ascii="Times New Roman;serif" w:hAnsi="Times New Roman;serif"/>
          <w:b/>
          <w:i/>
          <w:color w:val="000000"/>
          <w:sz w:val="20"/>
        </w:rPr>
        <w:t>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11, 2023, a second potential class action complaint was filed against the Company with the Circuit Court of Cook County that alleges violations of the Illinois Biometric Information Privacy Act that overlap with claims in the first action. On June 13, 2025, the Company settled this matter without a material impact on the Company’s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(18) Net Income Per Share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w:t>
      </w:r>
    </w:p>
    <w:tbl>
      <w:tblPr>
        <w:tblW w:w="10205" w:type="dxa"/>
        <w:jc w:val="left"/>
        <w:tblInd w:w="0" w:type="dxa"/>
        <w:tblLayout w:type="fixed"/>
        <w:tblCellMar>
          <w:top w:w="28" w:type="dxa"/>
          <w:left w:w="28" w:type="dxa"/>
          <w:bottom w:w="28" w:type="dxa"/>
          <w:right w:w="28" w:type="dxa"/>
        </w:tblCellMar>
      </w:tblPr>
      <w:tblGrid>
        <w:gridCol w:w="2188"/>
        <w:gridCol w:w="1926"/>
        <w:gridCol w:w="1953"/>
        <w:gridCol w:w="211"/>
        <w:gridCol w:w="826"/>
        <w:gridCol w:w="109"/>
        <w:gridCol w:w="109"/>
        <w:gridCol w:w="109"/>
        <w:gridCol w:w="109"/>
        <w:gridCol w:w="211"/>
        <w:gridCol w:w="826"/>
        <w:gridCol w:w="109"/>
        <w:gridCol w:w="109"/>
        <w:gridCol w:w="109"/>
        <w:gridCol w:w="109"/>
        <w:gridCol w:w="211"/>
        <w:gridCol w:w="826"/>
        <w:gridCol w:w="155"/>
      </w:tblGrid>
      <w:tr>
        <w:trPr/>
        <w:tc>
          <w:tcPr>
            <w:tcW w:w="218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potentially dilutive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restricted stock units, performance stock units and market stock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54,770 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restricted stock units and market stock units as of the balance sheet date that were excluded from the diluted per share calculation for the periods presented because to include them would have been anti-dilutive:</w:t>
      </w:r>
    </w:p>
    <w:tbl>
      <w:tblPr>
        <w:tblW w:w="4451" w:type="dxa"/>
        <w:jc w:val="left"/>
        <w:tblInd w:w="0" w:type="dxa"/>
        <w:tblLayout w:type="fixed"/>
        <w:tblCellMar>
          <w:top w:w="28" w:type="dxa"/>
          <w:left w:w="28" w:type="dxa"/>
          <w:bottom w:w="28" w:type="dxa"/>
          <w:right w:w="28" w:type="dxa"/>
        </w:tblCellMar>
      </w:tblPr>
      <w:tblGrid>
        <w:gridCol w:w="743"/>
        <w:gridCol w:w="653"/>
        <w:gridCol w:w="658"/>
        <w:gridCol w:w="202"/>
        <w:gridCol w:w="204"/>
        <w:gridCol w:w="156"/>
        <w:gridCol w:w="109"/>
        <w:gridCol w:w="109"/>
        <w:gridCol w:w="109"/>
        <w:gridCol w:w="203"/>
        <w:gridCol w:w="203"/>
        <w:gridCol w:w="156"/>
        <w:gridCol w:w="109"/>
        <w:gridCol w:w="109"/>
        <w:gridCol w:w="109"/>
        <w:gridCol w:w="202"/>
        <w:gridCol w:w="204"/>
        <w:gridCol w:w="21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(19) Segment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disclosed in Note 2, the Company determined that it operates as one operating and reportable segment and derives revenues from customers by providing its HCM, finance and IT software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b82c24740058428a99f77768ccf6e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significant expenses and other segment items as included in consolidated net income:</w:t>
      </w:r>
    </w:p>
    <w:tbl>
      <w:tblPr>
        <w:tblW w:w="7646" w:type="dxa"/>
        <w:jc w:val="left"/>
        <w:tblInd w:w="0" w:type="dxa"/>
        <w:tblLayout w:type="fixed"/>
        <w:tblCellMar>
          <w:top w:w="28" w:type="dxa"/>
          <w:left w:w="28" w:type="dxa"/>
          <w:bottom w:w="28" w:type="dxa"/>
          <w:right w:w="28" w:type="dxa"/>
        </w:tblCellMar>
      </w:tblPr>
      <w:tblGrid>
        <w:gridCol w:w="1104"/>
        <w:gridCol w:w="972"/>
        <w:gridCol w:w="983"/>
        <w:gridCol w:w="211"/>
        <w:gridCol w:w="976"/>
        <w:gridCol w:w="109"/>
        <w:gridCol w:w="109"/>
        <w:gridCol w:w="109"/>
        <w:gridCol w:w="109"/>
        <w:gridCol w:w="211"/>
        <w:gridCol w:w="976"/>
        <w:gridCol w:w="109"/>
        <w:gridCol w:w="109"/>
        <w:gridCol w:w="109"/>
        <w:gridCol w:w="109"/>
        <w:gridCol w:w="211"/>
        <w:gridCol w:w="97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1,771,326 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sales and marketing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segment items primarily include amortization of capitalized internal-use software and acquired intangible assets and stock-based compensation expense.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p>
    <w:p>
      <w:pPr>
        <w:pStyle w:val="TextBody"/>
        <w:bidi w:val="0"/>
        <w:spacing w:lineRule="auto" w:line="288" w:before="240" w:after="283"/>
        <w:jc w:val="center"/>
        <w:rPr/>
      </w:pPr>
      <w:r>
        <w:rPr>
          <w:rFonts w:ascii="Times New Roman;serif" w:hAnsi="Times New Roman;serif"/>
          <w:b/>
          <w:color w:val="000000"/>
          <w:sz w:val="24"/>
        </w:rPr>
        <w:t>EMPLOYMENT AGREEMENT</w:t>
      </w:r>
      <w:r>
        <w:rPr>
          <w:color w:val="000000"/>
        </w:rPr>
        <w:t xml:space="preserve"> </w:t>
      </w:r>
    </w:p>
    <w:p>
      <w:pPr>
        <w:pStyle w:val="TextBody"/>
        <w:bidi w:val="0"/>
        <w:spacing w:before="240" w:after="283"/>
        <w:ind w:left="0" w:right="0" w:firstLine="705"/>
        <w:jc w:val="both"/>
        <w:rPr/>
      </w:pPr>
      <w:r>
        <w:rPr/>
      </w:r>
    </w:p>
    <w:p>
      <w:pPr>
        <w:pStyle w:val="TextBody"/>
        <w:bidi w:val="0"/>
        <w:spacing w:lineRule="auto" w:line="288" w:before="240" w:after="283"/>
        <w:ind w:left="0" w:right="0" w:firstLine="705"/>
        <w:jc w:val="both"/>
        <w:rPr/>
      </w:pPr>
      <w:r>
        <w:rPr>
          <w:rFonts w:ascii="Times New Roman;serif" w:hAnsi="Times New Roman;serif"/>
          <w:b w:val="false"/>
          <w:color w:val="000000"/>
          <w:sz w:val="24"/>
        </w:rPr>
        <w:t>This Employment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by Paylocity Corporation, an Illinois corporation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Nicholas Rost (“</w:t>
      </w:r>
      <w:r>
        <w:rPr>
          <w:rFonts w:ascii="Times New Roman;serif" w:hAnsi="Times New Roman;serif"/>
          <w:b/>
          <w:i/>
          <w:color w:val="000000"/>
          <w:sz w:val="24"/>
        </w:rPr>
        <w:t>Employee</w:t>
      </w:r>
      <w:r>
        <w:rPr>
          <w:color w:val="000000"/>
        </w:rPr>
        <w:t>”</w:t>
      </w:r>
      <w:r>
        <w:rPr>
          <w:rFonts w:ascii="Times New Roman;serif" w:hAnsi="Times New Roman;serif"/>
          <w:b w:val="false"/>
          <w:color w:val="000000"/>
          <w:sz w:val="24"/>
        </w:rPr>
        <w:t>) effective as of April 23,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 parties agree as follows: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Employment</w:t>
      </w:r>
      <w:r>
        <w:rPr>
          <w:rFonts w:ascii="Times New Roman;serif" w:hAnsi="Times New Roman;serif"/>
          <w:b w:val="false"/>
          <w:color w:val="000000"/>
          <w:sz w:val="24"/>
        </w:rPr>
        <w:t>. Company hereby employs Employee, and Employee hereby accepts such employment, upon the terms and conditions set forth herein.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Duties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2.1 </w:t>
      </w:r>
      <w:r>
        <w:rPr>
          <w:rFonts w:ascii="Times New Roman;serif" w:hAnsi="Times New Roman;serif"/>
          <w:b w:val="false"/>
          <w:color w:val="000000"/>
          <w:sz w:val="24"/>
          <w:u w:val="single"/>
        </w:rPr>
        <w:t>Position</w:t>
      </w:r>
      <w:r>
        <w:rPr>
          <w:rFonts w:ascii="Times New Roman;serif" w:hAnsi="Times New Roman;serif"/>
          <w:b w:val="false"/>
          <w:color w:val="000000"/>
          <w:sz w:val="24"/>
        </w:rPr>
        <w:t>. Employee is employed as Vice President, Chief Accounting Officer and Treasurer and shall have the duties and responsibilities assigned by Company’s Chief Financial Officer (“</w:t>
      </w:r>
      <w:r>
        <w:rPr>
          <w:rFonts w:ascii="Times New Roman;serif" w:hAnsi="Times New Roman;serif"/>
          <w:b/>
          <w:i/>
          <w:color w:val="000000"/>
          <w:sz w:val="24"/>
        </w:rPr>
        <w:t>CFO</w:t>
      </w:r>
      <w:r>
        <w:rPr>
          <w:color w:val="000000"/>
        </w:rPr>
        <w:t>”</w:t>
      </w:r>
      <w:r>
        <w:rPr>
          <w:rFonts w:ascii="Times New Roman;serif" w:hAnsi="Times New Roman;serif"/>
          <w:b w:val="false"/>
          <w:color w:val="000000"/>
          <w:sz w:val="24"/>
        </w:rPr>
        <w:t>). Employee shall perform faithfully and diligently all duties assigned to Employee. Company reserves the right to modify Employee’s position and duties at any time in its sole and absolute discretion.</w:t>
      </w:r>
      <w:r>
        <w:rPr>
          <w:color w:val="000000"/>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2.2 </w:t>
      </w:r>
      <w:r>
        <w:rPr>
          <w:rFonts w:ascii="Times New Roman;serif" w:hAnsi="Times New Roman;serif"/>
          <w:b w:val="false"/>
          <w:color w:val="000000"/>
          <w:sz w:val="24"/>
          <w:u w:val="single"/>
        </w:rPr>
        <w:t>Best Efforts/Full-time</w:t>
      </w:r>
      <w:r>
        <w:rPr>
          <w:rFonts w:ascii="Times New Roman;serif" w:hAnsi="Times New Roman;serif"/>
          <w:b w:val="false"/>
          <w:color w:val="000000"/>
          <w:sz w:val="24"/>
        </w:rPr>
        <w:t xml:space="preserve">. Employee will expend Employee’s best efforts on behalf of Company, and will abide by all policies and decisions made by Company, as well as all applicable federal, state and local laws, regulations or ordinances. Employee will act in the best interest of Company at all times. Employee shall devote Employee’s full business time and efforts to the performance of Employee’s assigned duties for Company, unless Employee notifies the CFO in advance of Employee’s intent to engage in other paid work and receives the CFO’s express written consent to do so. Notwithstanding the foregoing, Employee will be permitted to serve as an outside director on the board of directors for nonprofit or charitable entities or managing Employee’s personal financial and legal affairs, so long as the foregoing activities, provided such entities are not competitive with Company and subject to the provisions of Section 10 below.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At-Will Employment</w:t>
      </w:r>
      <w:r>
        <w:rPr>
          <w:rFonts w:ascii="Times New Roman;serif" w:hAnsi="Times New Roman;serif"/>
          <w:b w:val="false"/>
          <w:color w:val="000000"/>
          <w:sz w:val="24"/>
        </w:rPr>
        <w:t>. Employee’s employment with Company is at-will and not for any specified period and may be terminated at any time, with or without cause (as defined below) or advance notice, by either Employee or Company. No representative of Company, other than the CFO, CEO or Company’s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has the authority to alter the at-will employment relationship. Any change to the at-will employment relationship must be by specific, written agreement signed by Employee and the CFO, CEO or a duly-authorized representative of the Board. Nothing in this Agreement is intended to or should be construed to contradict, modify or alter this at-will relationship.</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r>
        <w:rPr>
          <w:color w:val="000000"/>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As compensation for Employee’s performance of Employee’s duties hereunder, Company shall pay to Employee an annual base salary of $344,312.80 less required deductions for state and federal withholding tax, social security and all other employment taxes and payroll deductions, payable in accordance with the normal payroll practices of Company. Beginning in fiscal year 2027, the Compensation Committee of the Board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shall conduct an annual review of Employee’s base salary based on third party comparison data and internal management recommendations. The salary change, if any, will be consistent with the timing of the salary adjustments of other senior Employees of Company. In the event Employee’s employment under this Agreement is terminated by either party, for any reason, Employee will earn the base salary prorated to the date of termination.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Incentive Compensation</w:t>
      </w:r>
      <w:r>
        <w:rPr>
          <w:rFonts w:ascii="Times New Roman;serif" w:hAnsi="Times New Roman;serif"/>
          <w:b w:val="false"/>
          <w:color w:val="000000"/>
          <w:sz w:val="24"/>
        </w:rPr>
        <w:t>. Employee will be eligible to earn an annual incentive bonus, the target amount of which shall be a percentage as determined by the Company’s Compensation Committee (“</w:t>
      </w:r>
      <w:r>
        <w:rPr>
          <w:rFonts w:ascii="Times New Roman;serif" w:hAnsi="Times New Roman;serif"/>
          <w:b/>
          <w:i/>
          <w:color w:val="000000"/>
          <w:sz w:val="24"/>
        </w:rPr>
        <w:t>Annual Bonus</w:t>
      </w:r>
      <w:r>
        <w:rPr>
          <w:color w:val="000000"/>
        </w:rPr>
        <w:t>”</w:t>
      </w:r>
      <w:r>
        <w:rPr>
          <w:rFonts w:ascii="Times New Roman;serif" w:hAnsi="Times New Roman;serif"/>
          <w:b w:val="false"/>
          <w:color w:val="000000"/>
          <w:sz w:val="24"/>
        </w:rPr>
        <w:t xml:space="preserve">). The target amount of the Annual Bonus for fiscal year 2026 shall be 40% of Employee’s annualized base salary and pro-rated based on start date. The Annual Bonus will be based on Employee’s achievement of certain goals, as well as Company metrics which shall be established by the Company’s Board. The Annual Bonus shall be less all required taxes and withholdings and will be paid out within 60 days following the end of the fiscal year in which it is earned.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Equity Incentive Grants</w:t>
      </w:r>
      <w:r>
        <w:rPr>
          <w:rFonts w:ascii="Times New Roman;serif" w:hAnsi="Times New Roman;serif"/>
          <w:b w:val="false"/>
          <w:color w:val="000000"/>
          <w:sz w:val="24"/>
        </w:rPr>
        <w:t>. Beginning in fiscal 2027, Employee shall be eligible to receive long-term equity incentives, as determined during the annual review conducted by the Compensation Committee and the Board.</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(a) Immediately prior to the consummation of a Change in Control, the vesting of all unvested shares subject to outstanding equity awards with time-based vesting issued to Employee by Parent shall be accelerated in full and, if applicable, such equity awards shall become exercisable or shall be settled in full immediately prior to such Change in Control provided that Employee’s employment with Company or Parent has not terminated prior to such Change in Control. For the purposes of this Agreement, “</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shall have the meaning set forth in Company’s 2023 Equity Incentive Plan, as amended from time to time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 If Employee’s employment with Company terminates due to Employee’s death or Employee’s Disability (as such term is defined in the Plan), (i) the vesting of all unvested shares subject to outstanding equity awards with time-based vesting issued to Employee by Parent shall be accelerated in full and, if applicable, such equity awards shall become exercisable or shall be settled in full and (ii) the unvested shares subject to outstanding equity awards with performance-based vesting shall remain outstanding, and vest based on actual achievement of the underlying performance goals, with Employee receiving a pro-rated portion of the performance-based award (based on the number of calendar days in the performance period that Employee was employed over the total number of calendar days in the performance period), and, if applicable, such equity awards shall become exercisable or shall be settled to the extent vested upon such determination.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Customary Fringe Benefits</w:t>
      </w:r>
      <w:r>
        <w:rPr>
          <w:rFonts w:ascii="Times New Roman;serif" w:hAnsi="Times New Roman;serif"/>
          <w:b w:val="false"/>
          <w:color w:val="000000"/>
          <w:sz w:val="24"/>
        </w:rPr>
        <w:t>. Employee will be eligible for all customary and usual fringe benefits generally available to Employees of Company subject to the terms and conditions of Company’s benefit plan documents. Company reserves the right to change or eliminate the fringe benefits on a prospective basis, at any time, effective upon notice to Employee.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xml:space="preserve">. Employee will be reimbursed for all reasonable, out-of-pocket business expenses incurred in the performance of Employee’s duties on behalf of Company, including reasonable out-of-pocket expenses associated with Employee’s travel as approved by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CFO. To obtain reimbursement, expenses must be submitted promptly with appropriate supporting documentation and will be reimbursed in accordance with Company’s policies. Any reimbursement Employee is entitled to receive shall (a) be paid no later than the last day of Employee’s tax year following the tax year in which the expense was incurred, (b) not be affected by any other expenses that are eligible for reimbursement in any tax year and (c) not be subject to liquidation or exchange for another benefit.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Termination of Employee’s Employment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7.1 </w:t>
      </w:r>
      <w:r>
        <w:rPr>
          <w:rFonts w:ascii="Times New Roman;serif" w:hAnsi="Times New Roman;serif"/>
          <w:b w:val="false"/>
          <w:color w:val="000000"/>
          <w:sz w:val="24"/>
          <w:u w:val="single"/>
        </w:rPr>
        <w:t>Termination for Cause by Company</w:t>
      </w:r>
      <w:r>
        <w:rPr>
          <w:rFonts w:ascii="Times New Roman;serif" w:hAnsi="Times New Roman;serif"/>
          <w:b w:val="false"/>
          <w:color w:val="000000"/>
          <w:sz w:val="24"/>
        </w:rPr>
        <w:t>. Company may terminate Employee’s employment immediately at any time for Cause. For purposes of this Agreement,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is defined as: (i) material dishonest or fraudulent behavior, or convictions of a felony; (ii) the material breach of any covenant contained or referred to in this Agreement; (iii) the failure of Employee to meet fair and reasonable performance standards established by Company from time to time; (iv) Employee’s failure or refusal to perform specific directives of CFO, which directives are consistent with the scope and nature of Employee’s duties and responsibilities, and which are not remedied by Employee within thirty (30) days after written notice; (v) any violation of the covenant not to disclose confidential information regarding the business of Company and its products as set forth in Section 7 of this Agreement; or (vi) any act of material dishonesty by Employee which adversely affects the business of Company. In the event Employee’s employment is terminated in accordance with this subsection 7.1, Employee shall be entitled to receive only Employee’s base salary then in effect, prorated to the date of termination and all benefits accrued through the date of termination (“</w:t>
      </w:r>
      <w:r>
        <w:rPr>
          <w:rFonts w:ascii="Times New Roman;serif" w:hAnsi="Times New Roman;serif"/>
          <w:b/>
          <w:i/>
          <w:color w:val="000000"/>
          <w:sz w:val="24"/>
        </w:rPr>
        <w:t>Accrued Benefits</w:t>
      </w:r>
      <w:r>
        <w:rPr>
          <w:color w:val="000000"/>
        </w:rPr>
        <w:t>”</w:t>
      </w:r>
      <w:r>
        <w:rPr>
          <w:rFonts w:ascii="Times New Roman;serif" w:hAnsi="Times New Roman;serif"/>
          <w:b w:val="false"/>
          <w:color w:val="000000"/>
          <w:sz w:val="24"/>
        </w:rPr>
        <w:t>). All other Company obligations to Employee pursuant to this Agreement will become automatically terminated and completely extinguished. Employee will not be entitled to receive the Severance Payment described in subsection 7.2 below.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7.2 </w:t>
      </w:r>
      <w:r>
        <w:rPr>
          <w:rFonts w:ascii="Times New Roman;serif" w:hAnsi="Times New Roman;serif"/>
          <w:b w:val="false"/>
          <w:color w:val="000000"/>
          <w:sz w:val="24"/>
          <w:u w:val="single"/>
        </w:rPr>
        <w:t>Termination Without Cause by Company/Severance</w:t>
      </w:r>
      <w:r>
        <w:rPr>
          <w:rFonts w:ascii="Times New Roman;serif" w:hAnsi="Times New Roman;serif"/>
          <w:b w:val="false"/>
          <w:color w:val="000000"/>
          <w:sz w:val="24"/>
        </w:rPr>
        <w:t>. Company may terminate Employee’s employment under this Agreement without Cause at any time on thirty (30) days’ advance written notice to Employee. In the event of such termination, Employee will receive Employee’s base salary then in effect, prorated to the date of termination, and Accrued Benefits. In addition, Employee will receive a “</w:t>
      </w:r>
      <w:r>
        <w:rPr>
          <w:rFonts w:ascii="Times New Roman;serif" w:hAnsi="Times New Roman;serif"/>
          <w:b/>
          <w:i/>
          <w:color w:val="000000"/>
          <w:sz w:val="24"/>
        </w:rPr>
        <w:t>Severance Payment</w:t>
      </w:r>
      <w:r>
        <w:rPr>
          <w:color w:val="000000"/>
        </w:rPr>
        <w:t xml:space="preserve">” </w:t>
      </w:r>
      <w:r>
        <w:rPr>
          <w:rFonts w:ascii="Times New Roman;serif" w:hAnsi="Times New Roman;serif"/>
          <w:b w:val="false"/>
          <w:color w:val="000000"/>
          <w:sz w:val="24"/>
        </w:rPr>
        <w:t>equivalent to twelve</w:t>
      </w:r>
      <w:r>
        <w:rPr>
          <w:color w:val="000000"/>
        </w:rPr>
        <w:t xml:space="preserve"> </w:t>
      </w:r>
      <w:r>
        <w:rPr>
          <w:rFonts w:ascii="Times New Roman;serif" w:hAnsi="Times New Roman;serif"/>
          <w:b w:val="false"/>
          <w:color w:val="000000"/>
          <w:sz w:val="24"/>
        </w:rPr>
        <w:t>(12) months of Employee’s base salary then in effect on the date of termination, payable as salary continuation in equal installments in accordance with Company’s regular payroll cycle over a twelve (12) month period,</w:t>
      </w:r>
      <w:r>
        <w:rPr>
          <w:color w:val="000000"/>
        </w:rPr>
        <w:t xml:space="preserve"> </w:t>
      </w:r>
      <w:r>
        <w:rPr>
          <w:rFonts w:ascii="Times New Roman;serif" w:hAnsi="Times New Roman;serif"/>
          <w:b w:val="false"/>
          <w:color w:val="000000"/>
          <w:sz w:val="24"/>
        </w:rPr>
        <w:t>beginning on the first regular payday occurring 60 days following the termination date. Employee will only receive the Severance Payment if Employee executes a full general release in a form acceptable to Company, releasing all claims, known or unknown, that Employee may have against Company arising out of or any way related to Employee’s employment or termination of employment with Company, and such release has become effective in accordance with its terms prior to the 60th day following the termination date. All other Company obligations to Employee will be automatically terminated and completely extinguished. If Employee’s employment with Company terminates due to Employee’s death or Employee’s inability to perform the essential functions of Employee’s position with or without reasonable accommodation, Employee shall not be entitled to the Severance Payment described above.</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7.3 </w:t>
      </w:r>
      <w:r>
        <w:rPr>
          <w:rFonts w:ascii="Times New Roman;serif" w:hAnsi="Times New Roman;serif"/>
          <w:b w:val="false"/>
          <w:color w:val="000000"/>
          <w:sz w:val="24"/>
          <w:u w:val="single"/>
        </w:rPr>
        <w:t>Voluntary Resignation by Employee</w:t>
      </w:r>
      <w:r>
        <w:rPr>
          <w:rFonts w:ascii="Times New Roman;serif" w:hAnsi="Times New Roman;serif"/>
          <w:b w:val="false"/>
          <w:color w:val="000000"/>
          <w:sz w:val="24"/>
        </w:rPr>
        <w:t>. Employee may voluntarily resign Employee’s position with Company at any time on thirty (30) days’ advance written notice. In the event of Employee’s voluntary resignation, Employee will be entitled to receive only Accrued Benefits for the thirty-day notice period and no other amount. All other Company obligations to Employee pursuant to this Agreement will become automatically terminated and completely extinguished. In addition, Employee will not be entitled to receive the Severance Payment described in subsection 7.2 above.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Resignation of Board or Other Positions</w:t>
      </w:r>
      <w:r>
        <w:rPr>
          <w:rFonts w:ascii="Times New Roman;serif" w:hAnsi="Times New Roman;serif"/>
          <w:b w:val="false"/>
          <w:color w:val="000000"/>
          <w:sz w:val="24"/>
        </w:rPr>
        <w:t>. Upon the termination of Employee’s employment for any reason, Employee agrees to immediately resign all other positions (including Board membership) Employee may hold on behalf of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Application of Section 409A</w:t>
      </w:r>
      <w:r>
        <w:rPr>
          <w:rFonts w:ascii="Times New Roman;serif" w:hAnsi="Times New Roman;serif"/>
          <w:b w:val="false"/>
          <w:color w:val="000000"/>
          <w:sz w:val="24"/>
        </w:rPr>
        <w:t xml:space="preserve">. </w:t>
      </w:r>
    </w:p>
    <w:p>
      <w:pPr>
        <w:pStyle w:val="TextBody"/>
        <w:bidi w:val="0"/>
        <w:spacing w:lineRule="auto" w:line="288" w:before="240" w:after="283"/>
        <w:ind w:left="0" w:right="0" w:firstLine="2340"/>
        <w:jc w:val="both"/>
        <w:rPr/>
      </w:pPr>
      <w:r>
        <w:rPr>
          <w:rFonts w:ascii="Times New Roman;serif" w:hAnsi="Times New Roman;serif"/>
          <w:b w:val="false"/>
          <w:color w:val="000000"/>
          <w:sz w:val="24"/>
        </w:rPr>
        <w:t>(a) 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Times New Roman;serif" w:hAnsi="Times New Roman;serif"/>
          <w:b/>
          <w:i/>
          <w:color w:val="000000"/>
          <w:sz w:val="24"/>
        </w:rPr>
        <w:t>Section 409A Regulations</w:t>
      </w:r>
      <w:r>
        <w:rPr>
          <w:color w:val="000000"/>
        </w:rPr>
        <w:t>”</w:t>
      </w:r>
      <w:r>
        <w:rPr>
          <w:rFonts w:ascii="Times New Roman;serif" w:hAnsi="Times New Roman;serif"/>
          <w:b w:val="false"/>
          <w:color w:val="000000"/>
          <w:sz w:val="24"/>
        </w:rPr>
        <w:t>) shall be paid unless and until Employee has incurred a “separation from service” within the meaning of the Section 409A Regulations. 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Times New Roman;serif" w:hAnsi="Times New Roman;serif"/>
          <w:b/>
          <w:i/>
          <w:color w:val="000000"/>
          <w:sz w:val="24"/>
        </w:rPr>
        <w:t>Delayed Payment Date</w:t>
      </w:r>
      <w:r>
        <w:rPr>
          <w:color w:val="000000"/>
        </w:rPr>
        <w:t>”</w:t>
      </w:r>
      <w:r>
        <w:rPr>
          <w:rFonts w:ascii="Times New Roman;serif" w:hAnsi="Times New Roman;serif"/>
          <w:b w:val="false"/>
          <w:color w:val="000000"/>
          <w:sz w:val="24"/>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pStyle w:val="TextBody"/>
        <w:bidi w:val="0"/>
        <w:spacing w:lineRule="auto" w:line="288" w:before="240" w:after="283"/>
        <w:ind w:left="0" w:right="0" w:firstLine="2340"/>
        <w:jc w:val="both"/>
        <w:rPr/>
      </w:pPr>
      <w:r>
        <w:rPr>
          <w:rFonts w:ascii="Times New Roman;serif" w:hAnsi="Times New Roman;serif"/>
          <w:b w:val="false"/>
          <w:color w:val="000000"/>
          <w:sz w:val="24"/>
        </w:rPr>
        <w:t xml:space="preserve">(b) 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w:t>
      </w:r>
      <w:r>
        <w:rPr>
          <w:rFonts w:ascii="Times New Roman;serif" w:hAnsi="Times New Roman;serif"/>
          <w:b/>
          <w:color w:val="000000"/>
          <w:sz w:val="24"/>
        </w:rPr>
        <w:t>However, Company does not guarantee any particular tax effect for income provided to Employee pursuant to this Agreement.</w:t>
      </w:r>
      <w:r>
        <w:rPr>
          <w:color w:val="000000"/>
        </w:rPr>
        <w:t xml:space="preserve"> </w:t>
      </w:r>
      <w:r>
        <w:rPr>
          <w:rFonts w:ascii="Times New Roman;serif" w:hAnsi="Times New Roman;serif"/>
          <w:b w:val="false"/>
          <w:color w:val="000000"/>
          <w:sz w:val="24"/>
        </w:rPr>
        <w:t xml:space="preserve">In any event, except for Company’s responsibility to withhold applicable income and employment taxes from compensation paid or provided to Employee, Company shall not be responsible for the payment of any applicable taxes on compensation paid or provided to Employee pursuant to this Agreement. </w:t>
      </w:r>
    </w:p>
    <w:p>
      <w:pPr>
        <w:pStyle w:val="TextBody"/>
        <w:bidi w:val="0"/>
        <w:spacing w:lineRule="auto" w:line="288" w:before="240" w:after="283"/>
        <w:ind w:left="0" w:right="0" w:firstLine="2430"/>
        <w:jc w:val="both"/>
        <w:rPr/>
      </w:pPr>
      <w:r>
        <w:rPr>
          <w:rFonts w:ascii="Times New Roman;serif" w:hAnsi="Times New Roman;serif"/>
          <w:b w:val="false"/>
          <w:color w:val="000000"/>
          <w:sz w:val="24"/>
        </w:rPr>
        <w:t>(c) 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Times New Roman;serif" w:hAnsi="Times New Roman;serif"/>
          <w:b/>
          <w:color w:val="000000"/>
          <w:sz w:val="24"/>
        </w:rPr>
        <w:t>.</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firstLine="2430"/>
        <w:jc w:val="both"/>
        <w:rPr/>
      </w:pPr>
      <w:r>
        <w:rPr>
          <w:rFonts w:ascii="Times New Roman;serif" w:hAnsi="Times New Roman;serif"/>
          <w:b w:val="false"/>
          <w:color w:val="000000"/>
          <w:sz w:val="24"/>
        </w:rPr>
        <w:t>(d) For purposes of Section 409A of the Code, the right to a series of installment payments under this Agreement shall be treated as a right to a series of separate payments.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No Conflict of Interest</w:t>
      </w:r>
      <w:r>
        <w:rPr>
          <w:rFonts w:ascii="Times New Roman;serif" w:hAnsi="Times New Roman;serif"/>
          <w:b w:val="false"/>
          <w:color w:val="000000"/>
          <w:sz w:val="24"/>
        </w:rPr>
        <w:t>. During the term of Employee’s employment with Company, Employee agrees not to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Employee’s employment with Company, as may be determined by Company in its sole discretion. If Company believes such a conflict exists during the term of this Agreement, Company may ask Employee to, and Employee shall, discontinue the other work and/or activities or resign employment with Company.</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Non-Competition</w:t>
      </w:r>
      <w:r>
        <w:rPr>
          <w:rFonts w:ascii="Times New Roman;serif" w:hAnsi="Times New Roman;serif"/>
          <w:b w:val="false"/>
          <w:color w:val="000000"/>
          <w:sz w:val="24"/>
        </w:rPr>
        <w:t>. Employee agrees that during Employee’s employment with Company and for a period of twelve (12) months immediately following termination of such employment for any reason (the “</w:t>
      </w:r>
      <w:r>
        <w:rPr>
          <w:rFonts w:ascii="Times New Roman;serif" w:hAnsi="Times New Roman;serif"/>
          <w:b/>
          <w:i/>
          <w:color w:val="000000"/>
          <w:sz w:val="24"/>
        </w:rPr>
        <w:t>Non-competition Period</w:t>
      </w:r>
      <w:r>
        <w:rPr>
          <w:color w:val="000000"/>
        </w:rPr>
        <w:t>”</w:t>
      </w:r>
      <w:r>
        <w:rPr>
          <w:rFonts w:ascii="Times New Roman;serif" w:hAnsi="Times New Roman;serif"/>
          <w:b w:val="false"/>
          <w:color w:val="000000"/>
          <w:sz w:val="24"/>
        </w:rPr>
        <w:t>), Employee shall not in any manner, directly or indirectly, through any person, firm or 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Employee was involved or had knowledge, being conducted by, or contemplated by, Company or any of its subsidiaries as of the termination of Employee’s employment in any geographic area in which Company or any of its subsidiaries is then conducting such business.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Employee acknowledges that Company’s relationship with its clients, employees, vendors, suppliers and other persons with whom Company has a business relationship (hereinafter referred to as “</w:t>
      </w:r>
      <w:r>
        <w:rPr>
          <w:rFonts w:ascii="Times New Roman;serif" w:hAnsi="Times New Roman;serif"/>
          <w:b/>
          <w:i/>
          <w:color w:val="000000"/>
          <w:sz w:val="24"/>
        </w:rPr>
        <w:t>Prohibited Persons</w:t>
      </w:r>
      <w:r>
        <w:rPr>
          <w:color w:val="000000"/>
        </w:rPr>
        <w:t>”</w:t>
      </w:r>
      <w:r>
        <w:rPr>
          <w:rFonts w:ascii="Times New Roman;serif" w:hAnsi="Times New Roman;serif"/>
          <w:b w:val="false"/>
          <w:color w:val="000000"/>
          <w:sz w:val="24"/>
        </w:rPr>
        <w:t>), are special and unique, and that Company’s relationship with the Prohibited Persons may not be able to be replaced by Company. Employee further acknowledges that the protection of Company’s Prohibited Persons is essential.</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4"/>
        </w:rPr>
        <w:t>Therefore, Employee expressly covenants and agrees that during Employee’s employment with Company and for a period of twenty-four (24) months immediately following termination of Employee’s employment for any reason (the “</w:t>
      </w:r>
      <w:r>
        <w:rPr>
          <w:rFonts w:ascii="Times New Roman;serif" w:hAnsi="Times New Roman;serif"/>
          <w:b/>
          <w:i/>
          <w:color w:val="000000"/>
          <w:sz w:val="24"/>
        </w:rPr>
        <w:t>Non</w:t>
        <w:noBreakHyphen/>
        <w:t>solicitation Period</w:t>
      </w:r>
      <w:r>
        <w:rPr>
          <w:color w:val="000000"/>
        </w:rPr>
        <w:t>”</w:t>
      </w:r>
      <w:r>
        <w:rPr>
          <w:rFonts w:ascii="Times New Roman;serif" w:hAnsi="Times New Roman;serif"/>
          <w:b w:val="false"/>
          <w:color w:val="000000"/>
          <w:sz w:val="24"/>
        </w:rPr>
        <w:t>), Employee will not at 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13. </w:t>
      </w:r>
      <w:r>
        <w:rPr>
          <w:rFonts w:ascii="Times New Roman;serif" w:hAnsi="Times New Roman;serif"/>
          <w:b w:val="false"/>
          <w:color w:val="000000"/>
          <w:sz w:val="24"/>
          <w:u w:val="single"/>
        </w:rPr>
        <w:t>Nondisclosure of Confidential Information</w:t>
      </w:r>
      <w:r>
        <w:rPr>
          <w:rFonts w:ascii="Times New Roman;serif" w:hAnsi="Times New Roman;serif"/>
          <w:b w:val="false"/>
          <w:color w:val="000000"/>
          <w:sz w:val="24"/>
        </w:rPr>
        <w:t>.</w:t>
      </w:r>
      <w:r>
        <w:rPr>
          <w:color w:val="000000"/>
        </w:rPr>
        <w:t xml:space="preserve"> </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13.1 Employee recognizes that the knowledge and information about, and relationships with business associates, customers, clients and agents of Company and its affiliated companies, and the business methods, systems, plans, and policies of Company and of its affiliated companies, which Employee may receive, obtain, or establish as an employee of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both"/>
        <w:rPr/>
      </w:pPr>
      <w:r>
        <w:rPr>
          <w:rFonts w:ascii="Times New Roman;serif" w:hAnsi="Times New Roman;serif"/>
          <w:b w:val="false"/>
          <w:color w:val="000000"/>
          <w:sz w:val="24"/>
        </w:rPr>
        <w:t>Company are valuable and unique assets of Company or its affiliates. Employee agrees that, during any Employment Period and thereafter, Employee shall not disclose or remove, without the written consent of Company, (i) any material or substantial, confidential, or proprietary know-how, data, or information, including, but not limited to software, data, information relating to customers, pricing, safety manuals, training manuals, Quality Assurance/Quality Control manuals, mandatory processes and means or techniques pertaining to Company or its affiliates, and (ii) any business plans, strategies, targets, or directives, to any person, firm, corporation, or any other entity, for any reason or purpose whatsoever. Employee acknowledges and agrees that all memoranda, notes, records, clients lists, client information and other documents, computer software, data or material in any form made or compiled by Employee or made available to Employee concerning Company’s business is and shall be Company’s exclusive property and shall be delivered by Employee to Company upon termination of Employee’s employment or at any other time upon the request of Company.</w:t>
      </w:r>
      <w:r>
        <w:rPr>
          <w:color w:val="000000"/>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13.2 The restrictions in the above paragraph shall not apply to: (1) information that at the time of disclosure is in the public domain through no fault of Employee’s; (2) information received from a third party outside of Company that was disclosed without a breach of any confidentiality obligation; (3) information approved for release by written authorization of Company; or (4) information that may be required by law or an order of any court, agency or proceeding to be disclosed. Employee shall provide Company notice of any such required disclosure once Employee has knowledge of it and will help Company to the extent reasonable to obtain an appropriate protective order.</w:t>
      </w:r>
      <w:r>
        <w:rPr>
          <w:color w:val="000000"/>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13.3 Company acknowledges that Employee has had significant prior work experience in the industry in which Company is engaged, and that Employee enters into this Agreement with significant prior knowledge, information and relationships in such industry.</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14. </w:t>
      </w:r>
      <w:r>
        <w:rPr>
          <w:rFonts w:ascii="Times New Roman;serif" w:hAnsi="Times New Roman;serif"/>
          <w:b w:val="false"/>
          <w:color w:val="000000"/>
          <w:sz w:val="24"/>
          <w:u w:val="single"/>
        </w:rPr>
        <w:t>Enforcement: Remedies, Construction</w:t>
      </w:r>
      <w:r>
        <w:rPr>
          <w:rFonts w:ascii="Times New Roman;serif" w:hAnsi="Times New Roman;serif"/>
          <w:b w:val="false"/>
          <w:color w:val="000000"/>
          <w:sz w:val="24"/>
        </w:rPr>
        <w:t>.</w:t>
      </w:r>
      <w:r>
        <w:rPr>
          <w:color w:val="000000"/>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14.1 Employee covenants, agrees, and recognizes the breach or threatened breach of the covenants, or any of them, contained in Sections 11, 12 and 13 will result in immediate and irreparable injury to Company and that Company shall be entitled to an injunction restraining Employee or any of his affiliates from any violation of Sections 11, 12 and 13 to the</w:t>
      </w:r>
      <w:r>
        <w:rPr>
          <w:color w:val="000000"/>
        </w:rPr>
        <w:t xml:space="preserve"> </w:t>
      </w:r>
      <w:r>
        <w:rPr>
          <w:rFonts w:ascii="Times New Roman;serif" w:hAnsi="Times New Roman;serif"/>
          <w:b w:val="false"/>
          <w:color w:val="000000"/>
          <w:sz w:val="24"/>
        </w:rPr>
        <w:t>fullest extent allowed by law. Employee further covenants and agrees that in the event of a violation of any of his respective covenants and agreements contained in Sections 11, 12 and 13 hereof, Company shall be entitled to an accounting of all profits, compensation, commissions, remunerations or benefits which Employee directly or indirectly has realized and/or may realize as a result of, growing out of or in connection with any such violation and shall be entitled to receive all such amounts to which Company would be entitled as damages under law or at equity. Nothing herein shall be construed as prohibiting Company from pursuing any other legal or equitable remedies that may be available to it for any such breach or threatened breach.</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14.2 Employee agrees that in the event he breaches the covenants, or any of them, contained in Sections 11 and 12, then the Non-competition Period or Non-solicitation Period, as applicable, shall be automatically extended by the length of time any such breach remains continuing.</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14.3 Employee hereby expressly acknowledges and agrees as follows:</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 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 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 Agreement or the enforcement of such provision in other circumstances, and, to the fullest extent permitted by law, this Agreement shall be construed as if the geographic or business scope or the duration of such provision or other basis on which such provision has been challenged had been more narrowly drafted so as not to be invalid or unenforceable.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14.4 Nothing in Sections 10 and 11 shall prohibit Employee from being (i) a stockholder in a mutual fund or a diversified investment company or (ii) an owner of not more than two percent of the outstanding stock of any class of a corporation, any securities of which are publicly traded, so long as Employee has no active participation in the business of such corporation.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15. </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15.1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rights and obligations of Company under this Agreement shall inure to the benefit of and shall be binding upon the successors and assigns</w:t>
      </w:r>
      <w:r>
        <w:rPr>
          <w:color w:val="000000"/>
        </w:rPr>
        <w:t xml:space="preserve"> </w:t>
      </w:r>
      <w:r>
        <w:rPr>
          <w:rFonts w:ascii="Times New Roman;serif" w:hAnsi="Times New Roman;serif"/>
          <w:b w:val="false"/>
          <w:color w:val="000000"/>
          <w:sz w:val="24"/>
        </w:rPr>
        <w:t xml:space="preserve">of Company. Employee shall not be entitled to assign any of Employee’s rights or obligations under this Agreement.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15.2 </w:t>
      </w:r>
      <w:r>
        <w:rPr>
          <w:rFonts w:ascii="Times New Roman;serif" w:hAnsi="Times New Roman;serif"/>
          <w:b w:val="false"/>
          <w:color w:val="000000"/>
          <w:sz w:val="24"/>
          <w:u w:val="single"/>
        </w:rPr>
        <w:t>Waiver</w:t>
      </w:r>
      <w:r>
        <w:rPr>
          <w:rFonts w:ascii="Times New Roman;serif" w:hAnsi="Times New Roman;serif"/>
          <w:b w:val="false"/>
          <w:color w:val="000000"/>
          <w:sz w:val="24"/>
        </w:rPr>
        <w:t>. Either party’s failure to enforce any provision of this Agreement shall not in any way be construed as a waiver of any such provision, or prevent that party thereafter from enforcing each and every other provision of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15.3 </w:t>
      </w:r>
      <w:r>
        <w:rPr>
          <w:rFonts w:ascii="Times New Roman;serif" w:hAnsi="Times New Roman;serif"/>
          <w:b w:val="false"/>
          <w:color w:val="000000"/>
          <w:sz w:val="24"/>
          <w:u w:val="single"/>
        </w:rPr>
        <w:t>Attorneys’ Fees</w:t>
      </w:r>
      <w:r>
        <w:rPr>
          <w:rFonts w:ascii="Times New Roman;serif" w:hAnsi="Times New Roman;serif"/>
          <w:b w:val="false"/>
          <w:color w:val="000000"/>
          <w:sz w:val="24"/>
        </w:rPr>
        <w:t>. Each side will bear its own attorneys’ fees in any dispute unless a statutory section at issue, if any, authorizes the award of attorneys’ fees to the prevailing party.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15.4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 deemed modification is not satisfactory in the judgment of such court, the unenforceable provision shall be deemed deleted, and the validity and enforceability of the remaining provisions shall not be affected thereby.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15.5 </w:t>
      </w:r>
      <w:r>
        <w:rPr>
          <w:rFonts w:ascii="Times New Roman;serif" w:hAnsi="Times New Roman;serif"/>
          <w:b w:val="false"/>
          <w:color w:val="000000"/>
          <w:sz w:val="24"/>
          <w:u w:val="single"/>
        </w:rPr>
        <w:t>Interpretation; Construction</w:t>
      </w:r>
      <w:r>
        <w:rPr>
          <w:rFonts w:ascii="Times New Roman;serif" w:hAnsi="Times New Roman;serif"/>
          <w:b w:val="false"/>
          <w:color w:val="000000"/>
          <w:sz w:val="24"/>
        </w:rPr>
        <w:t>. The headings set forth in this Agreement are for convenience only and shall not be used in interpreting this Agreement. This Agreement has been drafted by legal counsel representing Company, but Employee has participated in the negotiation of its terms.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15.7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All notices shall be addressed as follows: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EMPLOYEE: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Nicholas Rost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[REDACTED]</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COMPANY: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Paylocity Corporation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1400 American LN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Schaumburg, IL 60173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Amber Livingston, General Counsel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or at such changed addresses as the parties may designate in writing.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15.8 </w:t>
      </w:r>
      <w:r>
        <w:rPr>
          <w:rFonts w:ascii="Times New Roman;serif" w:hAnsi="Times New Roman;serif"/>
          <w:b w:val="false"/>
          <w:color w:val="000000"/>
          <w:sz w:val="24"/>
          <w:u w:val="single"/>
        </w:rPr>
        <w:t>Survival</w:t>
      </w:r>
      <w:r>
        <w:rPr>
          <w:rFonts w:ascii="Times New Roman;serif" w:hAnsi="Times New Roman;serif"/>
          <w:b w:val="false"/>
          <w:color w:val="000000"/>
          <w:sz w:val="24"/>
        </w:rPr>
        <w:t>. Sections 7.2 (Termination Without Cause by Company/Severance), 9 (Application of Section 409A), 10 (“No Conflict of Interest”), 11 (“Non-Competition”), 12 (“Non-Solicitation”), 13 (“Nondisclosure of Confidential Information”), 14 (“Enforcement, Remedies and Construction”), 15 (“General Provisions”) and 16 (“Entire Agreement”) of this Agreement shall survive Employee’s employment by Company.</w:t>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16.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pStyle w:val="TextBody"/>
        <w:bidi w:val="0"/>
        <w:spacing w:before="240" w:after="283"/>
        <w:jc w:val="center"/>
        <w:rPr/>
      </w:pPr>
      <w:r>
        <w:rPr/>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appear on following page</w:t>
      </w:r>
      <w:r>
        <w:rPr>
          <w:rFonts w:ascii="Times New Roman;serif" w:hAnsi="Times New Roman;serif"/>
          <w:b w:val="false"/>
          <w:color w:val="000000"/>
          <w:sz w:val="24"/>
        </w:rPr>
        <w:t>]</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PARTIES TO THIS AGREEMENT HAVE READ THE FOREGOING AGREEMENT AND FULLY UNDERSTAND EACH AND EVERY PROVISION CONTAINED HEREIN. WHEREFORE, THE PARTIES HAVE EXECUTED THIS AGREEMENT ON THE DATES SHOWN BELOW.</w:t>
      </w:r>
    </w:p>
    <w:p>
      <w:pPr>
        <w:pStyle w:val="TextBody"/>
        <w:bidi w:val="0"/>
        <w:spacing w:before="240" w:after="283"/>
        <w:jc w:val="both"/>
        <w:rPr/>
      </w:pPr>
      <w:r>
        <w:rPr/>
      </w:r>
    </w:p>
    <w:p>
      <w:pPr>
        <w:pStyle w:val="TextBody"/>
        <w:bidi w:val="0"/>
        <w:spacing w:before="240" w:after="283"/>
        <w:jc w:val="left"/>
        <w:rPr/>
      </w:pPr>
      <w:r>
        <w:rPr/>
      </w:r>
    </w:p>
    <w:tbl>
      <w:tblPr>
        <w:tblW w:w="24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13"/>
        <w:gridCol w:w="513"/>
        <w:gridCol w:w="7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Nicholas Rost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Nicholas Rost</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tbl>
      <w:tblPr>
        <w:tblW w:w="35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Paylocity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/s/ Ryan Glenn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Ryan Glenn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righ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List of Subsidiaries</w:t>
      </w:r>
    </w:p>
    <w:p>
      <w:pPr>
        <w:pStyle w:val="TextBody"/>
        <w:bidi w:val="0"/>
        <w:spacing w:before="0" w:after="0"/>
        <w:jc w:val="left"/>
        <w:rPr/>
      </w:pPr>
      <w:r>
        <w:rPr/>
      </w:r>
    </w:p>
    <w:tbl>
      <w:tblPr>
        <w:tblW w:w="6025" w:type="dxa"/>
        <w:jc w:val="left"/>
        <w:tblInd w:w="0" w:type="dxa"/>
        <w:tblLayout w:type="fixed"/>
        <w:tblCellMar>
          <w:top w:w="28" w:type="dxa"/>
          <w:left w:w="28" w:type="dxa"/>
          <w:bottom w:w="28" w:type="dxa"/>
          <w:right w:w="28" w:type="dxa"/>
        </w:tblCellMar>
      </w:tblPr>
      <w:tblGrid>
        <w:gridCol w:w="1280"/>
        <w:gridCol w:w="1125"/>
        <w:gridCol w:w="1134"/>
        <w:gridCol w:w="109"/>
        <w:gridCol w:w="109"/>
        <w:gridCol w:w="109"/>
        <w:gridCol w:w="632"/>
        <w:gridCol w:w="632"/>
        <w:gridCol w:w="895"/>
      </w:tblGrid>
      <w:tr>
        <w:trPr/>
        <w:tc>
          <w:tcPr>
            <w:tcW w:w="128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Country or Jurisdiction</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Paylocity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Benefit Administration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VidGrid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Samepage Labs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Paylocity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Blue Marble Payroll,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Cloudsnap,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TraceHQ.com,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Paylocity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Airbase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Airbase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Airbase Card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Airbase Labs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Paylocity México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Grayscale Labs,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Aidora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240" w:after="48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 333-194840, No. 333-201983, No. 333-209520, No. 333-216001, No. 333-222959, No. 333-252779, No. 333-262514, No. 333-269548, No. 333-275800, No. 333-276961, and No. 333-291961) on Form S-8 of our report dated August 5, 2026, with respect to the consolidated financial statements of Paylocity Holding Corporation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0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40" w:before="0" w:after="600"/>
        <w:jc w:val="left"/>
        <w:rPr>
          <w:rFonts w:ascii="Times New Roman;serif" w:hAnsi="Times New Roman;serif"/>
          <w:b w:val="false"/>
          <w:color w:val="000000"/>
          <w:sz w:val="20"/>
        </w:rPr>
      </w:pPr>
      <w:r>
        <w:rPr>
          <w:rFonts w:ascii="Times New Roman;serif" w:hAnsi="Times New Roman;serif"/>
          <w:b w:val="false"/>
          <w:color w:val="000000"/>
          <w:sz w:val="20"/>
        </w:rPr>
        <w:t>Chicago, Illinois</w:t>
        <w:br/>
        <w:t>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Toby J. Williams, certify that: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Paylocity Holding Corporation;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9132" w:type="dxa"/>
        <w:jc w:val="left"/>
        <w:tblInd w:w="0" w:type="dxa"/>
        <w:tblLayout w:type="fixed"/>
        <w:tblCellMar>
          <w:top w:w="28" w:type="dxa"/>
          <w:left w:w="28" w:type="dxa"/>
          <w:bottom w:w="28" w:type="dxa"/>
          <w:right w:w="28" w:type="dxa"/>
        </w:tblCellMar>
      </w:tblPr>
      <w:tblGrid>
        <w:gridCol w:w="667"/>
        <w:gridCol w:w="587"/>
        <w:gridCol w:w="590"/>
        <w:gridCol w:w="219"/>
        <w:gridCol w:w="219"/>
        <w:gridCol w:w="221"/>
        <w:gridCol w:w="1937"/>
        <w:gridCol w:w="1937"/>
        <w:gridCol w:w="275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/s/ Toby J. Williams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66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Toby J. Williams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662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(Principal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Ryan Glenn, certify that: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Paylocity Holding Corporation;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063" w:type="dxa"/>
        <w:jc w:val="left"/>
        <w:tblInd w:w="0" w:type="dxa"/>
        <w:tblLayout w:type="fixed"/>
        <w:tblCellMar>
          <w:top w:w="28" w:type="dxa"/>
          <w:left w:w="28" w:type="dxa"/>
          <w:bottom w:w="28" w:type="dxa"/>
          <w:right w:w="28" w:type="dxa"/>
        </w:tblCellMar>
      </w:tblPr>
      <w:tblGrid>
        <w:gridCol w:w="667"/>
        <w:gridCol w:w="587"/>
        <w:gridCol w:w="590"/>
        <w:gridCol w:w="219"/>
        <w:gridCol w:w="219"/>
        <w:gridCol w:w="221"/>
        <w:gridCol w:w="1334"/>
        <w:gridCol w:w="1334"/>
        <w:gridCol w:w="189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5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Ryan Glenn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4560"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the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2026 fully complies with the requirements of Section 13(a) or 15(d) of the Securities Exchange Act of 1934 and information contained in that Form 10-K fairly presents, in all material respects, the financial condition and results of operations of the Company.</w:t>
      </w:r>
    </w:p>
    <w:tbl>
      <w:tblPr>
        <w:tblW w:w="9132" w:type="dxa"/>
        <w:jc w:val="left"/>
        <w:tblInd w:w="0" w:type="dxa"/>
        <w:tblLayout w:type="fixed"/>
        <w:tblCellMar>
          <w:top w:w="28" w:type="dxa"/>
          <w:left w:w="28" w:type="dxa"/>
          <w:bottom w:w="28" w:type="dxa"/>
          <w:right w:w="28" w:type="dxa"/>
        </w:tblCellMar>
      </w:tblPr>
      <w:tblGrid>
        <w:gridCol w:w="667"/>
        <w:gridCol w:w="587"/>
        <w:gridCol w:w="590"/>
        <w:gridCol w:w="219"/>
        <w:gridCol w:w="219"/>
        <w:gridCol w:w="221"/>
        <w:gridCol w:w="1937"/>
        <w:gridCol w:w="1937"/>
        <w:gridCol w:w="275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/s/ Toby J. Williams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66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Toby J. Williams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662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(Principal Executive Officer) and Director</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2026 fully complies with the requirements of Section 13(a) or 15(d) of the Securities Exchange Act of 1934 and information contained in that Form 10-K fairly presents, in all material respects, the financial condition and results of operations of the Company.</w:t>
      </w:r>
    </w:p>
    <w:tbl>
      <w:tblPr>
        <w:tblW w:w="7063" w:type="dxa"/>
        <w:jc w:val="left"/>
        <w:tblInd w:w="0" w:type="dxa"/>
        <w:tblLayout w:type="fixed"/>
        <w:tblCellMar>
          <w:top w:w="28" w:type="dxa"/>
          <w:left w:w="28" w:type="dxa"/>
          <w:bottom w:w="28" w:type="dxa"/>
          <w:right w:w="28" w:type="dxa"/>
        </w:tblCellMar>
      </w:tblPr>
      <w:tblGrid>
        <w:gridCol w:w="667"/>
        <w:gridCol w:w="587"/>
        <w:gridCol w:w="590"/>
        <w:gridCol w:w="219"/>
        <w:gridCol w:w="219"/>
        <w:gridCol w:w="221"/>
        <w:gridCol w:w="1334"/>
        <w:gridCol w:w="1334"/>
        <w:gridCol w:w="189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5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Ryan Glenn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4560"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erif" w:hAnsi="Times New Roman;serif"/>
                <w:b/>
                <w:color w:val="000000"/>
                <w:sz w:val="20"/>
              </w:rPr>
            </w:pPr>
            <w:r>
              <w:rPr>
                <w:rFonts w:ascii="Times New Roman;serif" w:hAnsi="Times New Roman;serif"/>
                <w:b/>
                <w:color w:val="000000"/>
                <w:sz w:val="20"/>
              </w:rPr>
              <w:t>Chief Financial Officer (Principal Financial Officer)</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591698/000159169825000087/pcty-20250630.htm" TargetMode="External"/><Relationship Id="rId5" Type="http://schemas.openxmlformats.org/officeDocument/2006/relationships/hyperlink" Target="https://www.sec.gov/Archives/edgar/data/1591698/000159169823000278/pcty-20231130xexhibit31.htm" TargetMode="External"/><Relationship Id="rId6" Type="http://schemas.openxmlformats.org/officeDocument/2006/relationships/hyperlink" Target="https://www.sec.gov/Archives/edgar/data/1591698/000159169823000278/pcty-20231130xexhibit32.htm" TargetMode="External"/><Relationship Id="rId7" Type="http://schemas.openxmlformats.org/officeDocument/2006/relationships/hyperlink" Target="https://www.sec.gov/Archives/edgar/data/1591698/000104746914000464/a2218017zex-4_1.htm" TargetMode="External"/><Relationship Id="rId8" Type="http://schemas.openxmlformats.org/officeDocument/2006/relationships/hyperlink" Target="https://www.sec.gov/Archives/edgar/data/1591698/000159169824000151/pcty-20240630xexx42.htm" TargetMode="External"/><Relationship Id="rId9" Type="http://schemas.openxmlformats.org/officeDocument/2006/relationships/hyperlink" Target="https://www.sec.gov/Archives/edgar/data/1591698/000104746914000464/a2218017zex-10_2.htm" TargetMode="External"/><Relationship Id="rId10" Type="http://schemas.openxmlformats.org/officeDocument/2006/relationships/hyperlink" Target="https://www.sec.gov/Archives/edgar/data/1591698/000104746914000931/a2218171zex-10_4.htm" TargetMode="External"/><Relationship Id="rId11" Type="http://schemas.openxmlformats.org/officeDocument/2006/relationships/hyperlink" Target="https://www.sec.gov/Archives/edgar/data/0001591698/000110465920096509/tm2027535d1_ex10-1.htm" TargetMode="External"/><Relationship Id="rId12" Type="http://schemas.openxmlformats.org/officeDocument/2006/relationships/hyperlink" Target="https://www.sec.gov/Archives/edgar/data/1591698/000159169822000064/pcty-20220331x10qex105.htm" TargetMode="External"/><Relationship Id="rId13" Type="http://schemas.openxmlformats.org/officeDocument/2006/relationships/hyperlink" Target="https://www.sec.gov/Archives/edgar/data/1591698/000159169825000132/pcty-20251204xexx101.htm" TargetMode="External"/><Relationship Id="rId14" Type="http://schemas.openxmlformats.org/officeDocument/2006/relationships/hyperlink" Target="https://www.sec.gov/Archives/edgar/data/1591698/000159169823000278/pcty-20231130xex103msuform.htm" TargetMode="External"/><Relationship Id="rId15" Type="http://schemas.openxmlformats.org/officeDocument/2006/relationships/hyperlink" Target="https://www.sec.gov/Archives/edgar/data/1591698/000159169824000277/pcty-20240930x10qex102.htm" TargetMode="External"/><Relationship Id="rId16" Type="http://schemas.openxmlformats.org/officeDocument/2006/relationships/hyperlink" Target="https://www.sec.gov/Archives/edgar/data/1591698/000159169824000277/pcty-20240930x10qex103.htm" TargetMode="External"/><Relationship Id="rId17" Type="http://schemas.openxmlformats.org/officeDocument/2006/relationships/hyperlink" Target="https://www.sec.gov/Archives/edgar/data/1591698/000159169824000277/pcty-20240930x10qex104.htm" TargetMode="External"/><Relationship Id="rId18" Type="http://schemas.openxmlformats.org/officeDocument/2006/relationships/hyperlink" Target="https://www.sec.gov/Archives/edgar/data/1591698/000159169824000277/pcty-20240930x10qex105.htm" TargetMode="External"/><Relationship Id="rId19" Type="http://schemas.openxmlformats.org/officeDocument/2006/relationships/hyperlink" Target="https://www.sec.gov/Archives/edgar/data/1591698/000159169825000113/pcty-20250930x10qex101.htm" TargetMode="External"/><Relationship Id="rId20" Type="http://schemas.openxmlformats.org/officeDocument/2006/relationships/hyperlink" Target="https://www.sec.gov/Archives/edgar/data/1591698/000159169825000113/pcty-20250930x10qex102.htm" TargetMode="External"/><Relationship Id="rId21" Type="http://schemas.openxmlformats.org/officeDocument/2006/relationships/hyperlink" Target="https://www.sec.gov/Archives/edgar/data/1591698/000104746914000931/a2218171zex-10_9.htm" TargetMode="External"/><Relationship Id="rId22" Type="http://schemas.openxmlformats.org/officeDocument/2006/relationships/hyperlink" Target="https://www.sec.gov/Archives/edgar/data/1591698/000159169824000277/pcty-20240930x10qex107.htm" TargetMode="External"/><Relationship Id="rId23" Type="http://schemas.openxmlformats.org/officeDocument/2006/relationships/hyperlink" Target="https://www.sec.gov/Archives/edgar/data/1591698/000159169824000277/pcty-20240930x10qex106.htm" TargetMode="External"/><Relationship Id="rId24" Type="http://schemas.openxmlformats.org/officeDocument/2006/relationships/hyperlink" Target="https://www.sec.gov/Archives/edgar/data/1591698/000159169822000045/pcty-202203118xkexhibit102.htm" TargetMode="External"/><Relationship Id="rId25" Type="http://schemas.openxmlformats.org/officeDocument/2006/relationships/hyperlink" Target="https://www.sec.gov/Archives/edgar/data/1591698/000159169823000115/pcty-20230630xexx1015.htm" TargetMode="External"/><Relationship Id="rId26" Type="http://schemas.openxmlformats.org/officeDocument/2006/relationships/hyperlink" Target="https://www.sec.gov/Archives/edgar/data/1591698/000159169824000151/pcty-20240630xexx1010.htm" TargetMode="External"/><Relationship Id="rId27" Type="http://schemas.openxmlformats.org/officeDocument/2006/relationships/hyperlink" Target="https://www.sec.gov/Archives/edgar/data/1591698/000159169825000087/pcty-20250630xexx1010.htm" TargetMode="External"/><Relationship Id="rId28" Type="http://schemas.openxmlformats.org/officeDocument/2006/relationships/hyperlink" Target="https://www.sec.gov/Archives/edgar/data/1591698/000110465916125126/a16-12426_1ex10d1.htm" TargetMode="External"/><Relationship Id="rId29" Type="http://schemas.openxmlformats.org/officeDocument/2006/relationships/hyperlink" Target="https://www.sec.gov/Archives/edgar/data/1591698/000159169824000014/pcty-20231231x10qex104.htm" TargetMode="External"/><Relationship Id="rId30" Type="http://schemas.openxmlformats.org/officeDocument/2006/relationships/hyperlink" Target="https://www.sec.gov/Archives/edgar/data/0001591698/000110465919040751/a19-12817_1ex10d1.htm" TargetMode="External"/><Relationship Id="rId31" Type="http://schemas.openxmlformats.org/officeDocument/2006/relationships/hyperlink" Target="https://www.sec.gov/Archives/edgar/data/1591698/000159169822000144/pcty-202208198kxex101.htm" TargetMode="External"/><Relationship Id="rId32" Type="http://schemas.openxmlformats.org/officeDocument/2006/relationships/hyperlink" Target="https://www.sec.gov/Archives/edgar/data/1591698/000159169825000010/pcty-20241231x10qex101.htm" TargetMode="External"/><Relationship Id="rId33" Type="http://schemas.openxmlformats.org/officeDocument/2006/relationships/hyperlink" Target="https://www.sec.gov/Archives/edgar/data/1591698/000159169824000222/pcty-202408298xkxexhibit21.htm" TargetMode="External"/><Relationship Id="rId34" Type="http://schemas.openxmlformats.org/officeDocument/2006/relationships/hyperlink" Target="https://www.sec.gov/Archives/edgar/data/1591698/000159169824000151/pcty-20240630xexx191.htm" TargetMode="External"/><Relationship Id="rId35" Type="http://schemas.openxmlformats.org/officeDocument/2006/relationships/hyperlink" Target="https://www.sec.gov/Archives/edgar/data/1591698/000159169824000151/pcty-20240630xexx971.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49166</Words>
  <Characters>279170</Characters>
  <CharactersWithSpaces>325520</CharactersWithSpaces>
  <Paragraphs>4033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