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2699297.xml.htm"/>
      <w:bookmarkStart w:id="1" w:name="kswkform4_179269929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Sarowitz Steven 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1400 AMERICAN LANE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SCHAUMBURG</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60173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Paylocity Holding Corp</w:t>
              </w:r>
            </w:hyperlink>
            <w:r>
              <w:rPr/>
              <w:t xml:space="preserve"> [ </w:t>
            </w:r>
            <w:r>
              <w:rPr>
                <w:rFonts w:ascii="Times;serif" w:hAnsi="Times;serif"/>
                <w:color w:val="0000FF"/>
                <w:sz w:val="24"/>
                <w:shd w:fill="FFFFFF" w:val="clear"/>
              </w:rPr>
              <w:t>PCTY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15"/>
        <w:gridCol w:w="922"/>
        <w:gridCol w:w="792"/>
        <w:gridCol w:w="612"/>
        <w:gridCol w:w="338"/>
        <w:gridCol w:w="854"/>
        <w:gridCol w:w="414"/>
        <w:gridCol w:w="897"/>
        <w:gridCol w:w="1243"/>
        <w:gridCol w:w="958"/>
        <w:gridCol w:w="126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6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6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10/20/2026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1,589</w:t>
            </w:r>
            <w:r>
              <w:rPr>
                <w:rFonts w:ascii="Times;serif" w:hAnsi="Times;serif"/>
                <w:color w:val="008000"/>
                <w:position w:val="7"/>
                <w:sz w:val="16"/>
                <w:sz w:val="20"/>
                <w:shd w:fill="FFFFFF" w:val="clear"/>
              </w:rPr>
              <w:t>(1)</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168.76</w:t>
            </w:r>
            <w:r>
              <w:rPr>
                <w:rFonts w:ascii="Times;serif" w:hAnsi="Times;serif"/>
                <w:color w:val="008000"/>
                <w:position w:val="7"/>
                <w:sz w:val="16"/>
                <w:sz w:val="20"/>
                <w:shd w:fill="FFFFFF" w:val="clear"/>
              </w:rPr>
              <w:t>(2)</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4,413,167</w:t>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10/20/2026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7,369</w:t>
            </w:r>
            <w:r>
              <w:rPr>
                <w:rFonts w:ascii="Times;serif" w:hAnsi="Times;serif"/>
                <w:color w:val="008000"/>
                <w:position w:val="7"/>
                <w:sz w:val="16"/>
                <w:sz w:val="20"/>
                <w:shd w:fill="FFFFFF" w:val="clear"/>
              </w:rPr>
              <w:t>(1)</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169.79</w:t>
            </w:r>
            <w:r>
              <w:rPr>
                <w:rFonts w:ascii="Times;serif" w:hAnsi="Times;serif"/>
                <w:color w:val="008000"/>
                <w:position w:val="7"/>
                <w:sz w:val="16"/>
                <w:sz w:val="20"/>
                <w:shd w:fill="FFFFFF" w:val="clear"/>
              </w:rPr>
              <w:t>(3)</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4,405,798</w:t>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10/20/2026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1,459</w:t>
            </w:r>
            <w:r>
              <w:rPr>
                <w:rFonts w:ascii="Times;serif" w:hAnsi="Times;serif"/>
                <w:color w:val="008000"/>
                <w:position w:val="7"/>
                <w:sz w:val="16"/>
                <w:sz w:val="20"/>
                <w:shd w:fill="FFFFFF" w:val="clear"/>
              </w:rPr>
              <w:t>(1)</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170.48</w:t>
            </w:r>
            <w:r>
              <w:rPr>
                <w:rFonts w:ascii="Times;serif" w:hAnsi="Times;serif"/>
                <w:color w:val="008000"/>
                <w:position w:val="7"/>
                <w:sz w:val="16"/>
                <w:sz w:val="20"/>
                <w:shd w:fill="FFFFFF" w:val="clear"/>
              </w:rPr>
              <w:t>(4)</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4,404,339</w:t>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10/20/2026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200</w:t>
            </w:r>
            <w:r>
              <w:rPr>
                <w:rFonts w:ascii="Times;serif" w:hAnsi="Times;serif"/>
                <w:color w:val="008000"/>
                <w:position w:val="7"/>
                <w:sz w:val="16"/>
                <w:sz w:val="20"/>
                <w:shd w:fill="FFFFFF" w:val="clear"/>
              </w:rPr>
              <w:t>(1)</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171.37</w:t>
            </w:r>
            <w:r>
              <w:rPr>
                <w:rFonts w:ascii="Times;serif" w:hAnsi="Times;serif"/>
                <w:color w:val="008000"/>
                <w:position w:val="7"/>
                <w:sz w:val="16"/>
                <w:sz w:val="20"/>
                <w:shd w:fill="FFFFFF" w:val="clear"/>
              </w:rPr>
              <w:t>(5)</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4,404,139</w:t>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w:t>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3,916,476</w:t>
            </w:r>
          </w:p>
        </w:tc>
        <w:tc>
          <w:tcPr>
            <w:tcW w:w="9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6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Jessica P. Sarowitz Declaration of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 indicated was conducted under an approved 10b5-1 Plan adopted by the reporting person on December 15,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shares were sold in multiple transactions at prices ranging from $168.19 to $169.18, inclusive. The reporting person undertakes to provide to Paylocity Holding Corporation, any security holder of Paylocity Holding Corporation, or the Securities and Exchange Commission, upon request, full information regarding the number of shares sold at each separate price within the range set forth in footnotes 2, 3, 4 and 5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 shares were sold in multiple transactions at prices ranging from $169.22 to $170.21,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 shares were sold in multiple transactions at prices ranging from $170.23 to $170.99,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 shares were sold in multiple transactions at prices ranging from $171.34 to $171.41, inclusive.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Kris Kang, attorney-in-fact to Steven I. Sarowitz</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597870" TargetMode="External"/><Relationship Id="rId5" Type="http://schemas.openxmlformats.org/officeDocument/2006/relationships/hyperlink" Target="http://www.sec.gov/cgi-bin/browse-edgar?action=getcompany&amp;CIK=000159169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799</Words>
  <Characters>4303</Characters>
  <CharactersWithSpaces>5003</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