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9,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PAYLOCITY HOLDING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001-36348</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46-4066644</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Number)</w:t>
      </w:r>
    </w:p>
    <w:p>
      <w:pPr>
        <w:spacing w:after="0" w:line="200" w:lineRule="exact"/>
        <w:rPr>
          <w:sz w:val="24"/>
          <w:szCs w:val="24"/>
          <w:color w:val="auto"/>
        </w:rPr>
      </w:pPr>
    </w:p>
    <w:p>
      <w:pPr>
        <w:sectPr>
          <w:pgSz w:w="11900" w:h="16838" w:orient="portrait"/>
          <w:cols w:equalWidth="0" w:num="3">
            <w:col w:w="4020" w:space="720"/>
            <w:col w:w="3020" w:space="720"/>
            <w:col w:w="2940"/>
          </w:cols>
          <w:pgMar w:left="240" w:top="544" w:right="239" w:bottom="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1400 American Lane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Schaumburg, Illinois, 60173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463-3200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20"/>
          </w:cols>
          <w:pgMar w:left="240" w:top="544"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o</w:t>
      </w:r>
      <w:r>
        <w:rPr>
          <w:rFonts w:ascii="MS PGothic" w:cs="MS PGothic" w:eastAsia="MS PGothic" w:hAnsi="MS PGothic"/>
          <w:sz w:val="18"/>
          <w:szCs w:val="18"/>
          <w:color w:val="auto"/>
        </w:rPr>
        <w:t>☐</w:t>
      </w:r>
      <w:r>
        <w:rPr>
          <w:rFonts w:ascii="Arial" w:cs="Arial" w:eastAsia="Arial" w:hAnsi="Arial"/>
          <w:sz w:val="18"/>
          <w:szCs w:val="18"/>
          <w:color w:val="auto"/>
        </w:rPr>
        <w:t>Emerging growth company</w:t>
      </w:r>
    </w:p>
    <w:p>
      <w:pPr>
        <w:spacing w:after="0" w:line="25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ind w:right="200" w:firstLine="648"/>
        <w:spacing w:after="0" w:line="262" w:lineRule="auto"/>
        <w:rPr>
          <w:sz w:val="20"/>
          <w:szCs w:val="20"/>
          <w:color w:val="auto"/>
        </w:rPr>
      </w:pPr>
      <w:r>
        <w:rPr>
          <w:rFonts w:ascii="Arial" w:cs="Arial" w:eastAsia="Arial" w:hAnsi="Arial"/>
          <w:sz w:val="18"/>
          <w:szCs w:val="18"/>
          <w:color w:val="auto"/>
        </w:rPr>
        <w:t>On August 9, 2018, Paylocity Holding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issued a press release announcing financial results for the fourth quarter and the full fiscal year 2018, which ended June 30, 2018. The press release contains </w:t>
      </w:r>
      <w:r>
        <w:rPr>
          <w:rFonts w:ascii="Arial" w:cs="Arial" w:eastAsia="Arial" w:hAnsi="Arial"/>
          <w:sz w:val="17"/>
          <w:szCs w:val="17"/>
          <w:color w:val="auto"/>
        </w:rPr>
        <w:t>forward-looking statements regarding the Company, and includes cautionary</w:t>
      </w:r>
      <w:r>
        <w:rPr>
          <w:rFonts w:ascii="Arial" w:cs="Arial" w:eastAsia="Arial" w:hAnsi="Arial"/>
          <w:sz w:val="18"/>
          <w:szCs w:val="18"/>
          <w:color w:val="auto"/>
        </w:rPr>
        <w:t xml:space="preserve"> </w:t>
      </w:r>
      <w:r>
        <w:rPr>
          <w:rFonts w:ascii="Arial" w:cs="Arial" w:eastAsia="Arial" w:hAnsi="Arial"/>
          <w:sz w:val="17"/>
          <w:szCs w:val="17"/>
          <w:color w:val="auto"/>
        </w:rPr>
        <w:t>statements identifying important factors that could cause actual results to differ materially from those anticipated.</w:t>
      </w:r>
    </w:p>
    <w:p>
      <w:pPr>
        <w:spacing w:after="0" w:line="186"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The press release issued August 9, 2018 is furnished herewith as Exhibit 99.1. The information in this Item 2.02, including Exhibit 99.1, is being furnished and shall not be deemed filed for purposes of Section 18 of the Securities Exchange Act of 1934 or otherwise subject to the liability of that Section, nor shall such information be deemed to be incorporated by reference in any registration statement or other document filed under the Securities Act of 1933 or the Securities Exchange Act of 1934, except as otherwise stated in such filing.</w:t>
      </w:r>
    </w:p>
    <w:p>
      <w:pPr>
        <w:spacing w:after="0" w:line="183"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360" w:firstLine="495"/>
        <w:spacing w:after="0" w:line="277" w:lineRule="auto"/>
        <w:rPr>
          <w:sz w:val="20"/>
          <w:szCs w:val="20"/>
          <w:color w:val="auto"/>
        </w:rPr>
      </w:pPr>
      <w:r>
        <w:rPr>
          <w:rFonts w:ascii="Arial" w:cs="Arial" w:eastAsia="Arial" w:hAnsi="Arial"/>
          <w:sz w:val="18"/>
          <w:szCs w:val="18"/>
          <w:color w:val="auto"/>
        </w:rPr>
        <w:t>On August 9, 2018, the Company announced in its press release that its Board of Directors authorized a stock repurchase plan of up to $35 million over a period of 12 months.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9920" w:type="dxa"/>
            <w:vAlign w:val="bottom"/>
            <w:gridSpan w:val="2"/>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issued by Paylocity Holding Corporation dated August 9, 2018.</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940" w:type="dxa"/>
            <w:vAlign w:val="bottom"/>
            <w:gridSpan w:val="2"/>
          </w:tcPr>
          <w:p>
            <w:pPr>
              <w:jc w:val="center"/>
              <w:ind w:left="3070"/>
              <w:spacing w:after="0"/>
              <w:rPr>
                <w:sz w:val="20"/>
                <w:szCs w:val="20"/>
                <w:color w:val="auto"/>
              </w:rPr>
            </w:pPr>
            <w:r>
              <w:rPr>
                <w:rFonts w:ascii="Arial" w:cs="Arial" w:eastAsia="Arial" w:hAnsi="Arial"/>
                <w:sz w:val="18"/>
                <w:szCs w:val="18"/>
                <w:color w:val="auto"/>
                <w:w w:val="99"/>
              </w:rPr>
              <w:t>2</w:t>
            </w: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60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gridSpan w:val="2"/>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992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Press Release issued by Paylocity Holding Corporation dated August 9, 2018.</w:t>
              </w:r>
            </w:hyperlink>
          </w:p>
        </w:tc>
        <w:tc>
          <w:tcPr>
            <w:tcW w:w="40" w:type="dxa"/>
            <w:vAlign w:val="bottom"/>
          </w:tcPr>
          <w:p>
            <w:pPr>
              <w:spacing w:after="0"/>
              <w:rPr>
                <w:sz w:val="14"/>
                <w:szCs w:val="14"/>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0" w:type="dxa"/>
            <w:vAlign w:val="bottom"/>
            <w:tcBorders>
              <w:top w:val="single" w:sz="8" w:color="0000EE"/>
            </w:tcBorders>
          </w:tcPr>
          <w:p>
            <w:pPr>
              <w:jc w:val="center"/>
              <w:ind w:left="2736"/>
              <w:spacing w:after="0"/>
              <w:rPr>
                <w:sz w:val="20"/>
                <w:szCs w:val="20"/>
                <w:color w:val="auto"/>
              </w:rPr>
            </w:pPr>
            <w:r>
              <w:rPr>
                <w:rFonts w:ascii="Arial" w:cs="Arial" w:eastAsia="Arial" w:hAnsi="Arial"/>
                <w:sz w:val="18"/>
                <w:szCs w:val="18"/>
                <w:color w:val="auto"/>
                <w:w w:val="99"/>
              </w:rPr>
              <w:t>3</w:t>
            </w: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60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PAYLOCITY HOLDING CORPORATION</w:t>
            </w:r>
          </w:p>
        </w:tc>
        <w:tc>
          <w:tcPr>
            <w:tcW w:w="40" w:type="dxa"/>
            <w:vAlign w:val="bottom"/>
          </w:tcPr>
          <w:p>
            <w:pPr>
              <w:spacing w:after="0"/>
              <w:rPr>
                <w:sz w:val="20"/>
                <w:szCs w:val="20"/>
                <w:color w:val="auto"/>
              </w:rPr>
            </w:pP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August 9, 2018</w:t>
            </w:r>
          </w:p>
        </w:tc>
        <w:tc>
          <w:tcPr>
            <w:tcW w:w="7820" w:type="dxa"/>
            <w:vAlign w:val="bottom"/>
            <w:gridSpan w:val="2"/>
          </w:tcPr>
          <w:p>
            <w:pPr>
              <w:ind w:left="2120"/>
              <w:spacing w:after="0"/>
              <w:rPr>
                <w:sz w:val="20"/>
                <w:szCs w:val="20"/>
                <w:color w:val="auto"/>
              </w:rPr>
            </w:pPr>
            <w:r>
              <w:rPr>
                <w:rFonts w:ascii="Arial" w:cs="Arial" w:eastAsia="Arial" w:hAnsi="Arial"/>
                <w:sz w:val="18"/>
                <w:szCs w:val="18"/>
                <w:color w:val="auto"/>
              </w:rPr>
              <w:t>By:   /s/ Toby J. Williams</w:t>
            </w:r>
          </w:p>
        </w:tc>
        <w:tc>
          <w:tcPr>
            <w:tcW w:w="4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Toby J. Williams</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260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0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987800" cy="129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8780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Announces Fourth Quarter and Fiscal Year 2018 Financial Results</w:t>
      </w:r>
    </w:p>
    <w:p>
      <w:pPr>
        <w:spacing w:after="0" w:line="225" w:lineRule="exact"/>
        <w:rPr>
          <w:sz w:val="20"/>
          <w:szCs w:val="20"/>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Q4 2018 Total Revenue of $96.6 million, up 27% year-over-year</w:t>
      </w:r>
    </w:p>
    <w:p>
      <w:pPr>
        <w:spacing w:after="0" w:line="27"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FY 2018 Total Revenue of $377.5 million, up 26% year-over-year</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Board of Directors approves a $35.0 million stock repurchase plan</w:t>
      </w:r>
    </w:p>
    <w:p>
      <w:pPr>
        <w:spacing w:after="0" w:line="207" w:lineRule="exact"/>
        <w:rPr>
          <w:sz w:val="20"/>
          <w:szCs w:val="20"/>
          <w:color w:val="auto"/>
        </w:rPr>
      </w:pPr>
    </w:p>
    <w:p>
      <w:pPr>
        <w:ind w:right="740"/>
        <w:spacing w:after="0" w:line="347" w:lineRule="auto"/>
        <w:rPr>
          <w:sz w:val="20"/>
          <w:szCs w:val="20"/>
          <w:color w:val="auto"/>
        </w:rPr>
      </w:pPr>
      <w:r>
        <w:rPr>
          <w:rFonts w:ascii="Arial" w:cs="Arial" w:eastAsia="Arial" w:hAnsi="Arial"/>
          <w:sz w:val="16"/>
          <w:szCs w:val="16"/>
          <w:b w:val="1"/>
          <w:bCs w:val="1"/>
          <w:color w:val="auto"/>
        </w:rPr>
        <w:t xml:space="preserve">SCHAUMBURG, IL. — August 9, 2018 — </w:t>
      </w:r>
      <w:r>
        <w:rPr>
          <w:rFonts w:ascii="Arial" w:cs="Arial" w:eastAsia="Arial" w:hAnsi="Arial"/>
          <w:sz w:val="16"/>
          <w:szCs w:val="16"/>
          <w:color w:val="auto"/>
        </w:rPr>
        <w:t>Paylocity Holding Corporation (Nasdaq: PCTY), a cloud-based provider of payroll and human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software solutions, today announced financial results for the fourth quarter and full fiscal year 2018, which ended June 30, 2018.</w:t>
      </w:r>
    </w:p>
    <w:p>
      <w:pPr>
        <w:spacing w:after="0" w:line="120"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“We had a great fiscal 2018 and a strong fourth quarter, which included 27% revenue growth, marking our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straight quarter of total revenue growth between 25% and 28%,” said Steve Beauchamp, Chief Executive Officer of Paylocity. “Additionally, as a result of the strong cash flow we generated this fiscal year, our Board of Directors approved a $35.0 million stock repurchase plan.”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Recent Achievements</w:t>
      </w:r>
    </w:p>
    <w:p>
      <w:pPr>
        <w:spacing w:after="0" w:line="229"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Q4 2018 Total Revenue of $96.6 million, up 27% year-over-year</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FY 2018 Total Revenue of $377.5 million, up 26% year-over-year</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Board of Directors approves a $35.0 million stock repurchase plan</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FY 2018 GAAP net income of $38.6 million, which includes a non-cash income tax benefit of $21.8 million, versus net income of $6.7 million in FY 2017, a 474.5% increase</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FY 2018 Adjusted EBITDA of $81.3 million or 21.5% of revenue, a 44.7% increase and 280 basis point improvement from FY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2018 Financial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was $96.6 million, an increase of 27% from the fourth quarter of fiscal year 2017.</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recurring revenue was $93.0 million, representing 96% of total revenue and an increase of 27% from the fourth quarter of fiscal year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229"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GAAP operating loss was ($5.2) million, compared to an operating loss of ($3.4) million in the fourth quarter of fiscal year 2017.</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Non-GAAP operating income was $8.1 million, compared to a non-GAAP operating income of $5.5 million in the fourth quarter of fiscal year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GAAP net loss was ($1.6) million. This compares to a net loss of ($3.8) million for the fourth quarter of fiscal year 2017. Net loss per share was</w:t>
      </w:r>
    </w:p>
    <w:p>
      <w:pPr>
        <w:spacing w:after="0" w:line="35" w:lineRule="exact"/>
        <w:rPr>
          <w:sz w:val="20"/>
          <w:szCs w:val="20"/>
          <w:color w:val="auto"/>
        </w:rPr>
      </w:pPr>
    </w:p>
    <w:p>
      <w:pPr>
        <w:ind w:left="660" w:right="40"/>
        <w:spacing w:after="0" w:line="323" w:lineRule="auto"/>
        <w:rPr>
          <w:sz w:val="20"/>
          <w:szCs w:val="20"/>
          <w:color w:val="auto"/>
        </w:rPr>
      </w:pPr>
      <w:r>
        <w:rPr>
          <w:rFonts w:ascii="Arial" w:cs="Arial" w:eastAsia="Arial" w:hAnsi="Arial"/>
          <w:sz w:val="16"/>
          <w:szCs w:val="16"/>
          <w:color w:val="auto"/>
        </w:rPr>
        <w:t>($0.03) for the three months ended June 30, 2018 based on 52.7 million basic and diluted weighted average common shares outstanding. Net loss per share was ($0.07) for the three months ended June 30, 2017, based on 51.6 million basic and diluted weighted average common shares outstanding.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left="660" w:right="420" w:hanging="328"/>
        <w:spacing w:after="0" w:line="277"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 non-GAAP measure, was $15.7 million or 16.2% of revenue compared to Adjusted EBITDA of $11.5 million or 15.1% of revenue in the fourth quarter of fiscal year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Year 2018 Financial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revenue was $377.5 million, an increase of 26% from fiscal year 2017.</w:t>
      </w:r>
    </w:p>
    <w:p>
      <w:pPr>
        <w:sectPr>
          <w:pgSz w:w="11900" w:h="16838" w:orient="portrait"/>
          <w:cols w:equalWidth="0" w:num="1">
            <w:col w:w="11420"/>
          </w:cols>
          <w:pgMar w:left="240" w:top="121" w:right="239" w:bottom="0" w:gutter="0" w:footer="0" w:header="0"/>
        </w:sectPr>
      </w:pPr>
    </w:p>
    <w:bookmarkStart w:id="3" w:name="page4"/>
    <w:bookmarkEnd w:id="3"/>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recurring revenue was $363.5 million, representing 96% of total revenue and an increase of 26% from fiscal year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9"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GAAP operating income was $15.9 million, compared to operating income of $7.3 million in fiscal year 2017.</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Non-GAAP operating income was $53.6 million, compared to non-GAAP operating income of $36.6 million in fiscal year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left="660" w:right="20" w:hanging="328"/>
        <w:spacing w:after="0" w:line="302" w:lineRule="auto"/>
        <w:tabs>
          <w:tab w:leader="none" w:pos="6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GAAP net income was $38.6 million for fiscal year 2018, which includes a non-cash income tax benefit of $21.8 million, primarily related to the release of substantially all of the valuation allowance against deferred tax assets in the third quarter of fiscal year 2018. This compares to net income of $6.7 million for fiscal year 2017. Net income per share was $0.70 for fiscal year 2018, based on 54.9 million diluted weighted average common shares outstanding. For fiscal year 2017 net income was $0.12 per share based on 54.1 million diluted weighted average common shares outstanding.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left="660" w:right="44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a non-GAAP measure, was $81.3 million or 21.5% of revenue for fiscal year 2018 compared to Adjusted EBITDA of $56.2 million or 18.7% of revenue for fiscal year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229"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and cash equivalents totaled $137.2 million at the end of the year.</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flow from operations for fiscal year 2018 was $97.9 million compared to $62.0 million for fiscal year 2017, an increase of 57.9%.</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Free cash flow, a non-GAAP measure, was $48.8 million for fiscal year 2018 compared to $24.2 million for fiscal year 2017, an increase of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Update: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adopted ASC 606 using the modified retrospective method in fiscal 2019, which began on July 1, 2018. Under ASC 606 we will amortize certain sales and implementation expenses over a period of 7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Also as of July 1, 2018 we began recognizing implementation revenue ratably over a period of up to 24 months.</w:t>
      </w:r>
    </w:p>
    <w:p>
      <w:pPr>
        <w:spacing w:after="0" w:line="22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 the interest of comparability during this transition year, in the reconciliation table below we are providing revenue for each quarter of fiscal 2018 on a GAAP and non-GAAP, pro-forma basis giving effect to the change in recognition of implementation revenue for fiscal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Paylocity Holding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GAAP to non-GAAP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40" w:type="dxa"/>
            <w:vAlign w:val="bottom"/>
            <w:gridSpan w:val="12"/>
          </w:tcPr>
          <w:p>
            <w:pPr>
              <w:jc w:val="center"/>
              <w:spacing w:after="0"/>
              <w:rPr>
                <w:sz w:val="20"/>
                <w:szCs w:val="20"/>
                <w:color w:val="auto"/>
              </w:rPr>
            </w:pPr>
            <w:r>
              <w:rPr>
                <w:rFonts w:ascii="Arial" w:cs="Arial" w:eastAsia="Arial" w:hAnsi="Arial"/>
                <w:sz w:val="13"/>
                <w:szCs w:val="13"/>
                <w:b w:val="1"/>
                <w:bCs w:val="1"/>
                <w:color w:val="auto"/>
                <w:w w:val="87"/>
              </w:rPr>
              <w:t>Three Months Ended September 30, 2017</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20" w:type="dxa"/>
            <w:vAlign w:val="bottom"/>
            <w:gridSpan w:val="11"/>
          </w:tcPr>
          <w:p>
            <w:pPr>
              <w:ind w:left="220"/>
              <w:spacing w:after="0"/>
              <w:rPr>
                <w:sz w:val="20"/>
                <w:szCs w:val="20"/>
                <w:color w:val="auto"/>
              </w:rPr>
            </w:pPr>
            <w:r>
              <w:rPr>
                <w:rFonts w:ascii="Arial" w:cs="Arial" w:eastAsia="Arial" w:hAnsi="Arial"/>
                <w:sz w:val="13"/>
                <w:szCs w:val="13"/>
                <w:b w:val="1"/>
                <w:bCs w:val="1"/>
                <w:color w:val="auto"/>
                <w:w w:val="91"/>
              </w:rPr>
              <w:t>Three Months Ended December 31, 2017</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00" w:type="dxa"/>
            <w:vAlign w:val="bottom"/>
            <w:gridSpan w:val="9"/>
          </w:tcPr>
          <w:p>
            <w:pPr>
              <w:jc w:val="center"/>
              <w:ind w:right="260"/>
              <w:spacing w:after="0"/>
              <w:rPr>
                <w:sz w:val="20"/>
                <w:szCs w:val="20"/>
                <w:color w:val="auto"/>
              </w:rPr>
            </w:pPr>
            <w:r>
              <w:rPr>
                <w:rFonts w:ascii="Arial" w:cs="Arial" w:eastAsia="Arial" w:hAnsi="Arial"/>
                <w:sz w:val="13"/>
                <w:szCs w:val="13"/>
                <w:b w:val="1"/>
                <w:bCs w:val="1"/>
                <w:color w:val="auto"/>
                <w:w w:val="88"/>
              </w:rPr>
              <w:t>Three Months Ended March 31, 2018</w:t>
            </w:r>
          </w:p>
        </w:tc>
        <w:tc>
          <w:tcPr>
            <w:tcW w:w="0" w:type="dxa"/>
            <w:vAlign w:val="bottom"/>
          </w:tcPr>
          <w:p>
            <w:pPr>
              <w:spacing w:after="0"/>
              <w:rPr>
                <w:sz w:val="1"/>
                <w:szCs w:val="1"/>
                <w:color w:val="auto"/>
              </w:rPr>
            </w:pPr>
          </w:p>
        </w:tc>
      </w:tr>
      <w:tr>
        <w:trPr>
          <w:trHeight w:val="110"/>
        </w:trPr>
        <w:tc>
          <w:tcPr>
            <w:tcW w:w="1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jc w:val="center"/>
              <w:ind w:right="302"/>
              <w:spacing w:after="0" w:line="110" w:lineRule="exact"/>
              <w:rPr>
                <w:sz w:val="20"/>
                <w:szCs w:val="20"/>
                <w:color w:val="auto"/>
              </w:rPr>
            </w:pPr>
            <w:r>
              <w:rPr>
                <w:rFonts w:ascii="Arial" w:cs="Arial" w:eastAsia="Arial" w:hAnsi="Arial"/>
                <w:sz w:val="12"/>
                <w:szCs w:val="12"/>
                <w:b w:val="1"/>
                <w:bCs w:val="1"/>
                <w:color w:val="auto"/>
                <w:w w:val="99"/>
              </w:rPr>
              <w:t>Non-GAAP</w:t>
            </w: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3"/>
          </w:tcPr>
          <w:p>
            <w:pPr>
              <w:jc w:val="right"/>
              <w:ind w:right="318"/>
              <w:spacing w:after="0" w:line="110" w:lineRule="exact"/>
              <w:rPr>
                <w:sz w:val="20"/>
                <w:szCs w:val="20"/>
                <w:color w:val="auto"/>
              </w:rPr>
            </w:pPr>
            <w:r>
              <w:rPr>
                <w:rFonts w:ascii="Arial" w:cs="Arial" w:eastAsia="Arial" w:hAnsi="Arial"/>
                <w:sz w:val="12"/>
                <w:szCs w:val="12"/>
                <w:b w:val="1"/>
                <w:bCs w:val="1"/>
                <w:color w:val="auto"/>
                <w:w w:val="99"/>
              </w:rPr>
              <w:t>Non-GAAP</w:t>
            </w: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jc w:val="center"/>
              <w:ind w:right="118"/>
              <w:spacing w:after="0" w:line="110" w:lineRule="exact"/>
              <w:rPr>
                <w:sz w:val="20"/>
                <w:szCs w:val="20"/>
                <w:color w:val="auto"/>
              </w:rPr>
            </w:pPr>
            <w:r>
              <w:rPr>
                <w:rFonts w:ascii="Arial" w:cs="Arial" w:eastAsia="Arial" w:hAnsi="Arial"/>
                <w:sz w:val="12"/>
                <w:szCs w:val="12"/>
                <w:b w:val="1"/>
                <w:bCs w:val="1"/>
                <w:color w:val="auto"/>
              </w:rPr>
              <w:t>Non-GAAP</w:t>
            </w: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w w:val="90"/>
              </w:rPr>
              <w:t>As Reported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tcPr>
          <w:p>
            <w:pPr>
              <w:jc w:val="center"/>
              <w:ind w:right="162"/>
              <w:spacing w:after="0"/>
              <w:rPr>
                <w:sz w:val="20"/>
                <w:szCs w:val="20"/>
                <w:color w:val="auto"/>
              </w:rPr>
            </w:pPr>
            <w:r>
              <w:rPr>
                <w:rFonts w:ascii="Arial" w:cs="Arial" w:eastAsia="Arial" w:hAnsi="Arial"/>
                <w:sz w:val="13"/>
                <w:szCs w:val="13"/>
                <w:b w:val="1"/>
                <w:bCs w:val="1"/>
                <w:color w:val="auto"/>
                <w:w w:val="87"/>
              </w:rPr>
              <w:t>Adjustments (8)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ind w:left="40"/>
              <w:spacing w:after="0"/>
              <w:rPr>
                <w:sz w:val="20"/>
                <w:szCs w:val="20"/>
                <w:color w:val="auto"/>
              </w:rPr>
            </w:pPr>
            <w:r>
              <w:rPr>
                <w:rFonts w:ascii="Arial" w:cs="Arial" w:eastAsia="Arial" w:hAnsi="Arial"/>
                <w:sz w:val="13"/>
                <w:szCs w:val="13"/>
                <w:b w:val="1"/>
                <w:bCs w:val="1"/>
                <w:color w:val="auto"/>
              </w:rPr>
              <w:t>As Adjusted</w:t>
            </w:r>
          </w:p>
        </w:tc>
        <w:tc>
          <w:tcPr>
            <w:tcW w:w="100" w:type="dxa"/>
            <w:vAlign w:val="bottom"/>
          </w:tcPr>
          <w:p>
            <w:pPr>
              <w:spacing w:after="0"/>
              <w:rPr>
                <w:sz w:val="13"/>
                <w:szCs w:val="13"/>
                <w:color w:val="auto"/>
              </w:rPr>
            </w:pPr>
          </w:p>
        </w:tc>
        <w:tc>
          <w:tcPr>
            <w:tcW w:w="1000" w:type="dxa"/>
            <w:vAlign w:val="bottom"/>
            <w:gridSpan w:val="5"/>
          </w:tcPr>
          <w:p>
            <w:pPr>
              <w:jc w:val="right"/>
              <w:ind w:right="300"/>
              <w:spacing w:after="0"/>
              <w:rPr>
                <w:sz w:val="20"/>
                <w:szCs w:val="20"/>
                <w:color w:val="auto"/>
              </w:rPr>
            </w:pPr>
            <w:r>
              <w:rPr>
                <w:rFonts w:ascii="Arial" w:cs="Arial" w:eastAsia="Arial" w:hAnsi="Arial"/>
                <w:sz w:val="13"/>
                <w:szCs w:val="13"/>
                <w:b w:val="1"/>
                <w:bCs w:val="1"/>
                <w:color w:val="auto"/>
                <w:w w:val="87"/>
              </w:rPr>
              <w:t>As Reported</w:t>
            </w:r>
          </w:p>
        </w:tc>
        <w:tc>
          <w:tcPr>
            <w:tcW w:w="80" w:type="dxa"/>
            <w:vAlign w:val="bottom"/>
          </w:tcPr>
          <w:p>
            <w:pPr>
              <w:spacing w:after="0"/>
              <w:rPr>
                <w:sz w:val="13"/>
                <w:szCs w:val="13"/>
                <w:color w:val="auto"/>
              </w:rPr>
            </w:pPr>
          </w:p>
        </w:tc>
        <w:tc>
          <w:tcPr>
            <w:tcW w:w="1100" w:type="dxa"/>
            <w:vAlign w:val="bottom"/>
            <w:gridSpan w:val="5"/>
          </w:tcPr>
          <w:p>
            <w:pPr>
              <w:jc w:val="right"/>
              <w:ind w:right="198"/>
              <w:spacing w:after="0"/>
              <w:rPr>
                <w:sz w:val="20"/>
                <w:szCs w:val="20"/>
                <w:color w:val="auto"/>
              </w:rPr>
            </w:pPr>
            <w:r>
              <w:rPr>
                <w:rFonts w:ascii="Arial" w:cs="Arial" w:eastAsia="Arial" w:hAnsi="Arial"/>
                <w:sz w:val="13"/>
                <w:szCs w:val="13"/>
                <w:b w:val="1"/>
                <w:bCs w:val="1"/>
                <w:color w:val="auto"/>
                <w:w w:val="85"/>
              </w:rPr>
              <w:t>Adjustments (8)</w:t>
            </w:r>
          </w:p>
        </w:tc>
        <w:tc>
          <w:tcPr>
            <w:tcW w:w="10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rPr>
              <w:t>As Adjusted</w:t>
            </w:r>
          </w:p>
        </w:tc>
        <w:tc>
          <w:tcPr>
            <w:tcW w:w="14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As Reported</w:t>
            </w:r>
          </w:p>
        </w:tc>
        <w:tc>
          <w:tcPr>
            <w:tcW w:w="60" w:type="dxa"/>
            <w:vAlign w:val="bottom"/>
          </w:tcPr>
          <w:p>
            <w:pPr>
              <w:spacing w:after="0"/>
              <w:rPr>
                <w:sz w:val="13"/>
                <w:szCs w:val="13"/>
                <w:color w:val="auto"/>
              </w:rPr>
            </w:pPr>
          </w:p>
        </w:tc>
        <w:tc>
          <w:tcPr>
            <w:tcW w:w="104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89"/>
              </w:rPr>
              <w:t>Adjustments (8)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As Adjusted</w:t>
            </w:r>
          </w:p>
        </w:tc>
        <w:tc>
          <w:tcPr>
            <w:tcW w:w="0" w:type="dxa"/>
            <w:vAlign w:val="bottom"/>
          </w:tcPr>
          <w:p>
            <w:pPr>
              <w:spacing w:after="0"/>
              <w:rPr>
                <w:sz w:val="1"/>
                <w:szCs w:val="1"/>
                <w:color w:val="auto"/>
              </w:rPr>
            </w:pPr>
          </w:p>
        </w:tc>
      </w:tr>
      <w:tr>
        <w:trPr>
          <w:trHeight w:val="115"/>
        </w:trPr>
        <w:tc>
          <w:tcPr>
            <w:tcW w:w="13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Revenues:</w:t>
            </w:r>
          </w:p>
        </w:tc>
        <w:tc>
          <w:tcPr>
            <w:tcW w:w="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left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lef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right w:val="single" w:sz="8" w:color="CCEEFF"/>
            </w:tcBorders>
            <w:shd w:val="clear" w:color="auto" w:fill="CCEEFF"/>
          </w:tcPr>
          <w:p>
            <w:pPr>
              <w:spacing w:after="0"/>
              <w:rPr>
                <w:sz w:val="10"/>
                <w:szCs w:val="10"/>
                <w:color w:val="auto"/>
              </w:rPr>
            </w:pPr>
          </w:p>
        </w:tc>
        <w:tc>
          <w:tcPr>
            <w:tcW w:w="140" w:type="dxa"/>
            <w:vAlign w:val="bottom"/>
            <w:tcBorders>
              <w:top w:val="single" w:sz="8" w:color="auto"/>
              <w:left w:val="single" w:sz="8" w:color="CCEEFF"/>
              <w:right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line="135" w:lineRule="exact"/>
              <w:rPr>
                <w:sz w:val="20"/>
                <w:szCs w:val="20"/>
                <w:color w:val="auto"/>
              </w:rPr>
            </w:pPr>
            <w:r>
              <w:rPr>
                <w:rFonts w:ascii="Arial" w:cs="Arial" w:eastAsia="Arial" w:hAnsi="Arial"/>
                <w:sz w:val="13"/>
                <w:szCs w:val="13"/>
                <w:color w:val="auto"/>
              </w:rPr>
              <w:t>Recurring fees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77,294</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77,294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81,292</w:t>
            </w:r>
          </w:p>
        </w:tc>
        <w:tc>
          <w:tcPr>
            <w:tcW w:w="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right"/>
              <w:ind w:right="11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spacing w:after="0"/>
              <w:rPr>
                <w:sz w:val="11"/>
                <w:szCs w:val="11"/>
                <w:color w:val="auto"/>
              </w:rPr>
            </w:pPr>
          </w:p>
        </w:tc>
        <w:tc>
          <w:tcPr>
            <w:tcW w:w="5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0"/>
              </w:rPr>
              <w:t>81,292</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105,857</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105,857</w:t>
            </w: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Interest income on</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funds held for</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vMerge w:val="restart"/>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gridSpan w:val="3"/>
            <w:vMerge w:val="restart"/>
            <w:shd w:val="clear" w:color="auto" w:fill="CCEEFF"/>
          </w:tcPr>
          <w:p>
            <w:pPr>
              <w:jc w:val="right"/>
              <w:ind w:right="118"/>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tcBorders>
              <w:left w:val="single" w:sz="8" w:color="CCEEFF"/>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clients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1,617</w:t>
            </w: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1,783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1,783</w:t>
            </w:r>
          </w:p>
        </w:tc>
        <w:tc>
          <w:tcPr>
            <w:tcW w:w="140" w:type="dxa"/>
            <w:vAlign w:val="bottom"/>
            <w:tcBorders>
              <w:left w:val="single" w:sz="8" w:color="CCEEFF"/>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2,719</w:t>
            </w:r>
          </w:p>
        </w:tc>
        <w:tc>
          <w:tcPr>
            <w:tcW w:w="6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2,719</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line="121" w:lineRule="exact"/>
              <w:rPr>
                <w:sz w:val="20"/>
                <w:szCs w:val="20"/>
                <w:color w:val="auto"/>
              </w:rPr>
            </w:pPr>
            <w:r>
              <w:rPr>
                <w:rFonts w:ascii="Arial" w:cs="Arial" w:eastAsia="Arial" w:hAnsi="Arial"/>
                <w:sz w:val="13"/>
                <w:szCs w:val="13"/>
                <w:color w:val="auto"/>
              </w:rPr>
              <w:t>Total recurring</w:t>
            </w: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3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gridSpan w:val="2"/>
            <w:vMerge w:val="restart"/>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2"/>
            <w:vMerge w:val="restart"/>
          </w:tcPr>
          <w:p>
            <w:pPr>
              <w:jc w:val="right"/>
              <w:ind w:right="58"/>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340" w:type="dxa"/>
            <w:vAlign w:val="bottom"/>
          </w:tcPr>
          <w:p>
            <w:pPr>
              <w:ind w:left="180"/>
              <w:spacing w:after="0"/>
              <w:rPr>
                <w:sz w:val="20"/>
                <w:szCs w:val="20"/>
                <w:color w:val="auto"/>
              </w:rPr>
            </w:pPr>
            <w:r>
              <w:rPr>
                <w:rFonts w:ascii="Arial" w:cs="Arial" w:eastAsia="Arial" w:hAnsi="Arial"/>
                <w:sz w:val="13"/>
                <w:szCs w:val="13"/>
                <w:color w:val="auto"/>
              </w:rPr>
              <w:t>revenues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78,911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w w:val="95"/>
              </w:rPr>
              <w:t>78,911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83,075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w w:val="90"/>
              </w:rPr>
              <w:t>83,075</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108,576</w:t>
            </w:r>
          </w:p>
        </w:tc>
        <w:tc>
          <w:tcPr>
            <w:tcW w:w="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108,576</w:t>
            </w: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Implementation</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services and other</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2"/>
              <w:spacing w:after="0"/>
              <w:rPr>
                <w:sz w:val="20"/>
                <w:szCs w:val="20"/>
                <w:color w:val="auto"/>
              </w:rPr>
            </w:pPr>
            <w:r>
              <w:rPr>
                <w:rFonts w:ascii="Arial" w:cs="Arial" w:eastAsia="Arial" w:hAnsi="Arial"/>
                <w:sz w:val="13"/>
                <w:szCs w:val="13"/>
                <w:color w:val="auto"/>
              </w:rPr>
              <w:t>(1,789)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800</w:t>
            </w: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2 929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
              <w:spacing w:after="0"/>
              <w:rPr>
                <w:sz w:val="20"/>
                <w:szCs w:val="20"/>
                <w:color w:val="auto"/>
              </w:rPr>
            </w:pPr>
            <w:r>
              <w:rPr>
                <w:rFonts w:ascii="Arial" w:cs="Arial" w:eastAsia="Arial" w:hAnsi="Arial"/>
                <w:sz w:val="13"/>
                <w:szCs w:val="13"/>
                <w:color w:val="auto"/>
              </w:rPr>
              <w:t>(1,011)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1,918</w:t>
            </w:r>
          </w:p>
        </w:tc>
        <w:tc>
          <w:tcPr>
            <w:tcW w:w="140" w:type="dxa"/>
            <w:vAlign w:val="bottom"/>
            <w:tcBorders>
              <w:left w:val="single" w:sz="8" w:color="CCEEFF"/>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4,831</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
              <w:spacing w:after="0"/>
              <w:rPr>
                <w:sz w:val="20"/>
                <w:szCs w:val="20"/>
                <w:color w:val="auto"/>
              </w:rPr>
            </w:pPr>
            <w:r>
              <w:rPr>
                <w:rFonts w:ascii="Arial" w:cs="Arial" w:eastAsia="Arial" w:hAnsi="Arial"/>
                <w:sz w:val="13"/>
                <w:szCs w:val="13"/>
                <w:color w:val="auto"/>
              </w:rPr>
              <w:t>(2,076)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2,755</w:t>
            </w:r>
          </w:p>
        </w:tc>
        <w:tc>
          <w:tcPr>
            <w:tcW w:w="0" w:type="dxa"/>
            <w:vAlign w:val="bottom"/>
          </w:tcPr>
          <w:p>
            <w:pPr>
              <w:spacing w:after="0"/>
              <w:rPr>
                <w:sz w:val="1"/>
                <w:szCs w:val="1"/>
                <w:color w:val="auto"/>
              </w:rPr>
            </w:pPr>
          </w:p>
        </w:tc>
      </w:tr>
      <w:tr>
        <w:trPr>
          <w:trHeight w:val="142"/>
        </w:trPr>
        <w:tc>
          <w:tcPr>
            <w:tcW w:w="1340" w:type="dxa"/>
            <w:vAlign w:val="bottom"/>
          </w:tcPr>
          <w:p>
            <w:pPr>
              <w:spacing w:after="0" w:line="141" w:lineRule="exact"/>
              <w:rPr>
                <w:sz w:val="20"/>
                <w:szCs w:val="20"/>
                <w:color w:val="auto"/>
              </w:rPr>
            </w:pPr>
            <w:r>
              <w:rPr>
                <w:rFonts w:ascii="Arial" w:cs="Arial" w:eastAsia="Arial" w:hAnsi="Arial"/>
                <w:sz w:val="13"/>
                <w:szCs w:val="13"/>
                <w:color w:val="auto"/>
              </w:rPr>
              <w:t>Total Revenue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81,500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(1,789</w:t>
            </w:r>
          </w:p>
        </w:tc>
        <w:tc>
          <w:tcPr>
            <w:tcW w:w="140" w:type="dxa"/>
            <w:vAlign w:val="bottom"/>
          </w:tcPr>
          <w:p>
            <w:pPr>
              <w:jc w:val="right"/>
              <w:ind w:right="42"/>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79,711</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86,004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(1,011</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0"/>
              </w:rPr>
              <w:t>84,993</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113,407</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(2,076</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111,331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10"/>
          </w:tcPr>
          <w:p>
            <w:pPr>
              <w:spacing w:after="0"/>
              <w:rPr>
                <w:sz w:val="20"/>
                <w:szCs w:val="20"/>
                <w:color w:val="auto"/>
              </w:rPr>
            </w:pPr>
            <w:r>
              <w:rPr>
                <w:rFonts w:ascii="Arial" w:cs="Arial" w:eastAsia="Arial" w:hAnsi="Arial"/>
                <w:sz w:val="13"/>
                <w:szCs w:val="13"/>
                <w:b w:val="1"/>
                <w:bCs w:val="1"/>
                <w:color w:val="auto"/>
                <w:w w:val="89"/>
              </w:rPr>
              <w:t>Three Months Ended June 30, 2018</w:t>
            </w:r>
          </w:p>
        </w:tc>
        <w:tc>
          <w:tcPr>
            <w:tcW w:w="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11"/>
          </w:tcPr>
          <w:p>
            <w:pPr>
              <w:ind w:left="520"/>
              <w:spacing w:after="0"/>
              <w:rPr>
                <w:sz w:val="20"/>
                <w:szCs w:val="20"/>
                <w:color w:val="auto"/>
              </w:rPr>
            </w:pPr>
            <w:r>
              <w:rPr>
                <w:rFonts w:ascii="Arial" w:cs="Arial" w:eastAsia="Arial" w:hAnsi="Arial"/>
                <w:sz w:val="13"/>
                <w:szCs w:val="13"/>
                <w:b w:val="1"/>
                <w:bCs w:val="1"/>
                <w:color w:val="auto"/>
                <w:w w:val="88"/>
              </w:rPr>
              <w:t>Twelve Months Ended June 30, 2018</w:t>
            </w:r>
          </w:p>
        </w:tc>
        <w:tc>
          <w:tcPr>
            <w:tcW w:w="3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2"/>
          </w:tcPr>
          <w:p>
            <w:pPr>
              <w:jc w:val="right"/>
              <w:ind w:right="142"/>
              <w:spacing w:after="0" w:line="110" w:lineRule="exact"/>
              <w:rPr>
                <w:sz w:val="20"/>
                <w:szCs w:val="20"/>
                <w:color w:val="auto"/>
              </w:rPr>
            </w:pPr>
            <w:r>
              <w:rPr>
                <w:rFonts w:ascii="Arial" w:cs="Arial" w:eastAsia="Arial" w:hAnsi="Arial"/>
                <w:sz w:val="12"/>
                <w:szCs w:val="12"/>
                <w:b w:val="1"/>
                <w:bCs w:val="1"/>
                <w:color w:val="auto"/>
              </w:rPr>
              <w:t>Non-GAAP</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3"/>
          </w:tcPr>
          <w:p>
            <w:pPr>
              <w:jc w:val="right"/>
              <w:ind w:right="218"/>
              <w:spacing w:after="0" w:line="110" w:lineRule="exact"/>
              <w:rPr>
                <w:sz w:val="20"/>
                <w:szCs w:val="20"/>
                <w:color w:val="auto"/>
              </w:rPr>
            </w:pPr>
            <w:r>
              <w:rPr>
                <w:rFonts w:ascii="Arial" w:cs="Arial" w:eastAsia="Arial" w:hAnsi="Arial"/>
                <w:sz w:val="12"/>
                <w:szCs w:val="12"/>
                <w:b w:val="1"/>
                <w:bCs w:val="1"/>
                <w:color w:val="auto"/>
              </w:rPr>
              <w:t>Non-GAAP</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4"/>
          </w:tcPr>
          <w:p>
            <w:pPr>
              <w:jc w:val="right"/>
              <w:ind w:right="73"/>
              <w:spacing w:after="0"/>
              <w:rPr>
                <w:sz w:val="20"/>
                <w:szCs w:val="20"/>
                <w:color w:val="auto"/>
              </w:rPr>
            </w:pPr>
            <w:r>
              <w:rPr>
                <w:rFonts w:ascii="Arial" w:cs="Arial" w:eastAsia="Arial" w:hAnsi="Arial"/>
                <w:sz w:val="13"/>
                <w:szCs w:val="13"/>
                <w:b w:val="1"/>
                <w:bCs w:val="1"/>
                <w:color w:val="auto"/>
                <w:w w:val="87"/>
              </w:rPr>
              <w:t>As Reported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22"/>
              <w:spacing w:after="0"/>
              <w:rPr>
                <w:sz w:val="20"/>
                <w:szCs w:val="20"/>
                <w:color w:val="auto"/>
              </w:rPr>
            </w:pPr>
            <w:r>
              <w:rPr>
                <w:rFonts w:ascii="Arial" w:cs="Arial" w:eastAsia="Arial" w:hAnsi="Arial"/>
                <w:sz w:val="13"/>
                <w:szCs w:val="13"/>
                <w:b w:val="1"/>
                <w:bCs w:val="1"/>
                <w:color w:val="auto"/>
                <w:w w:val="87"/>
              </w:rPr>
              <w:t>Adjustments (8)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As Adjusted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87"/>
              </w:rPr>
              <w:t>As Reported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tcPr>
          <w:p>
            <w:pPr>
              <w:jc w:val="right"/>
              <w:ind w:right="78"/>
              <w:spacing w:after="0"/>
              <w:rPr>
                <w:sz w:val="20"/>
                <w:szCs w:val="20"/>
                <w:color w:val="auto"/>
              </w:rPr>
            </w:pPr>
            <w:r>
              <w:rPr>
                <w:rFonts w:ascii="Arial" w:cs="Arial" w:eastAsia="Arial" w:hAnsi="Arial"/>
                <w:sz w:val="13"/>
                <w:szCs w:val="13"/>
                <w:b w:val="1"/>
                <w:bCs w:val="1"/>
                <w:color w:val="auto"/>
                <w:w w:val="87"/>
              </w:rPr>
              <w:t>Adjustments (8)</w:t>
            </w:r>
          </w:p>
        </w:tc>
        <w:tc>
          <w:tcPr>
            <w:tcW w:w="100" w:type="dxa"/>
            <w:vAlign w:val="bottom"/>
          </w:tcPr>
          <w:p>
            <w:pPr>
              <w:spacing w:after="0"/>
              <w:rPr>
                <w:sz w:val="13"/>
                <w:szCs w:val="13"/>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As Adjusted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3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Revenues:</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left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left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line="135" w:lineRule="exact"/>
              <w:rPr>
                <w:sz w:val="20"/>
                <w:szCs w:val="20"/>
                <w:color w:val="auto"/>
              </w:rPr>
            </w:pPr>
            <w:r>
              <w:rPr>
                <w:rFonts w:ascii="Arial" w:cs="Arial" w:eastAsia="Arial" w:hAnsi="Arial"/>
                <w:sz w:val="13"/>
                <w:szCs w:val="13"/>
                <w:color w:val="auto"/>
              </w:rPr>
              <w:t>Recurring fees</w:t>
            </w:r>
          </w:p>
        </w:tc>
        <w:tc>
          <w:tcPr>
            <w:tcW w:w="80" w:type="dxa"/>
            <w:vAlign w:val="bottom"/>
          </w:tcPr>
          <w:p>
            <w:pPr>
              <w:spacing w:after="0"/>
              <w:rPr>
                <w:sz w:val="11"/>
                <w:szCs w:val="11"/>
                <w:color w:val="auto"/>
              </w:rPr>
            </w:pPr>
          </w:p>
        </w:tc>
        <w:tc>
          <w:tcPr>
            <w:tcW w:w="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89,989</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13"/>
              <w:spacing w:after="0" w:line="135" w:lineRule="exact"/>
              <w:rPr>
                <w:sz w:val="20"/>
                <w:szCs w:val="20"/>
                <w:color w:val="auto"/>
              </w:rPr>
            </w:pPr>
            <w:r>
              <w:rPr>
                <w:rFonts w:ascii="Arial" w:cs="Arial" w:eastAsia="Arial" w:hAnsi="Arial"/>
                <w:sz w:val="13"/>
                <w:szCs w:val="13"/>
                <w:color w:val="auto"/>
              </w:rPr>
              <w:t>89,989</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354,432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18"/>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354,432</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Interest income on funds</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1"/>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18"/>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held for clients</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2,974</w:t>
            </w:r>
          </w:p>
        </w:tc>
        <w:tc>
          <w:tcPr>
            <w:tcW w:w="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2,974</w:t>
            </w: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9,093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9,093</w:t>
            </w:r>
          </w:p>
        </w:tc>
        <w:tc>
          <w:tcPr>
            <w:tcW w:w="140" w:type="dxa"/>
            <w:vAlign w:val="bottom"/>
            <w:tcBorders>
              <w:left w:val="single" w:sz="8" w:color="CCEEFF"/>
              <w:right w:val="single" w:sz="8" w:color="CCEEFF"/>
            </w:tcBorders>
            <w:shd w:val="clear" w:color="auto" w:fill="CCEEFF"/>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340" w:type="dxa"/>
            <w:vAlign w:val="bottom"/>
          </w:tcPr>
          <w:p>
            <w:pPr>
              <w:spacing w:after="0" w:line="129" w:lineRule="exact"/>
              <w:rPr>
                <w:sz w:val="20"/>
                <w:szCs w:val="20"/>
                <w:color w:val="auto"/>
              </w:rPr>
            </w:pPr>
            <w:r>
              <w:rPr>
                <w:rFonts w:ascii="Arial" w:cs="Arial" w:eastAsia="Arial" w:hAnsi="Arial"/>
                <w:sz w:val="13"/>
                <w:szCs w:val="13"/>
                <w:color w:val="auto"/>
                <w:w w:val="93"/>
              </w:rPr>
              <w:t>Total recurring revenues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3"/>
                <w:szCs w:val="13"/>
                <w:color w:val="auto"/>
              </w:rPr>
              <w:t>92,963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1"/>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92,963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363,525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363,525</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Implementation services</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and other</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3,653</w:t>
            </w:r>
          </w:p>
        </w:tc>
        <w:tc>
          <w:tcPr>
            <w:tcW w:w="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17"/>
              <w:spacing w:after="0"/>
              <w:rPr>
                <w:sz w:val="20"/>
                <w:szCs w:val="20"/>
                <w:color w:val="auto"/>
              </w:rPr>
            </w:pPr>
            <w:r>
              <w:rPr>
                <w:rFonts w:ascii="Arial" w:cs="Arial" w:eastAsia="Arial" w:hAnsi="Arial"/>
                <w:sz w:val="13"/>
                <w:szCs w:val="13"/>
                <w:color w:val="auto"/>
              </w:rPr>
              <w:t>(600)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3,053</w:t>
            </w:r>
          </w:p>
        </w:tc>
        <w:tc>
          <w:tcPr>
            <w:tcW w:w="1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14,002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(5,476)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8,526</w:t>
            </w:r>
          </w:p>
        </w:tc>
        <w:tc>
          <w:tcPr>
            <w:tcW w:w="140" w:type="dxa"/>
            <w:vAlign w:val="bottom"/>
            <w:tcBorders>
              <w:left w:val="single" w:sz="8" w:color="CCEEFF"/>
              <w:right w:val="single" w:sz="8" w:color="CCEEFF"/>
            </w:tcBorders>
            <w:shd w:val="clear" w:color="auto" w:fill="CCEEFF"/>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line="141" w:lineRule="exact"/>
              <w:rPr>
                <w:sz w:val="20"/>
                <w:szCs w:val="20"/>
                <w:color w:val="auto"/>
              </w:rPr>
            </w:pPr>
            <w:r>
              <w:rPr>
                <w:rFonts w:ascii="Arial" w:cs="Arial" w:eastAsia="Arial" w:hAnsi="Arial"/>
                <w:sz w:val="13"/>
                <w:szCs w:val="13"/>
                <w:color w:val="auto"/>
              </w:rPr>
              <w:t>Total Revenue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gridSpan w:val="3"/>
          </w:tcPr>
          <w:p>
            <w:pPr>
              <w:jc w:val="right"/>
              <w:spacing w:after="0" w:line="143" w:lineRule="exact"/>
              <w:rPr>
                <w:sz w:val="20"/>
                <w:szCs w:val="20"/>
                <w:color w:val="auto"/>
              </w:rPr>
            </w:pPr>
            <w:r>
              <w:rPr>
                <w:rFonts w:ascii="Arial" w:cs="Arial" w:eastAsia="Arial" w:hAnsi="Arial"/>
                <w:sz w:val="13"/>
                <w:szCs w:val="13"/>
                <w:color w:val="auto"/>
              </w:rPr>
              <w:t>96,616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(600</w:t>
            </w:r>
          </w:p>
        </w:tc>
        <w:tc>
          <w:tcPr>
            <w:tcW w:w="120" w:type="dxa"/>
            <w:vAlign w:val="bottom"/>
            <w:gridSpan w:val="2"/>
          </w:tcPr>
          <w:p>
            <w:pPr>
              <w:jc w:val="right"/>
              <w:ind w:right="17"/>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96,016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377,527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(5,476</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372,051</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i w:val="1"/>
          <w:iCs w:val="1"/>
          <w:color w:val="auto"/>
        </w:rPr>
        <w:t>As adjusted implementation revenue as if we recognized implementation revenue ratably over a period of up to 24 months for each quarter of fiscal 2018.</w:t>
      </w:r>
    </w:p>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reconciliation of GAAP to non-GAAP financial measures has been provided in this press release, including the accompanying tables. An explanation of these measures is also included below under the heading “Non-GAAP Financial Measures.”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Paylocity’s Board of Directors approved a stock repurchase plan under which $35.0 million is available for repurchase through August 14, 2019. Shares may be repurchased from time-to-time in open market transactions at prevailing market prices or privately negotiated transactions. The actual timing, number and value of shares repurchased will depend on the market price of our common stock, general market conditions and other corporate and economic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4"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Based on information available as of August 9, 2018, Paylocity is issuing guidance for the first quarter and full fiscal year 2019 as indicated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w:t>
      </w:r>
      <w:r>
        <w:rPr>
          <w:rFonts w:ascii="Arial" w:cs="Arial" w:eastAsia="Arial" w:hAnsi="Arial"/>
          <w:sz w:val="18"/>
          <w:szCs w:val="18"/>
          <w:color w:val="auto"/>
        </w:rPr>
        <w:t>:</w:t>
      </w:r>
    </w:p>
    <w:p>
      <w:pPr>
        <w:spacing w:after="0" w:line="229" w:lineRule="exact"/>
        <w:rPr>
          <w:sz w:val="20"/>
          <w:szCs w:val="20"/>
          <w:color w:val="auto"/>
        </w:rPr>
      </w:pPr>
    </w:p>
    <w:p>
      <w:pPr>
        <w:ind w:left="660" w:right="440" w:hanging="328"/>
        <w:spacing w:after="0" w:line="258"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revenue is expected to be in the range of $97.5 million to $98.5 million, which represents 22% - 24% growth over fiscal 2018 first quarter revenue, as adjusted and as presented on a non-GAAP basis in the table above.</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EBITDA, a non-GAAP measure, is expected to be in the range of $20.0 million to $21.0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w:t>
      </w:r>
      <w:r>
        <w:rPr>
          <w:rFonts w:ascii="Arial" w:cs="Arial" w:eastAsia="Arial" w:hAnsi="Arial"/>
          <w:sz w:val="18"/>
          <w:szCs w:val="18"/>
          <w:color w:val="auto"/>
        </w:rPr>
        <w:t>:</w:t>
      </w:r>
    </w:p>
    <w:p>
      <w:pPr>
        <w:spacing w:after="0" w:line="229" w:lineRule="exact"/>
        <w:rPr>
          <w:sz w:val="20"/>
          <w:szCs w:val="20"/>
          <w:color w:val="auto"/>
        </w:rPr>
      </w:pPr>
    </w:p>
    <w:p>
      <w:pPr>
        <w:ind w:left="660" w:right="120" w:hanging="328"/>
        <w:spacing w:after="0" w:line="258"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revenue is expected to be in the range of $451.0 million to $453.0 million, which represents 21% - 22% growth over fiscal 2018 total revenue, as adjusted and as presented on a non-GAAP basis in the table above.</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a non-GAAP measure, is expected to be in the range of $126.5 million to $128.5 million.</w:t>
      </w:r>
    </w:p>
    <w:p>
      <w:pPr>
        <w:spacing w:after="0" w:line="211"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We are unable to reconcile these forward-looking non-GAAP financial measures to their directly comparable GAAP financial measures because the information which is needed to complete a reconciliation is unavailable at this time without unreasonable effort.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Details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Paylocity will host a conference call to discuss its fourth quarter and fiscal year 2018 results at 4:00 p.m. Central Time today (5:00 Eastern Time). A live audio webcast of the conference call, together with detailed financial information, can be accessed through the company’s Investor Relations Web site at www.paylocity.com. Participants who choose to call in to the conference call can do so by dialing (855) 226-3021 or (315) 625-6892, passcode 5196704. A replay of the call will be available and archived via webcast at www.paylocity.com.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Paylocity</w:t>
      </w:r>
    </w:p>
    <w:p>
      <w:pPr>
        <w:spacing w:after="0" w:line="229"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Paylocity is a provider of cloud-based payroll and human capital management, or HCM, software solutions. Paylocity’s comprehensive and easy-to-use solutions enable its clients to manage their workforces more effectively. Paylocity’s solutions help drive strategic human capital decision-making and improve employee engagement by enhancing the human resource, payroll and finance capabilities of its clients. For more information, visit www.paylocity.com.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Source: Paylocity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uses certain non-GAAP financial measures in this release, including Adjusted EBITDA, adjusted gross profit, adjusted recurring gross profit, non-GAAP operating income, non-GAAP net income, non-GAAP net income per share, non-GAAP sales and marketing, non-GAAP total research and development and non-GAAP general and administrative and free cash flow. 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We define Adjusted EBITDA as net income (loss) before interest expense, income tax expense (benefit), and depreciation and amortization expense, adjusted to eliminate stock-based compensation expense and employer payroll taxes related to stock releases and option exercises, acquisition-related costs and lease exit costs. Adjusted gross profit and adjusted recurring gross profit are adjusted to eliminate stock-based compensation expense and employer payroll taxes related to stock releases and option exercises and amortization of capitalized internal-use software costs. Non-GAAP operating income is adjusted to eliminate stock-based compensation expense and employer payroll taxes related to stock releases and option exercises, the amortization of acquired intangibles, lease exit costs and accelerated depreciation expense and acquisition-related costs. Non-GAAP sales and marketing expense is adjusted to eliminate stock-based compensation expense and employer payroll taxes related to stock releases and option exercises. Non-GAAP general and administrative expense is adjusted to eliminate stock-based compensation expense and employer payroll taxes related to stock releases and option exercises, the amortization of acquired intangibles, acquisition-related costs and lease exit costs and accelerated depreciation expense. Non-GAAP net income and non-GAAP net income per share are adjusted to eliminate stock-based compensation expense and employer payroll taxes related to stock releases and option exercises, the amortization of acquired intangibles, acquisition-related costs, lease exit costs and accelerated depreciation expense and the income tax effect on these items, the valuation allowance release, excess tax benefit related to employee stock-based compensation payments and the impact of tax reform. Pro forma diluted weighted average number of common shares are adjusted for the weighted average effect of potentially diluted shares. Non-GAAP total research and development is adjusted for capitalized internal-use software costs and to eliminate stock-based compensation expense and employer payroll taxes related to stock releases and option exercises. Free cash flow is defined as net cash provided by operating activities less capitalized internal-use software costs, purchase of property and equipment and lease allowances used for tenant improvements. Please note that other companies may define their non-GAAP financial measures differently than we do. Management presents certain non-GAAP financial measures in this release because it considers them to be important supplemental measures of performance. Management uses these non-GAAP financial measures for planning purposes, including analysis of the company’s performance against prior periods, the preparation of operating budgets and to determine appropriate levels of operating and capital investments. Management believes that these non-GAAP financial measures provide additional insight for analysts and investors in evaluating the company’s financial and operational performance. Management also intends to provide these non-GAAP financial measures as part of the company’s future earnings discussions and, therefore, the inclusion of the non-GAAP financial measures should provide consistency in the company’s financial reporting. Non-GAAP financial measures have limitations as an analytical tool. Investors are encouraged to review the reconciliation of the non-GAAP measures to their most directly comparable GAAP measures provided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0" w:right="259" w:bottom="882" w:gutter="0" w:footer="0" w:header="0"/>
        </w:sectPr>
      </w:pPr>
    </w:p>
    <w:bookmarkStart w:id="5" w:name="page6"/>
    <w:bookmarkEnd w:id="5"/>
    <w:p>
      <w:pPr>
        <w:spacing w:after="0" w:line="4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Included in the press release, we also refer to non-GAAP revenue. Effective July 1, 2018, we began recognizing implementation revenue ratably over a period of up to 24 months. To allow investors comparability to prior year results, we have provided comparable information on fiscal 2018 as if we had recognized implementation revenue ratably over a period of up to 24 months during fiscal 2018. However, for periods beginning before adoption, those adjusted financial measures are considered not to be calculated in accordance with GAAP and are thus presented as non-GAAP financial metrics.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Harbor/forward 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that involve substantial risks and uncertainties. All statements, other than statements of historical facts, included herein regarding Paylocity’s future operations, ability to scale its business, future financial position and performance, future revenues, projected costs, prospects, plans and objectives of management are forward-looking statements. The words “anticipate,” “believe,” “estimate,” “expect,” “intend,” “may,” “plan,” “will,” “would,” “seek” and similar expressions (or the negative of these terms) are intended to identify forward-looking statements, although not all forward-looking statements contain these identifying words. These forward-looking statements include, among other things, statements about management’s estimates regarding future revenues and financial performance and other statements about management’s beliefs, intentions or goals. Paylocity may not actually achieve the expectations disclosed in the forward-looking statements, and you should not place undue reliance on Paylocity’s forward-looking statements. These forward-looking statements involve risks and uncertainties that could cause actual results or events to differ materially from the expectations disclosed in the forward-looking statements, including, but not limited to Paylocity’s ability to consummate repurchase under the stock repurchase plan; Paylocity’s ability to retain existing clients and to attract new clients to enter into subscriptions for its services; Paylocity’s ability to sell new products and retain subscriptions for its existing products to its new and existing clients; the challenges associated with a growing company’s ability to effectively service clients in a dynamic and competitive market; challenges associated with expanding and evolving a sales organization to effectively address new geographies and products and services; Paylocity’s reliance on and ability to expand its referral network of third parties; difficulties associated with accurately forecasting revenue and appropriately planning expenses; challenges with managing growth effectively; difficulties in forecasting Paylocity’s tax position; potential adverse tax consequences to Paylocity as a result of the recently enacted Federal Tax Cut and Jobs Act; risks related to regulatory, legislative and judicial uncertainty in Paylocity’s markets, including the potential repeal or replacement of the Affordable Care Act; continued acceptance of SaaS as an effective method for delivery of payroll and HCM solutions; Paylocity’s ability to protect and defend its intellectual property; the risk that Paylocity’s security measures are compromised or the unauthorized access to customer data; unexpected events in the market for Paylocity’s solutions; changes in the competitive environment in Paylocity’s industry and the markets in which it operates; adverse changes in general economic or market conditions; changes in the employment rates of Paylocity’s clients and the resultant impact on revenue; and other risks and potential factors that could affect Paylocity’s business and financial results identified in Paylocity’s filings with the Securities and Exchange Commission (the “SEC”), including its 10-K filed with the SEC on August 11, 2017. Additional information will also be set forth in Paylocity’s future quarterly reports on Form 10-Q, annual reports on Form 10-K and other filings that Paylocity makes with the SEC. These forward-looking statements represent Paylocity’s expectations as of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Subsequent events may cause these expectations to change, and Paylocity disclaims any obligations to update or alter these forward-looking statements in the future,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Current assets:</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103,468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2,040</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14,879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Total current assets before funds held for clients</w:t>
            </w:r>
          </w:p>
        </w:tc>
        <w:tc>
          <w:tcPr>
            <w:tcW w:w="2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120,387</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Funds held for clients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942,459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1,225,614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1,062,846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1,535</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17,394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40,756</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8,907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Goodwill</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6,003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1,137,441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1,507,599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Current liabilities:</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30,301</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Total current liabilities before client fund obligations</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32,347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Client fund obligations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942,459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1,225,614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974,806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Deferred rent</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14,621</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401</w:t>
            </w:r>
          </w:p>
        </w:tc>
        <w:tc>
          <w:tcPr>
            <w:tcW w:w="36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0"/>
        </w:trPr>
        <w:tc>
          <w:tcPr>
            <w:tcW w:w="8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989,828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1,294,775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8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Stockholders’ equity:</w:t>
            </w: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8080" w:type="dxa"/>
            <w:vAlign w:val="bottom"/>
          </w:tcPr>
          <w:p>
            <w:pPr>
              <w:ind w:left="180"/>
              <w:spacing w:after="0" w:line="201" w:lineRule="exact"/>
              <w:rPr>
                <w:sz w:val="20"/>
                <w:szCs w:val="20"/>
                <w:color w:val="auto"/>
              </w:rPr>
            </w:pPr>
            <w:r>
              <w:rPr>
                <w:rFonts w:ascii="Arial" w:cs="Arial" w:eastAsia="Arial" w:hAnsi="Arial"/>
                <w:sz w:val="18"/>
                <w:szCs w:val="18"/>
                <w:color w:val="auto"/>
                <w:w w:val="91"/>
              </w:rPr>
              <w:t>Preferred stock, $0.001 par value, 5,000 authorized, no shares issued and outstanding at June 30, 2017 and</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2018</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02"/>
        </w:trPr>
        <w:tc>
          <w:tcPr>
            <w:tcW w:w="8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$0.001 par value, 155,000 shares authorized at June 30, 2017 and 2018; 51,738 shares</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issued and outstanding at June 30, 2017 and 52,758 shares issued and outstanding at June 30, 2018</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192,837</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219,588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(45,276)</w:t>
            </w: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(6,678)</w:t>
            </w:r>
          </w:p>
        </w:tc>
        <w:tc>
          <w:tcPr>
            <w:tcW w:w="40" w:type="dxa"/>
            <w:vAlign w:val="bottom"/>
          </w:tcPr>
          <w:p>
            <w:pPr>
              <w:spacing w:after="0"/>
              <w:rPr>
                <w:sz w:val="18"/>
                <w:szCs w:val="18"/>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18"/>
                <w:szCs w:val="18"/>
                <w:color w:val="auto"/>
              </w:rPr>
            </w:pPr>
          </w:p>
        </w:tc>
      </w:tr>
      <w:tr>
        <w:trPr>
          <w:trHeight w:val="210"/>
        </w:trPr>
        <w:tc>
          <w:tcPr>
            <w:tcW w:w="8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147,613</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8080" w:type="dxa"/>
            <w:vAlign w:val="bottom"/>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1,137,441</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1,507,599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80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left="373"/>
              <w:spacing w:after="0"/>
              <w:rPr>
                <w:sz w:val="20"/>
                <w:szCs w:val="20"/>
                <w:color w:val="auto"/>
              </w:rPr>
            </w:pPr>
            <w:r>
              <w:rPr>
                <w:rFonts w:ascii="Arial" w:cs="Arial" w:eastAsia="Arial" w:hAnsi="Arial"/>
                <w:sz w:val="14"/>
                <w:szCs w:val="14"/>
                <w:b w:val="1"/>
                <w:bCs w:val="1"/>
                <w:color w:val="auto"/>
                <w:w w:val="93"/>
              </w:rPr>
              <w:t>For the Three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left="373"/>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373"/>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Recurring fees</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72,236</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89,989</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284,817</w:t>
            </w:r>
          </w:p>
        </w:tc>
        <w:tc>
          <w:tcPr>
            <w:tcW w:w="140" w:type="dxa"/>
            <w:vAlign w:val="bottom"/>
          </w:tcPr>
          <w:p>
            <w:pPr>
              <w:spacing w:after="0"/>
              <w:rPr>
                <w:sz w:val="18"/>
                <w:szCs w:val="18"/>
                <w:color w:val="auto"/>
              </w:rPr>
            </w:pP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354,432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on funds held for clients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1,142</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Total recurring revenues</w:t>
            </w:r>
          </w:p>
        </w:tc>
        <w:tc>
          <w:tcPr>
            <w:tcW w:w="7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73,378</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288,448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Implementation services and other</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7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76,061</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96,616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300,010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revenues:</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Recurring revenues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23,144</w:t>
            </w:r>
          </w:p>
        </w:tc>
        <w:tc>
          <w:tcPr>
            <w:tcW w:w="3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27,298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85,399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Implementation services and other</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10,019</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38,588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revenues</w:t>
            </w:r>
          </w:p>
        </w:tc>
        <w:tc>
          <w:tcPr>
            <w:tcW w:w="7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33,163</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38,746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123,987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42,898</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20,518</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77,506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7,606</w:t>
            </w:r>
          </w:p>
        </w:tc>
        <w:tc>
          <w:tcPr>
            <w:tcW w:w="3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10,418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29,098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18,208</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62,123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46,332</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168,727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 (loss)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income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(loss) before income taxes</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487</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(21,847)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(3,844)</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(1,553)</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6,718</w:t>
            </w:r>
          </w:p>
        </w:tc>
        <w:tc>
          <w:tcPr>
            <w:tcW w:w="140" w:type="dxa"/>
            <w:vAlign w:val="bottom"/>
          </w:tcPr>
          <w:p>
            <w:pPr>
              <w:spacing w:after="0"/>
              <w:rPr>
                <w:sz w:val="22"/>
                <w:szCs w:val="22"/>
                <w:color w:val="auto"/>
              </w:rPr>
            </w:pP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38,598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comprehensive gain (loss), net of tax</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(losses) on securities, net of tax</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gain (loss), net of tax</w:t>
            </w:r>
          </w:p>
        </w:tc>
        <w:tc>
          <w:tcPr>
            <w:tcW w:w="7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2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Basic</w:t>
            </w:r>
          </w:p>
        </w:tc>
        <w:tc>
          <w:tcPr>
            <w:tcW w:w="7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(0.07)</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vMerge w:val="restart"/>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760" w:type="dxa"/>
            <w:vAlign w:val="bottom"/>
            <w:tcBorders>
              <w:top w:val="single" w:sz="8" w:color="CCEEFF"/>
            </w:tcBorders>
            <w:vMerge w:val="restart"/>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28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(0.03)</w:t>
            </w:r>
          </w:p>
        </w:tc>
        <w:tc>
          <w:tcPr>
            <w:tcW w:w="1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0.12</w:t>
            </w:r>
          </w:p>
        </w:tc>
        <w:tc>
          <w:tcPr>
            <w:tcW w:w="14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0.70</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125" w:right="199" w:bottom="102" w:gutter="0" w:footer="0" w:header="0"/>
        </w:sectPr>
      </w:pPr>
    </w:p>
    <w:p>
      <w:pPr>
        <w:spacing w:after="0" w:line="2" w:lineRule="exact"/>
        <w:rPr>
          <w:sz w:val="20"/>
          <w:szCs w:val="20"/>
          <w:color w:val="auto"/>
        </w:rPr>
      </w:pPr>
    </w:p>
    <w:p>
      <w:pPr>
        <w:ind w:left="840" w:hanging="179"/>
        <w:spacing w:after="0" w:line="258" w:lineRule="auto"/>
        <w:rPr>
          <w:sz w:val="20"/>
          <w:szCs w:val="20"/>
          <w:color w:val="auto"/>
        </w:rPr>
      </w:pPr>
      <w:r>
        <w:rPr>
          <w:rFonts w:ascii="Arial" w:cs="Arial" w:eastAsia="Arial" w:hAnsi="Arial"/>
          <w:sz w:val="18"/>
          <w:szCs w:val="18"/>
          <w:color w:val="auto"/>
        </w:rPr>
        <w:t>Weighted-average shares used in computing net income (loss) per share:</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51,602</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52,699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51,415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52,425</w:t>
            </w:r>
          </w:p>
        </w:tc>
        <w:tc>
          <w:tcPr>
            <w:tcW w:w="0" w:type="dxa"/>
            <w:vAlign w:val="bottom"/>
          </w:tcPr>
          <w:p>
            <w:pPr>
              <w:spacing w:after="0"/>
              <w:rPr>
                <w:sz w:val="1"/>
                <w:szCs w:val="1"/>
                <w:color w:val="auto"/>
              </w:rPr>
            </w:pP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51,602</w:t>
            </w:r>
          </w:p>
        </w:tc>
        <w:tc>
          <w:tcPr>
            <w:tcW w:w="280" w:type="dxa"/>
            <w:vAlign w:val="bottom"/>
            <w:vMerge w:val="continue"/>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52,699</w:t>
            </w:r>
          </w:p>
        </w:tc>
        <w:tc>
          <w:tcPr>
            <w:tcW w:w="280" w:type="dxa"/>
            <w:vAlign w:val="bottom"/>
            <w:vMerge w:val="continue"/>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54,057</w:t>
            </w:r>
          </w:p>
        </w:tc>
        <w:tc>
          <w:tcPr>
            <w:tcW w:w="280" w:type="dxa"/>
            <w:vAlign w:val="bottom"/>
            <w:vMerge w:val="continue"/>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54,887</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-599440</wp:posOffset>
            </wp:positionV>
            <wp:extent cx="651764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7640" cy="274320"/>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-179705</wp:posOffset>
            </wp:positionV>
            <wp:extent cx="651764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480"/>
            <w:col w:w="5580"/>
          </w:cols>
          <w:pgMar w:left="240" w:top="125" w:right="199" w:bottom="102"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and employer payroll taxes related to stock releases and option exercises are included in the above line items:</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left="377"/>
              <w:spacing w:after="0"/>
              <w:rPr>
                <w:sz w:val="20"/>
                <w:szCs w:val="20"/>
                <w:color w:val="auto"/>
              </w:rPr>
            </w:pPr>
            <w:r>
              <w:rPr>
                <w:rFonts w:ascii="Arial" w:cs="Arial" w:eastAsia="Arial" w:hAnsi="Arial"/>
                <w:sz w:val="14"/>
                <w:szCs w:val="14"/>
                <w:b w:val="1"/>
                <w:bCs w:val="1"/>
                <w:color w:val="auto"/>
                <w:w w:val="93"/>
              </w:rPr>
              <w:t>For the Three</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vMerge w:val="restart"/>
          </w:tcPr>
          <w:p>
            <w:pPr>
              <w:ind w:left="3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left="377"/>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 recurring</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Cost of revenue — implementation services and other</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379</w:t>
            </w:r>
          </w:p>
        </w:tc>
        <w:tc>
          <w:tcPr>
            <w:tcW w:w="3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1,514</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740</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5,288</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14,086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15,691</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8,531</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8,624</w:t>
            </w:r>
          </w:p>
        </w:tc>
        <w:tc>
          <w:tcPr>
            <w:tcW w:w="140" w:type="dxa"/>
            <w:vAlign w:val="bottom"/>
          </w:tcPr>
          <w:p>
            <w:pPr>
              <w:spacing w:after="0"/>
              <w:rPr>
                <w:sz w:val="20"/>
                <w:szCs w:val="20"/>
                <w:color w:val="auto"/>
              </w:rPr>
            </w:pP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27,794</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31,817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02" w:gutter="0" w:footer="0" w:header="0"/>
          <w:type w:val="continuous"/>
        </w:sectPr>
      </w:pPr>
    </w:p>
    <w:bookmarkStart w:id="7" w:name="page8"/>
    <w:bookmarkEnd w:id="7"/>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2"/>
              </w:rPr>
              <w:t>For the Years Ended June 30,</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(3,851)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38,598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160"/>
              <w:spacing w:after="0" w:line="201" w:lineRule="exact"/>
              <w:rPr>
                <w:sz w:val="20"/>
                <w:szCs w:val="20"/>
                <w:color w:val="auto"/>
              </w:rPr>
            </w:pPr>
            <w:r>
              <w:rPr>
                <w:rFonts w:ascii="Arial" w:cs="Arial" w:eastAsia="Arial" w:hAnsi="Arial"/>
                <w:sz w:val="18"/>
                <w:szCs w:val="18"/>
                <w:color w:val="auto"/>
              </w:rPr>
              <w:t>Adjustments to reconcile net income (loss) to net cash provided by operating</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17,563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26,734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30,354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8"/>
                <w:szCs w:val="18"/>
                <w:color w:val="auto"/>
              </w:rPr>
            </w:pP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13,873</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21,027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30,202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expense (benefit)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Provision for doubtful accounts</w:t>
            </w:r>
          </w:p>
        </w:tc>
        <w:tc>
          <w:tcPr>
            <w:tcW w:w="320" w:type="dxa"/>
            <w:vAlign w:val="bottom"/>
          </w:tcPr>
          <w:p>
            <w:pPr>
              <w:spacing w:after="0"/>
              <w:rPr>
                <w:sz w:val="18"/>
                <w:szCs w:val="18"/>
                <w:color w:val="auto"/>
              </w:rPr>
            </w:pP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Net accretion of discounts and amortization of premiums on available-for-sale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securities</w:t>
            </w: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Net realized losses on sales of available-for-sale securities</w:t>
            </w:r>
          </w:p>
        </w:tc>
        <w:tc>
          <w:tcPr>
            <w:tcW w:w="320" w:type="dxa"/>
            <w:vAlign w:val="bottom"/>
          </w:tcPr>
          <w:p>
            <w:pPr>
              <w:spacing w:after="0"/>
              <w:rPr>
                <w:sz w:val="18"/>
                <w:szCs w:val="18"/>
                <w:color w:val="auto"/>
              </w:rPr>
            </w:pP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equipment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712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(725)</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18"/>
                <w:szCs w:val="18"/>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(3,270)</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(2,074)</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8,310</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6,465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11,641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Tenant improvement allowance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11,754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32,993</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61,980</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available-for-sale securities from funds held for clients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160"/>
              <w:spacing w:after="0" w:line="201" w:lineRule="exact"/>
              <w:rPr>
                <w:sz w:val="20"/>
                <w:szCs w:val="20"/>
                <w:color w:val="auto"/>
              </w:rPr>
            </w:pPr>
            <w:r>
              <w:rPr>
                <w:rFonts w:ascii="Arial" w:cs="Arial" w:eastAsia="Arial" w:hAnsi="Arial"/>
                <w:sz w:val="18"/>
                <w:szCs w:val="18"/>
                <w:color w:val="auto"/>
                <w:w w:val="98"/>
              </w:rPr>
              <w:t>Proceeds from sales and maturities of available-for-sale securities from funds held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for clients</w:t>
            </w:r>
          </w:p>
        </w:tc>
        <w:tc>
          <w:tcPr>
            <w:tcW w:w="320" w:type="dxa"/>
            <w:vAlign w:val="bottom"/>
          </w:tcPr>
          <w:p>
            <w:pPr>
              <w:spacing w:after="0"/>
              <w:rPr>
                <w:sz w:val="20"/>
                <w:szCs w:val="20"/>
                <w:color w:val="auto"/>
              </w:rPr>
            </w:pP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73,044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funds held for clients’ cash and cash equivalents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(648,403)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297,163</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Capitalized internal-use software costs</w:t>
            </w:r>
          </w:p>
        </w:tc>
        <w:tc>
          <w:tcPr>
            <w:tcW w:w="320" w:type="dxa"/>
            <w:vAlign w:val="bottom"/>
          </w:tcPr>
          <w:p>
            <w:pPr>
              <w:spacing w:after="0"/>
              <w:rPr>
                <w:sz w:val="18"/>
                <w:szCs w:val="18"/>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(8,391)</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(13,641)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(15,638)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(16,083)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(21,338)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Lease allowances used for tenant improvements</w:t>
            </w:r>
          </w:p>
        </w:tc>
        <w:tc>
          <w:tcPr>
            <w:tcW w:w="320" w:type="dxa"/>
            <w:vAlign w:val="bottom"/>
          </w:tcPr>
          <w:p>
            <w:pPr>
              <w:spacing w:after="0"/>
              <w:rPr>
                <w:sz w:val="18"/>
                <w:szCs w:val="18"/>
                <w:color w:val="auto"/>
              </w:rPr>
            </w:pP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(2,845)</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(11,754)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business, net of cash acquired</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(483)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(673,360)</w:t>
            </w: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259,339</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(339,358)</w:t>
            </w:r>
          </w:p>
        </w:tc>
        <w:tc>
          <w:tcPr>
            <w:tcW w:w="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client fund obligations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648,403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(297,163)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281,467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18"/>
                <w:szCs w:val="18"/>
                <w:color w:val="auto"/>
              </w:rPr>
            </w:pP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2,991</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Taxes paid related to net share settlement of equity awards</w:t>
            </w:r>
          </w:p>
        </w:tc>
        <w:tc>
          <w:tcPr>
            <w:tcW w:w="320" w:type="dxa"/>
            <w:vAlign w:val="bottom"/>
          </w:tcPr>
          <w:p>
            <w:pPr>
              <w:spacing w:after="0"/>
              <w:rPr>
                <w:sz w:val="18"/>
                <w:szCs w:val="18"/>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(5,926)</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(11,342)</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645,605</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(304,347)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275,217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and Cash Equivalents—Beginning of Year</w:t>
            </w:r>
          </w:p>
        </w:tc>
        <w:tc>
          <w:tcPr>
            <w:tcW w:w="320" w:type="dxa"/>
            <w:vAlign w:val="bottom"/>
          </w:tcPr>
          <w:p>
            <w:pPr>
              <w:spacing w:after="0"/>
              <w:rPr>
                <w:sz w:val="18"/>
                <w:szCs w:val="18"/>
                <w:color w:val="auto"/>
              </w:rPr>
            </w:pP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81,258</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86,496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103,468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Equivalents—End of Year</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Build-out allowances received from landlords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1,888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w w:val="95"/>
              </w:rPr>
              <w:t>Purchase of property and equipment and internal-use software, accrued but not paid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607</w:t>
            </w:r>
          </w:p>
        </w:tc>
        <w:tc>
          <w:tcPr>
            <w:tcW w:w="3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667</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659</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Supplemental Disclosure of Cash Flow Information</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Cash paid (refunds received) for income taxes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8"/>
              <w:spacing w:after="0"/>
              <w:rPr>
                <w:sz w:val="20"/>
                <w:szCs w:val="20"/>
                <w:color w:val="auto"/>
              </w:rPr>
            </w:pPr>
            <w:r>
              <w:rPr>
                <w:rFonts w:ascii="Arial" w:cs="Arial" w:eastAsia="Arial" w:hAnsi="Arial"/>
                <w:sz w:val="18"/>
                <w:szCs w:val="18"/>
                <w:color w:val="auto"/>
              </w:rPr>
              <w:t>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66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Paylocity Holding Corporation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Reconciliation of GAAP to non-GAAP Financial Measures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3"/>
          </w:tcPr>
          <w:p>
            <w:pPr>
              <w:jc w:val="center"/>
              <w:ind w:left="442"/>
              <w:spacing w:after="0"/>
              <w:rPr>
                <w:sz w:val="20"/>
                <w:szCs w:val="20"/>
                <w:color w:val="auto"/>
              </w:rPr>
            </w:pPr>
            <w:r>
              <w:rPr>
                <w:rFonts w:ascii="Arial" w:cs="Arial" w:eastAsia="Arial" w:hAnsi="Arial"/>
                <w:sz w:val="14"/>
                <w:szCs w:val="14"/>
                <w:b w:val="1"/>
                <w:bCs w:val="1"/>
                <w:color w:val="auto"/>
                <w:w w:val="92"/>
              </w:rPr>
              <w:t>Three months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4"/>
          </w:tcPr>
          <w:p>
            <w:pPr>
              <w:jc w:val="center"/>
              <w:ind w:left="482"/>
              <w:spacing w:after="0"/>
              <w:rPr>
                <w:sz w:val="20"/>
                <w:szCs w:val="20"/>
                <w:color w:val="auto"/>
              </w:rPr>
            </w:pPr>
            <w:r>
              <w:rPr>
                <w:rFonts w:ascii="Arial" w:cs="Arial" w:eastAsia="Arial" w:hAnsi="Arial"/>
                <w:sz w:val="14"/>
                <w:szCs w:val="14"/>
                <w:b w:val="1"/>
                <w:bCs w:val="1"/>
                <w:color w:val="auto"/>
                <w:w w:val="94"/>
              </w:rPr>
              <w:t>For the year</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left="462"/>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4"/>
          </w:tcPr>
          <w:p>
            <w:pPr>
              <w:jc w:val="center"/>
              <w:ind w:left="482"/>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82"/>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from gross profit to adjusted gross profit:</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Gross profit</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42,898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57,870</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176,023</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228,330</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3,240</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9,447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14,315</w:t>
            </w: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stock releases and option exercises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989</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3,802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4,548</w:t>
            </w:r>
          </w:p>
        </w:tc>
      </w:tr>
      <w:tr>
        <w:trPr>
          <w:trHeight w:val="21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3"/>
          </w:tcPr>
          <w:p>
            <w:pPr>
              <w:jc w:val="center"/>
              <w:ind w:left="442"/>
              <w:spacing w:after="0"/>
              <w:rPr>
                <w:sz w:val="20"/>
                <w:szCs w:val="20"/>
                <w:color w:val="auto"/>
              </w:rPr>
            </w:pPr>
            <w:r>
              <w:rPr>
                <w:rFonts w:ascii="Arial" w:cs="Arial" w:eastAsia="Arial" w:hAnsi="Arial"/>
                <w:sz w:val="14"/>
                <w:szCs w:val="14"/>
                <w:b w:val="1"/>
                <w:bCs w:val="1"/>
                <w:color w:val="auto"/>
                <w:w w:val="92"/>
              </w:rPr>
              <w:t>Three months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4"/>
          </w:tcPr>
          <w:p>
            <w:pPr>
              <w:jc w:val="center"/>
              <w:ind w:left="482"/>
              <w:spacing w:after="0"/>
              <w:rPr>
                <w:sz w:val="20"/>
                <w:szCs w:val="20"/>
                <w:color w:val="auto"/>
              </w:rPr>
            </w:pPr>
            <w:r>
              <w:rPr>
                <w:rFonts w:ascii="Arial" w:cs="Arial" w:eastAsia="Arial" w:hAnsi="Arial"/>
                <w:sz w:val="14"/>
                <w:szCs w:val="14"/>
                <w:b w:val="1"/>
                <w:bCs w:val="1"/>
                <w:color w:val="auto"/>
                <w:w w:val="94"/>
              </w:rPr>
              <w:t>For the year</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49"/>
        </w:trPr>
        <w:tc>
          <w:tcPr>
            <w:tcW w:w="5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left="462"/>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4"/>
          </w:tcPr>
          <w:p>
            <w:pPr>
              <w:jc w:val="center"/>
              <w:ind w:left="482"/>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82"/>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bl>
    <w:p>
      <w:pPr>
        <w:sectPr>
          <w:pgSz w:w="11900" w:h="16900" w:orient="portrait"/>
          <w:cols w:equalWidth="0" w:num="1">
            <w:col w:w="11460"/>
          </w:cols>
          <w:pgMar w:left="240" w:top="580"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Reconciliation from total recurring revenues to adjusted recurring gross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profit:</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Total recurring revenues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73,378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92,963</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288,448</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363,525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23,144</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85,399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104,009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Recurring gross profit</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50,234</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203,049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259,516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3,240</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9,447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14,315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5760" w:type="dxa"/>
            <w:vAlign w:val="bottom"/>
          </w:tcPr>
          <w:p>
            <w:pPr>
              <w:spacing w:after="0" w:line="201" w:lineRule="exact"/>
              <w:rPr>
                <w:sz w:val="20"/>
                <w:szCs w:val="20"/>
                <w:color w:val="auto"/>
              </w:rPr>
            </w:pPr>
            <w:r>
              <w:rPr>
                <w:rFonts w:ascii="Arial" w:cs="Arial" w:eastAsia="Arial" w:hAnsi="Arial"/>
                <w:sz w:val="18"/>
                <w:szCs w:val="18"/>
                <w:color w:val="auto"/>
                <w:w w:val="97"/>
              </w:rPr>
              <w:t>Stock-based compensation expense and employer payroll taxes related to</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stock releases and option exercises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610</w:t>
            </w:r>
          </w:p>
        </w:tc>
        <w:tc>
          <w:tcPr>
            <w:tcW w:w="3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2,329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3,026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recurring gross profit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276,857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1"/>
        </w:trPr>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2"/>
              </w:rPr>
              <w:t>Three months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4"/>
              </w:rPr>
              <w:t>For the year</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49"/>
        </w:trPr>
        <w:tc>
          <w:tcPr>
            <w:tcW w:w="5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left="456"/>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4"/>
          </w:tcPr>
          <w:p>
            <w:pPr>
              <w:jc w:val="center"/>
              <w:ind w:left="476"/>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78"/>
        </w:trPr>
        <w:tc>
          <w:tcPr>
            <w:tcW w:w="57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8"/>
              </w:rPr>
              <w:t>Reconciliation from operating income (loss) to non-GAAP operating</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income:</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Operating income (loss)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(3,434)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(5,164)</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7,296</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15,949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Stock-based compensation expense and employer payroll taxes related to</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releases and option exercises</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8,531</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27,794</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31,817</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Lease exit costs &amp; accelerated depreciation expense (3)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3,996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Acquisition-related costs (1)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1"/>
        </w:trPr>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2"/>
              </w:rPr>
              <w:t>Three months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4"/>
              </w:rPr>
              <w:t>For the year</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49"/>
        </w:trPr>
        <w:tc>
          <w:tcPr>
            <w:tcW w:w="5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left="456"/>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4"/>
          </w:tcPr>
          <w:p>
            <w:pPr>
              <w:jc w:val="center"/>
              <w:ind w:left="476"/>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from net income (loss) to non-GAAP net income: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(3,844)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(1,553)</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6,718</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38,598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Stock-based compensation expense and employer payroll taxes related to</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releases and option exercises</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8,531</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27,794</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31,817</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Amortization of acquired intangibles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1,512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1,695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 (1)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Lease exit costs &amp; accelerated depreciation expense (3)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3,996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tax effect on adjustments (4)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(9,425)</w:t>
            </w:r>
          </w:p>
        </w:tc>
        <w:tc>
          <w:tcPr>
            <w:tcW w:w="40" w:type="dxa"/>
            <w:vAlign w:val="bottom"/>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Valuation allowance release (5)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(22,771)</w:t>
            </w:r>
          </w:p>
        </w:tc>
        <w:tc>
          <w:tcPr>
            <w:tcW w:w="40" w:type="dxa"/>
            <w:vAlign w:val="bottom"/>
          </w:tcPr>
          <w:p>
            <w:pPr>
              <w:spacing w:after="0"/>
              <w:rPr>
                <w:sz w:val="18"/>
                <w:szCs w:val="18"/>
                <w:color w:val="auto"/>
              </w:rPr>
            </w:pPr>
          </w:p>
        </w:tc>
      </w:tr>
      <w:tr>
        <w:trPr>
          <w:trHeight w:val="202"/>
        </w:trPr>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Excess tax benefit related to employee stock-based compensation payments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(11,787)</w:t>
            </w:r>
          </w:p>
        </w:tc>
        <w:tc>
          <w:tcPr>
            <w:tcW w:w="40" w:type="dxa"/>
            <w:vAlign w:val="bottom"/>
          </w:tcPr>
          <w:p>
            <w:pPr>
              <w:spacing w:after="0"/>
              <w:rPr>
                <w:sz w:val="20"/>
                <w:szCs w:val="20"/>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Impact of tax reform (7)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8,626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1"/>
        </w:trPr>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2"/>
              </w:rPr>
              <w:t>Three months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4"/>
              </w:rPr>
              <w:t>For the year</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49"/>
        </w:trPr>
        <w:tc>
          <w:tcPr>
            <w:tcW w:w="5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left="456"/>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4"/>
          </w:tcPr>
          <w:p>
            <w:pPr>
              <w:jc w:val="center"/>
              <w:ind w:left="476"/>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Calculation of non-GAAP net income per share: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Non-GAAP net income</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5,057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6,185</w:t>
            </w:r>
          </w:p>
        </w:tc>
        <w:tc>
          <w:tcPr>
            <w:tcW w:w="160" w:type="dxa"/>
            <w:vAlign w:val="bottom"/>
          </w:tcPr>
          <w:p>
            <w:pPr>
              <w:spacing w:after="0"/>
              <w:rPr>
                <w:sz w:val="18"/>
                <w:szCs w:val="18"/>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36,024</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40,940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Diluted weighted-average number of common shares (pro forma for the three</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months ended June 30, 2017 and 2018)</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54,537</w:t>
            </w: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55,354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54,057</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54,887</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4"/>
        </w:trPr>
        <w:tc>
          <w:tcPr>
            <w:tcW w:w="5760" w:type="dxa"/>
            <w:vAlign w:val="bottom"/>
          </w:tcPr>
          <w:p>
            <w:pPr>
              <w:spacing w:after="0"/>
              <w:rPr>
                <w:sz w:val="20"/>
                <w:szCs w:val="20"/>
                <w:color w:val="auto"/>
              </w:rPr>
            </w:pPr>
            <w:r>
              <w:rPr>
                <w:rFonts w:ascii="Arial" w:cs="Arial" w:eastAsia="Arial" w:hAnsi="Arial"/>
                <w:sz w:val="18"/>
                <w:szCs w:val="18"/>
                <w:color w:val="auto"/>
              </w:rPr>
              <w:t>Non-GAAP net income per share</w:t>
            </w:r>
          </w:p>
        </w:tc>
        <w:tc>
          <w:tcPr>
            <w:tcW w:w="14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7"/>
        </w:trPr>
        <w:tc>
          <w:tcPr>
            <w:tcW w:w="5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2"/>
              </w:rPr>
              <w:t>Three months</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4"/>
              </w:rPr>
              <w:t>For the year</w:t>
            </w: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49"/>
        </w:trPr>
        <w:tc>
          <w:tcPr>
            <w:tcW w:w="5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left="456"/>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4"/>
          </w:tcPr>
          <w:p>
            <w:pPr>
              <w:jc w:val="center"/>
              <w:ind w:left="476"/>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78"/>
        </w:trPr>
        <w:tc>
          <w:tcPr>
            <w:tcW w:w="5760" w:type="dxa"/>
            <w:vAlign w:val="bottom"/>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1"/>
              </w:rPr>
              <w:t>Reconciliation from diluted weighted-average number of common shares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2"/>
              </w:rPr>
              <w:t>as reported to pro forma diluted weighted average number of common</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shares</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Diluted weighted-average number of common shares, as reported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51,602</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52,699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54,057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54,887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2,935</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182"/>
        </w:trPr>
        <w:tc>
          <w:tcPr>
            <w:tcW w:w="5760" w:type="dxa"/>
            <w:vAlign w:val="bottom"/>
          </w:tcPr>
          <w:p>
            <w:pPr>
              <w:spacing w:after="0" w:line="182" w:lineRule="exact"/>
              <w:rPr>
                <w:sz w:val="20"/>
                <w:szCs w:val="20"/>
                <w:color w:val="auto"/>
              </w:rPr>
            </w:pPr>
            <w:r>
              <w:rPr>
                <w:rFonts w:ascii="Arial" w:cs="Arial" w:eastAsia="Arial" w:hAnsi="Arial"/>
                <w:sz w:val="18"/>
                <w:szCs w:val="18"/>
                <w:color w:val="auto"/>
                <w:w w:val="93"/>
              </w:rPr>
              <w:t>Diluted weighted-average number of common shares (pro forma for the three</w:t>
            </w:r>
          </w:p>
        </w:tc>
        <w:tc>
          <w:tcPr>
            <w:tcW w:w="1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5760" w:type="dxa"/>
            <w:vAlign w:val="bottom"/>
          </w:tcPr>
          <w:p>
            <w:pPr>
              <w:ind w:left="180"/>
              <w:spacing w:after="0"/>
              <w:rPr>
                <w:sz w:val="20"/>
                <w:szCs w:val="20"/>
                <w:color w:val="auto"/>
              </w:rPr>
            </w:pPr>
            <w:r>
              <w:rPr>
                <w:rFonts w:ascii="Arial" w:cs="Arial" w:eastAsia="Arial" w:hAnsi="Arial"/>
                <w:sz w:val="18"/>
                <w:szCs w:val="18"/>
                <w:color w:val="auto"/>
              </w:rPr>
              <w:t>months ended June 30, 2017 and 2018)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54,537</w:t>
            </w:r>
          </w:p>
        </w:tc>
        <w:tc>
          <w:tcPr>
            <w:tcW w:w="3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55,354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54,057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54,887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67"/>
        </w:trPr>
        <w:tc>
          <w:tcPr>
            <w:tcW w:w="5760" w:type="dxa"/>
            <w:vAlign w:val="bottom"/>
            <w:tcBorders>
              <w:bottom w:val="single" w:sz="8" w:color="808080"/>
            </w:tcBorders>
          </w:tcPr>
          <w:p>
            <w:pPr>
              <w:spacing w:after="0"/>
              <w:rPr>
                <w:sz w:val="23"/>
                <w:szCs w:val="23"/>
                <w:color w:val="auto"/>
              </w:rPr>
            </w:pPr>
          </w:p>
        </w:tc>
        <w:tc>
          <w:tcPr>
            <w:tcW w:w="1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1540" w:type="dxa"/>
            <w:vAlign w:val="bottom"/>
            <w:tcBorders>
              <w:bottom w:val="single" w:sz="8" w:color="808080"/>
            </w:tcBorders>
            <w:gridSpan w:val="3"/>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160" w:type="dxa"/>
            <w:vAlign w:val="bottom"/>
            <w:tcBorders>
              <w:bottom w:val="single" w:sz="8" w:color="808080"/>
            </w:tcBorders>
          </w:tcPr>
          <w:p>
            <w:pPr>
              <w:spacing w:after="0"/>
              <w:rPr>
                <w:sz w:val="23"/>
                <w:szCs w:val="23"/>
                <w:color w:val="auto"/>
              </w:rPr>
            </w:pPr>
          </w:p>
        </w:tc>
        <w:tc>
          <w:tcPr>
            <w:tcW w:w="12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1480" w:type="dxa"/>
            <w:vAlign w:val="bottom"/>
            <w:tcBorders>
              <w:bottom w:val="single" w:sz="8" w:color="808080"/>
            </w:tcBorders>
            <w:gridSpan w:val="4"/>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r>
      <w:tr>
        <w:trPr>
          <w:trHeight w:val="568"/>
        </w:trPr>
        <w:tc>
          <w:tcPr>
            <w:tcW w:w="5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2"/>
              </w:rPr>
              <w:t>Three months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4"/>
              </w:rPr>
              <w:t>For the year</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9"/>
        </w:trPr>
        <w:tc>
          <w:tcPr>
            <w:tcW w:w="5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left="456"/>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4"/>
          </w:tcPr>
          <w:p>
            <w:pPr>
              <w:jc w:val="center"/>
              <w:ind w:left="476"/>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from net income (loss) to Adjusted EBITDA:</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income (loss)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(3,844)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(1,553)</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6,718</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38,598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487</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(21,847)</w:t>
            </w: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6,342</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21,027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30,202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EBITDA</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28,396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Stock-based compensation expense and employer payroll taxes related to</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releases and option exercises</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8,531</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27,794</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31,817</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Acquisition-related costs (1)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Lease exit costs (2)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11,516</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56,190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81,297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-2248535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-2248535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0" w:right="199" w:bottom="0" w:gutter="0" w:footer="0" w:header="0"/>
        </w:sectPr>
      </w:pPr>
    </w:p>
    <w:p>
      <w:pPr>
        <w:spacing w:after="0" w:line="72" w:lineRule="exact"/>
        <w:rPr>
          <w:sz w:val="20"/>
          <w:szCs w:val="20"/>
          <w:color w:val="auto"/>
        </w:rPr>
      </w:pPr>
    </w:p>
    <w:p>
      <w:pPr>
        <w:ind w:left="6760"/>
        <w:spacing w:after="0"/>
        <w:tabs>
          <w:tab w:leader="none" w:pos="9640" w:val="left"/>
        </w:tabs>
        <w:rPr>
          <w:sz w:val="20"/>
          <w:szCs w:val="20"/>
          <w:color w:val="auto"/>
        </w:rPr>
      </w:pPr>
      <w:r>
        <w:rPr>
          <w:rFonts w:ascii="Arial" w:cs="Arial" w:eastAsia="Arial" w:hAnsi="Arial"/>
          <w:sz w:val="14"/>
          <w:szCs w:val="14"/>
          <w:b w:val="1"/>
          <w:bCs w:val="1"/>
          <w:color w:val="auto"/>
        </w:rPr>
        <w:t>Three months</w:t>
      </w:r>
      <w:r>
        <w:rPr>
          <w:sz w:val="20"/>
          <w:szCs w:val="20"/>
          <w:color w:val="auto"/>
        </w:rPr>
        <w:tab/>
      </w:r>
      <w:r>
        <w:rPr>
          <w:rFonts w:ascii="Arial" w:cs="Arial" w:eastAsia="Arial" w:hAnsi="Arial"/>
          <w:sz w:val="13"/>
          <w:szCs w:val="13"/>
          <w:b w:val="1"/>
          <w:bCs w:val="1"/>
          <w:color w:val="auto"/>
        </w:rPr>
        <w:t>For the year</w:t>
      </w:r>
    </w:p>
    <w:p>
      <w:pPr>
        <w:spacing w:after="0" w:line="20" w:lineRule="exact"/>
        <w:rPr>
          <w:sz w:val="20"/>
          <w:szCs w:val="20"/>
          <w:color w:val="auto"/>
        </w:rPr>
      </w:pPr>
    </w:p>
    <w:p>
      <w:pPr>
        <w:sectPr>
          <w:pgSz w:w="11900" w:h="16838" w:orient="portrait"/>
          <w:cols w:equalWidth="0" w:num="1">
            <w:col w:w="11460"/>
          </w:cols>
          <w:pgMar w:left="240" w:top="130" w:right="19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3"/>
              </w:rPr>
              <w:t>Ended</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5"/>
          </w:tcPr>
          <w:p>
            <w:pPr>
              <w:jc w:val="center"/>
              <w:ind w:right="10"/>
              <w:spacing w:after="0"/>
              <w:rPr>
                <w:sz w:val="20"/>
                <w:szCs w:val="20"/>
                <w:color w:val="auto"/>
              </w:rPr>
            </w:pPr>
            <w:r>
              <w:rPr>
                <w:rFonts w:ascii="Arial" w:cs="Arial" w:eastAsia="Arial" w:hAnsi="Arial"/>
                <w:sz w:val="14"/>
                <w:szCs w:val="14"/>
                <w:b w:val="1"/>
                <w:bCs w:val="1"/>
                <w:color w:val="auto"/>
                <w:w w:val="93"/>
              </w:rPr>
              <w:t>Ended</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5"/>
          </w:tcPr>
          <w:p>
            <w:pPr>
              <w:jc w:val="center"/>
              <w:ind w:right="10"/>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88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5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of non-GAAP Sales and Marketing:</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20,518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26,702</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77,506</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95,484</w:t>
            </w:r>
          </w:p>
        </w:tc>
        <w:tc>
          <w:tcPr>
            <w:tcW w:w="80" w:type="dxa"/>
            <w:vAlign w:val="bottom"/>
          </w:tcPr>
          <w:p>
            <w:pPr>
              <w:spacing w:after="0"/>
              <w:rPr>
                <w:sz w:val="18"/>
                <w:szCs w:val="18"/>
                <w:color w:val="auto"/>
              </w:rPr>
            </w:pP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releases and option exercises</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1,514</w:t>
            </w:r>
          </w:p>
        </w:tc>
        <w:tc>
          <w:tcPr>
            <w:tcW w:w="3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6,558</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7,502</w:t>
            </w:r>
          </w:p>
        </w:tc>
        <w:tc>
          <w:tcPr>
            <w:tcW w:w="80" w:type="dxa"/>
            <w:vAlign w:val="bottom"/>
            <w:shd w:val="clear" w:color="auto" w:fill="CCEEFF"/>
          </w:tcPr>
          <w:p>
            <w:pPr>
              <w:spacing w:after="0"/>
              <w:rPr>
                <w:sz w:val="20"/>
                <w:szCs w:val="20"/>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8"/>
                <w:szCs w:val="18"/>
                <w:color w:val="auto"/>
              </w:rPr>
              <w:t>Non-GAAP Sales and Marketing</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19,004</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25,056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70,948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1"/>
        </w:trPr>
        <w:tc>
          <w:tcPr>
            <w:tcW w:w="28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w w:val="92"/>
              </w:rPr>
              <w:t>Three months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6"/>
          </w:tcPr>
          <w:p>
            <w:pPr>
              <w:jc w:val="center"/>
              <w:ind w:left="556"/>
              <w:spacing w:after="0"/>
              <w:rPr>
                <w:sz w:val="20"/>
                <w:szCs w:val="20"/>
                <w:color w:val="auto"/>
              </w:rPr>
            </w:pPr>
            <w:r>
              <w:rPr>
                <w:rFonts w:ascii="Arial" w:cs="Arial" w:eastAsia="Arial" w:hAnsi="Arial"/>
                <w:sz w:val="14"/>
                <w:szCs w:val="14"/>
                <w:b w:val="1"/>
                <w:bCs w:val="1"/>
                <w:color w:val="auto"/>
                <w:w w:val="94"/>
              </w:rPr>
              <w:t>For the year</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9"/>
        </w:trPr>
        <w:tc>
          <w:tcPr>
            <w:tcW w:w="28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left="458"/>
              <w:spacing w:after="0" w:line="149" w:lineRule="exact"/>
              <w:rPr>
                <w:sz w:val="20"/>
                <w:szCs w:val="20"/>
                <w:color w:val="auto"/>
              </w:rPr>
            </w:pPr>
            <w:r>
              <w:rPr>
                <w:rFonts w:ascii="Arial" w:cs="Arial" w:eastAsia="Arial" w:hAnsi="Arial"/>
                <w:sz w:val="14"/>
                <w:szCs w:val="14"/>
                <w:b w:val="1"/>
                <w:bCs w:val="1"/>
                <w:color w:val="auto"/>
                <w:w w:val="93"/>
              </w:rPr>
              <w:t>Ended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gridSpan w:val="5"/>
          </w:tcPr>
          <w:p>
            <w:pPr>
              <w:jc w:val="center"/>
              <w:ind w:right="10"/>
              <w:spacing w:after="0" w:line="149" w:lineRule="exact"/>
              <w:rPr>
                <w:sz w:val="20"/>
                <w:szCs w:val="20"/>
                <w:color w:val="auto"/>
              </w:rPr>
            </w:pPr>
            <w:r>
              <w:rPr>
                <w:rFonts w:ascii="Arial" w:cs="Arial" w:eastAsia="Arial" w:hAnsi="Arial"/>
                <w:sz w:val="14"/>
                <w:szCs w:val="14"/>
                <w:b w:val="1"/>
                <w:bCs w:val="1"/>
                <w:color w:val="auto"/>
                <w:w w:val="93"/>
              </w:rPr>
              <w:t>Ended</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2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5"/>
          </w:tcPr>
          <w:p>
            <w:pPr>
              <w:jc w:val="center"/>
              <w:ind w:right="10"/>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88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5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of non-GAAP Total Research and Development:</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7,606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10,418</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29,098</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37,645</w:t>
            </w:r>
          </w:p>
        </w:tc>
        <w:tc>
          <w:tcPr>
            <w:tcW w:w="8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internal-use software costs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3,568</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13,641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15,638</w:t>
            </w:r>
          </w:p>
        </w:tc>
        <w:tc>
          <w:tcPr>
            <w:tcW w:w="80" w:type="dxa"/>
            <w:vAlign w:val="bottom"/>
            <w:shd w:val="clear" w:color="auto" w:fill="CCEEFF"/>
          </w:tcPr>
          <w:p>
            <w:pPr>
              <w:spacing w:after="0"/>
              <w:rPr>
                <w:sz w:val="18"/>
                <w:szCs w:val="18"/>
                <w:color w:val="auto"/>
              </w:rPr>
            </w:pPr>
          </w:p>
        </w:tc>
      </w:tr>
      <w:tr>
        <w:trPr>
          <w:trHeight w:val="202"/>
        </w:trPr>
        <w:tc>
          <w:tcPr>
            <w:tcW w:w="5600" w:type="dxa"/>
            <w:vAlign w:val="bottom"/>
            <w:gridSpan w:val="2"/>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stock releases and option exercises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740</w:t>
            </w:r>
          </w:p>
        </w:tc>
        <w:tc>
          <w:tcPr>
            <w:tcW w:w="3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3,348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4,076</w:t>
            </w:r>
          </w:p>
        </w:tc>
        <w:tc>
          <w:tcPr>
            <w:tcW w:w="80" w:type="dxa"/>
            <w:vAlign w:val="bottom"/>
          </w:tcPr>
          <w:p>
            <w:pPr>
              <w:spacing w:after="0"/>
              <w:rPr>
                <w:sz w:val="20"/>
                <w:szCs w:val="20"/>
                <w:color w:val="auto"/>
              </w:rPr>
            </w:pPr>
          </w:p>
        </w:tc>
      </w:tr>
      <w:tr>
        <w:trPr>
          <w:trHeight w:val="210"/>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Non-GAAP Total Research and Development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39,391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1"/>
        </w:trPr>
        <w:tc>
          <w:tcPr>
            <w:tcW w:w="28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w w:val="92"/>
              </w:rPr>
              <w:t>Three months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6"/>
          </w:tcPr>
          <w:p>
            <w:pPr>
              <w:jc w:val="center"/>
              <w:ind w:left="556"/>
              <w:spacing w:after="0"/>
              <w:rPr>
                <w:sz w:val="20"/>
                <w:szCs w:val="20"/>
                <w:color w:val="auto"/>
              </w:rPr>
            </w:pPr>
            <w:r>
              <w:rPr>
                <w:rFonts w:ascii="Arial" w:cs="Arial" w:eastAsia="Arial" w:hAnsi="Arial"/>
                <w:sz w:val="14"/>
                <w:szCs w:val="14"/>
                <w:b w:val="1"/>
                <w:bCs w:val="1"/>
                <w:color w:val="auto"/>
                <w:w w:val="94"/>
              </w:rPr>
              <w:t>For the year</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9"/>
        </w:trPr>
        <w:tc>
          <w:tcPr>
            <w:tcW w:w="28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left="458"/>
              <w:spacing w:after="0" w:line="149" w:lineRule="exact"/>
              <w:rPr>
                <w:sz w:val="20"/>
                <w:szCs w:val="20"/>
                <w:color w:val="auto"/>
              </w:rPr>
            </w:pPr>
            <w:r>
              <w:rPr>
                <w:rFonts w:ascii="Arial" w:cs="Arial" w:eastAsia="Arial" w:hAnsi="Arial"/>
                <w:sz w:val="14"/>
                <w:szCs w:val="14"/>
                <w:b w:val="1"/>
                <w:bCs w:val="1"/>
                <w:color w:val="auto"/>
                <w:w w:val="93"/>
              </w:rPr>
              <w:t>Ended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gridSpan w:val="5"/>
          </w:tcPr>
          <w:p>
            <w:pPr>
              <w:jc w:val="center"/>
              <w:ind w:right="10"/>
              <w:spacing w:after="0" w:line="149" w:lineRule="exact"/>
              <w:rPr>
                <w:sz w:val="20"/>
                <w:szCs w:val="20"/>
                <w:color w:val="auto"/>
              </w:rPr>
            </w:pPr>
            <w:r>
              <w:rPr>
                <w:rFonts w:ascii="Arial" w:cs="Arial" w:eastAsia="Arial" w:hAnsi="Arial"/>
                <w:sz w:val="14"/>
                <w:szCs w:val="14"/>
                <w:b w:val="1"/>
                <w:bCs w:val="1"/>
                <w:color w:val="auto"/>
                <w:w w:val="93"/>
              </w:rPr>
              <w:t>Ended</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2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5"/>
          </w:tcPr>
          <w:p>
            <w:pPr>
              <w:jc w:val="center"/>
              <w:ind w:right="10"/>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88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5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of non-GAAP General and Administrative:</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18,208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25,914</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62,123</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79,252</w:t>
            </w:r>
          </w:p>
        </w:tc>
        <w:tc>
          <w:tcPr>
            <w:tcW w:w="80" w:type="dxa"/>
            <w:vAlign w:val="bottom"/>
          </w:tcPr>
          <w:p>
            <w:pPr>
              <w:spacing w:after="0"/>
              <w:rPr>
                <w:sz w:val="18"/>
                <w:szCs w:val="18"/>
                <w:color w:val="auto"/>
              </w:rPr>
            </w:pPr>
          </w:p>
        </w:tc>
      </w:tr>
      <w:tr>
        <w:trPr>
          <w:trHeight w:val="202"/>
        </w:trPr>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Stock-based compensation expense and employer payroll taxes related to</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releases and option exercises</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5,288</w:t>
            </w:r>
          </w:p>
        </w:tc>
        <w:tc>
          <w:tcPr>
            <w:tcW w:w="3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14,086</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15,691</w:t>
            </w:r>
          </w:p>
        </w:tc>
        <w:tc>
          <w:tcPr>
            <w:tcW w:w="80" w:type="dxa"/>
            <w:vAlign w:val="bottom"/>
            <w:shd w:val="clear" w:color="auto" w:fill="CCEEFF"/>
          </w:tcPr>
          <w:p>
            <w:pPr>
              <w:spacing w:after="0"/>
              <w:rPr>
                <w:sz w:val="20"/>
                <w:szCs w:val="20"/>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Amortization of acquired intangibles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3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619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1,512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1,695</w:t>
            </w:r>
          </w:p>
        </w:tc>
        <w:tc>
          <w:tcPr>
            <w:tcW w:w="8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exit costs &amp; accelerated depreciation expense (3)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3,996</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Acquisition-related costs (1)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r>
      <w:tr>
        <w:trPr>
          <w:trHeight w:val="210"/>
        </w:trPr>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Non-GAAP General and Administrative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46,525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1"/>
        </w:trPr>
        <w:tc>
          <w:tcPr>
            <w:tcW w:w="28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6"/>
          </w:tcPr>
          <w:p>
            <w:pPr>
              <w:jc w:val="center"/>
              <w:ind w:left="76"/>
              <w:spacing w:after="0"/>
              <w:rPr>
                <w:sz w:val="20"/>
                <w:szCs w:val="20"/>
                <w:color w:val="auto"/>
              </w:rPr>
            </w:pPr>
            <w:r>
              <w:rPr>
                <w:rFonts w:ascii="Arial" w:cs="Arial" w:eastAsia="Arial" w:hAnsi="Arial"/>
                <w:sz w:val="14"/>
                <w:szCs w:val="14"/>
                <w:b w:val="1"/>
                <w:bCs w:val="1"/>
                <w:color w:val="auto"/>
                <w:w w:val="94"/>
              </w:rPr>
              <w:t>For the year</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9"/>
        </w:trPr>
        <w:tc>
          <w:tcPr>
            <w:tcW w:w="28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6"/>
          </w:tcPr>
          <w:p>
            <w:pPr>
              <w:jc w:val="center"/>
              <w:ind w:left="76"/>
              <w:spacing w:after="0" w:line="149" w:lineRule="exact"/>
              <w:rPr>
                <w:sz w:val="20"/>
                <w:szCs w:val="20"/>
                <w:color w:val="auto"/>
              </w:rPr>
            </w:pPr>
            <w:r>
              <w:rPr>
                <w:rFonts w:ascii="Arial" w:cs="Arial" w:eastAsia="Arial" w:hAnsi="Arial"/>
                <w:sz w:val="14"/>
                <w:szCs w:val="14"/>
                <w:b w:val="1"/>
                <w:bCs w:val="1"/>
                <w:color w:val="auto"/>
                <w:w w:val="93"/>
              </w:rPr>
              <w:t>Ended</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28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center"/>
              <w:ind w:left="96"/>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88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456"/>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5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of Free Cash Flow:</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4"/>
              <w:spacing w:after="0"/>
              <w:rPr>
                <w:sz w:val="20"/>
                <w:szCs w:val="20"/>
                <w:color w:val="auto"/>
              </w:rPr>
            </w:pPr>
            <w:r>
              <w:rPr>
                <w:rFonts w:ascii="Arial" w:cs="Arial" w:eastAsia="Arial" w:hAnsi="Arial"/>
                <w:sz w:val="18"/>
                <w:szCs w:val="18"/>
                <w:color w:val="auto"/>
              </w:rPr>
              <w:t>61,980</w:t>
            </w:r>
          </w:p>
        </w:tc>
        <w:tc>
          <w:tcPr>
            <w:tcW w:w="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97,866</w:t>
            </w:r>
          </w:p>
        </w:tc>
        <w:tc>
          <w:tcPr>
            <w:tcW w:w="8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internal-use software costs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(13,641)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(15,638)</w:t>
            </w: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4"/>
              <w:spacing w:after="0"/>
              <w:rPr>
                <w:sz w:val="20"/>
                <w:szCs w:val="20"/>
                <w:color w:val="auto"/>
              </w:rPr>
            </w:pPr>
            <w:r>
              <w:rPr>
                <w:rFonts w:ascii="Arial" w:cs="Arial" w:eastAsia="Arial" w:hAnsi="Arial"/>
                <w:sz w:val="18"/>
                <w:szCs w:val="18"/>
                <w:color w:val="auto"/>
              </w:rPr>
              <w:t>(21,338)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(21,676)</w:t>
            </w: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allowances used for tenant improvements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(2,845)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(11,754)</w:t>
            </w:r>
          </w:p>
        </w:tc>
      </w:tr>
      <w:tr>
        <w:trPr>
          <w:trHeight w:val="210"/>
        </w:trPr>
        <w:tc>
          <w:tcPr>
            <w:tcW w:w="560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24,156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48,798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2880" w:type="dxa"/>
            <w:vAlign w:val="bottom"/>
            <w:tcBorders>
              <w:bottom w:val="single" w:sz="8" w:color="808080"/>
            </w:tcBorders>
          </w:tcPr>
          <w:p>
            <w:pPr>
              <w:spacing w:after="0"/>
              <w:rPr>
                <w:sz w:val="15"/>
                <w:szCs w:val="15"/>
                <w:color w:val="auto"/>
              </w:rPr>
            </w:pPr>
          </w:p>
        </w:tc>
        <w:tc>
          <w:tcPr>
            <w:tcW w:w="2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4"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Acquisition-related costs: </w:t>
      </w:r>
      <w:r>
        <w:rPr>
          <w:rFonts w:ascii="Arial" w:cs="Arial" w:eastAsia="Arial" w:hAnsi="Arial"/>
          <w:sz w:val="16"/>
          <w:szCs w:val="16"/>
          <w:color w:val="auto"/>
        </w:rPr>
        <w:t>Includes legal, accounting and other professional fees as well as various other costs directly associated with acquisitions.</w:t>
      </w:r>
    </w:p>
    <w:p>
      <w:pPr>
        <w:spacing w:after="0" w:line="46" w:lineRule="exact"/>
        <w:rPr>
          <w:rFonts w:ascii="Arial" w:cs="Arial" w:eastAsia="Arial" w:hAnsi="Arial"/>
          <w:sz w:val="16"/>
          <w:szCs w:val="16"/>
          <w:color w:val="auto"/>
        </w:rPr>
      </w:pPr>
    </w:p>
    <w:p>
      <w:pPr>
        <w:ind w:right="320" w:firstLine="8"/>
        <w:spacing w:after="0" w:line="250"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Lease exit costs: </w:t>
      </w:r>
      <w:r>
        <w:rPr>
          <w:rFonts w:ascii="Arial" w:cs="Arial" w:eastAsia="Arial" w:hAnsi="Arial"/>
          <w:sz w:val="18"/>
          <w:szCs w:val="18"/>
          <w:color w:val="auto"/>
        </w:rPr>
        <w:t>Includes the acceleration of rent and other expenses associated with the remaining lease term on our previous headquarters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transition to the Company’s new headquarters in Schaumburg, Illinois.</w:t>
      </w:r>
    </w:p>
    <w:p>
      <w:pPr>
        <w:ind w:right="260" w:firstLine="8"/>
        <w:spacing w:after="0" w:line="265" w:lineRule="auto"/>
        <w:tabs>
          <w:tab w:leader="none" w:pos="70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Lease exit costs and accelerated depreciation expense: </w:t>
      </w:r>
      <w:r>
        <w:rPr>
          <w:rFonts w:ascii="Arial" w:cs="Arial" w:eastAsia="Arial" w:hAnsi="Arial"/>
          <w:sz w:val="17"/>
          <w:szCs w:val="17"/>
          <w:color w:val="auto"/>
        </w:rPr>
        <w:t>Includes the lease exit costs outlined above in item (2) as well as accelerated depreciation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related to property and equipment as a result of the transition to the Company’s new headquarters in Schaumburg, Illinois.</w:t>
      </w:r>
    </w:p>
    <w:p>
      <w:pPr>
        <w:ind w:right="300" w:firstLine="8"/>
        <w:spacing w:after="0" w:line="250"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Income tax effect on adjustments: </w:t>
      </w:r>
      <w:r>
        <w:rPr>
          <w:rFonts w:ascii="Arial" w:cs="Arial" w:eastAsia="Arial" w:hAnsi="Arial"/>
          <w:sz w:val="18"/>
          <w:szCs w:val="18"/>
          <w:color w:val="auto"/>
        </w:rPr>
        <w:t>Includes the impact of non-GAAP net income adjustments related to stock-based compensation expense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 payroll taxes related to stock release and option exercises, amortization of acquired intangibles, acquisition-related costs and lease exit costs and accelerated depreciation expense at an effective tax rate of 25.0%.</w:t>
      </w:r>
    </w:p>
    <w:p>
      <w:pPr>
        <w:spacing w:after="0" w:line="1" w:lineRule="exact"/>
        <w:rPr>
          <w:rFonts w:ascii="Arial" w:cs="Arial" w:eastAsia="Arial" w:hAnsi="Arial"/>
          <w:sz w:val="18"/>
          <w:szCs w:val="18"/>
          <w:color w:val="auto"/>
        </w:rPr>
      </w:pPr>
    </w:p>
    <w:p>
      <w:pPr>
        <w:ind w:right="60" w:firstLine="8"/>
        <w:spacing w:after="0" w:line="250"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Valuation allowance release</w:t>
      </w:r>
      <w:r>
        <w:rPr>
          <w:rFonts w:ascii="Arial" w:cs="Arial" w:eastAsia="Arial" w:hAnsi="Arial"/>
          <w:sz w:val="18"/>
          <w:szCs w:val="18"/>
          <w:color w:val="auto"/>
        </w:rPr>
        <w:t>: We established a valuation allowance on all of our net deferred tax assets except for deferred tax liabilities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indefinite-lived intangible assets during fiscal 2014, given that we determined that it was more likely than not that we would not recognize the benefits of its net operating loss carryforwards prior to their expiration. As a result of our improving financial performance, including net income in fiscal 2017 and in the first nine months of fiscal 2018 and other factors, we released our valuation allowance against net deferred tax assets, resulting in a one-time, non-cash increase to net income.</w:t>
      </w:r>
    </w:p>
    <w:p>
      <w:pPr>
        <w:spacing w:after="0" w:line="2" w:lineRule="exact"/>
        <w:rPr>
          <w:rFonts w:ascii="Arial" w:cs="Arial" w:eastAsia="Arial" w:hAnsi="Arial"/>
          <w:sz w:val="18"/>
          <w:szCs w:val="18"/>
          <w:color w:val="auto"/>
        </w:rPr>
      </w:pPr>
    </w:p>
    <w:p>
      <w:pPr>
        <w:ind w:right="620" w:firstLine="8"/>
        <w:spacing w:after="0" w:line="250"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Excess tax benefit related to employee stock-based compensation payments: </w:t>
      </w:r>
      <w:r>
        <w:rPr>
          <w:rFonts w:ascii="Arial" w:cs="Arial" w:eastAsia="Arial" w:hAnsi="Arial"/>
          <w:sz w:val="18"/>
          <w:szCs w:val="18"/>
          <w:color w:val="auto"/>
        </w:rPr>
        <w:t>Net federal and state tax windfall or shortfall benefits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stock-based compensation payments.</w:t>
      </w:r>
    </w:p>
    <w:p>
      <w:pPr>
        <w:jc w:val="both"/>
        <w:ind w:right="100" w:firstLine="8"/>
        <w:spacing w:after="0" w:line="302" w:lineRule="auto"/>
        <w:tabs>
          <w:tab w:leader="none" w:pos="70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Impact of tax reform: </w:t>
      </w:r>
      <w:r>
        <w:rPr>
          <w:rFonts w:ascii="Arial" w:cs="Arial" w:eastAsia="Arial" w:hAnsi="Arial"/>
          <w:sz w:val="16"/>
          <w:szCs w:val="16"/>
          <w:color w:val="auto"/>
        </w:rPr>
        <w:t>On December 22, 2017, the Tax Cuts and Jobs Act of 2017 (the Act) was signed into law. During fiscal 2018 we recorded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our income tax provision due to the enactment of the Act. This increase to the provision for income taxes related to a reduction in net deferred tax assets, and is excluded from our non-GAAP financial measures because it is an expense that we do not consider part of ongoing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8"/>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2019-12-28T19:59:06Z</dcterms:created>
  <dcterms:modified xsi:type="dcterms:W3CDTF">2019-12-28T19:59:06Z</dcterms:modified>
</cp:coreProperties>
</file>