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__________________________________________________</w:t>
      </w:r>
    </w:p>
    <w:p>
      <w:pPr>
        <w:spacing w:after="0" w:line="116"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x ANNUAL REPORT PURSUANT TO SECTION 13 OR 15(d) OF THE SECURITIES EXCHANGE ACT OF 1934</w:t>
      </w:r>
    </w:p>
    <w:p>
      <w:pPr>
        <w:spacing w:after="0" w:line="127"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For the fiscal year ended June 30, 2023</w:t>
      </w:r>
    </w:p>
    <w:p>
      <w:pPr>
        <w:spacing w:after="0" w:line="123"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118"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o TRANSITION REPORT PURSUANT TO SECTION 13 OR 15(d) OF THE SECURITIES EXCHANGE ACT OF 1934</w:t>
      </w:r>
    </w:p>
    <w:p>
      <w:pPr>
        <w:spacing w:after="0" w:line="127" w:lineRule="exact"/>
        <w:rPr>
          <w:sz w:val="24"/>
          <w:szCs w:val="24"/>
          <w:color w:val="auto"/>
        </w:rPr>
      </w:pPr>
    </w:p>
    <w:p>
      <w:pPr>
        <w:ind w:left="430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001-36348</w:t>
      </w:r>
    </w:p>
    <w:p>
      <w:pPr>
        <w:spacing w:after="0" w:line="2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__________________________________________________</w:t>
      </w:r>
    </w:p>
    <w:p>
      <w:pPr>
        <w:spacing w:after="0" w:line="166" w:lineRule="exact"/>
        <w:rPr>
          <w:sz w:val="24"/>
          <w:szCs w:val="24"/>
          <w:color w:val="auto"/>
        </w:rPr>
      </w:pPr>
    </w:p>
    <w:tbl>
      <w:tblPr>
        <w:tblLayout w:type="fixed"/>
        <w:tblInd w:w="84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jc w:val="center"/>
              <w:ind w:right="368"/>
              <w:spacing w:after="0"/>
              <w:rPr>
                <w:sz w:val="20"/>
                <w:szCs w:val="20"/>
                <w:color w:val="auto"/>
              </w:rPr>
            </w:pPr>
            <w:r>
              <w:rPr>
                <w:rFonts w:ascii="Arial" w:cs="Arial" w:eastAsia="Arial" w:hAnsi="Arial"/>
                <w:sz w:val="14"/>
                <w:szCs w:val="14"/>
                <w:b w:val="1"/>
                <w:bCs w:val="1"/>
                <w:color w:val="auto"/>
                <w:w w:val="94"/>
              </w:rPr>
              <w:t>Delaware</w:t>
            </w: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60" w:type="dxa"/>
            <w:vAlign w:val="bottom"/>
            <w:gridSpan w:val="2"/>
          </w:tcPr>
          <w:p>
            <w:pPr>
              <w:jc w:val="center"/>
              <w:ind w:right="1002"/>
              <w:spacing w:after="0"/>
              <w:rPr>
                <w:sz w:val="20"/>
                <w:szCs w:val="20"/>
                <w:color w:val="auto"/>
              </w:rPr>
            </w:pPr>
            <w:r>
              <w:rPr>
                <w:rFonts w:ascii="Arial" w:cs="Arial" w:eastAsia="Arial" w:hAnsi="Arial"/>
                <w:sz w:val="14"/>
                <w:szCs w:val="14"/>
                <w:color w:val="auto"/>
                <w:w w:val="93"/>
              </w:rPr>
              <w:t>46-4066644</w:t>
            </w:r>
          </w:p>
        </w:tc>
        <w:tc>
          <w:tcPr>
            <w:tcW w:w="20" w:type="dxa"/>
            <w:vAlign w:val="bottom"/>
          </w:tcPr>
          <w:p>
            <w:pPr>
              <w:spacing w:after="0"/>
              <w:rPr>
                <w:sz w:val="16"/>
                <w:szCs w:val="16"/>
                <w:color w:val="auto"/>
              </w:rPr>
            </w:pPr>
          </w:p>
        </w:tc>
      </w:tr>
      <w:tr>
        <w:trPr>
          <w:trHeight w:val="209"/>
        </w:trPr>
        <w:tc>
          <w:tcPr>
            <w:tcW w:w="560" w:type="dxa"/>
            <w:vAlign w:val="bottom"/>
          </w:tcPr>
          <w:p>
            <w:pPr>
              <w:spacing w:after="0"/>
              <w:rPr>
                <w:sz w:val="18"/>
                <w:szCs w:val="18"/>
                <w:color w:val="auto"/>
              </w:rPr>
            </w:pPr>
          </w:p>
        </w:tc>
        <w:tc>
          <w:tcPr>
            <w:tcW w:w="2340" w:type="dxa"/>
            <w:vAlign w:val="bottom"/>
            <w:gridSpan w:val="2"/>
          </w:tcPr>
          <w:p>
            <w:pPr>
              <w:jc w:val="center"/>
              <w:ind w:left="373"/>
              <w:spacing w:after="0"/>
              <w:rPr>
                <w:sz w:val="20"/>
                <w:szCs w:val="20"/>
                <w:color w:val="auto"/>
              </w:rPr>
            </w:pPr>
            <w:r>
              <w:rPr>
                <w:rFonts w:ascii="Arial" w:cs="Arial" w:eastAsia="Arial" w:hAnsi="Arial"/>
                <w:sz w:val="14"/>
                <w:szCs w:val="14"/>
                <w:color w:val="auto"/>
                <w:w w:val="94"/>
              </w:rPr>
              <w:t>(State or other jurisdiction of</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80" w:type="dxa"/>
            <w:vAlign w:val="bottom"/>
            <w:gridSpan w:val="3"/>
          </w:tcPr>
          <w:p>
            <w:pPr>
              <w:jc w:val="center"/>
              <w:ind w:right="1080"/>
              <w:spacing w:after="0"/>
              <w:rPr>
                <w:sz w:val="20"/>
                <w:szCs w:val="20"/>
                <w:color w:val="auto"/>
              </w:rPr>
            </w:pPr>
            <w:r>
              <w:rPr>
                <w:rFonts w:ascii="Arial" w:cs="Arial" w:eastAsia="Arial" w:hAnsi="Arial"/>
                <w:sz w:val="14"/>
                <w:szCs w:val="14"/>
                <w:color w:val="auto"/>
                <w:w w:val="95"/>
              </w:rPr>
              <w:t>(I.R.S. Employer</w:t>
            </w:r>
          </w:p>
        </w:tc>
      </w:tr>
      <w:tr>
        <w:trPr>
          <w:trHeight w:val="182"/>
        </w:trPr>
        <w:tc>
          <w:tcPr>
            <w:tcW w:w="560" w:type="dxa"/>
            <w:vAlign w:val="bottom"/>
          </w:tcPr>
          <w:p>
            <w:pPr>
              <w:spacing w:after="0"/>
              <w:rPr>
                <w:sz w:val="15"/>
                <w:szCs w:val="15"/>
                <w:color w:val="auto"/>
              </w:rPr>
            </w:pPr>
          </w:p>
        </w:tc>
        <w:tc>
          <w:tcPr>
            <w:tcW w:w="2340" w:type="dxa"/>
            <w:vAlign w:val="bottom"/>
            <w:gridSpan w:val="2"/>
          </w:tcPr>
          <w:p>
            <w:pPr>
              <w:jc w:val="center"/>
              <w:ind w:left="373"/>
              <w:spacing w:after="0"/>
              <w:rPr>
                <w:sz w:val="20"/>
                <w:szCs w:val="20"/>
                <w:color w:val="auto"/>
              </w:rPr>
            </w:pPr>
            <w:r>
              <w:rPr>
                <w:rFonts w:ascii="Arial" w:cs="Arial" w:eastAsia="Arial" w:hAnsi="Arial"/>
                <w:sz w:val="14"/>
                <w:szCs w:val="14"/>
                <w:color w:val="auto"/>
                <w:w w:val="95"/>
              </w:rPr>
              <w:t>incorporation or organization)</w:t>
            </w: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gridSpan w:val="3"/>
          </w:tcPr>
          <w:p>
            <w:pPr>
              <w:jc w:val="center"/>
              <w:ind w:right="1060"/>
              <w:spacing w:after="0"/>
              <w:rPr>
                <w:sz w:val="20"/>
                <w:szCs w:val="20"/>
                <w:color w:val="auto"/>
              </w:rPr>
            </w:pPr>
            <w:r>
              <w:rPr>
                <w:rFonts w:ascii="Arial" w:cs="Arial" w:eastAsia="Arial" w:hAnsi="Arial"/>
                <w:sz w:val="14"/>
                <w:szCs w:val="14"/>
                <w:color w:val="auto"/>
                <w:w w:val="96"/>
              </w:rPr>
              <w:t>Identification Number)</w:t>
            </w:r>
          </w:p>
        </w:tc>
      </w:tr>
      <w:tr>
        <w:trPr>
          <w:trHeight w:val="381"/>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1400 American Lane</w:t>
            </w: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Schaumburg, Illinois 60173</w:t>
            </w:r>
          </w:p>
        </w:tc>
        <w:tc>
          <w:tcPr>
            <w:tcW w:w="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(Address of principal executive offices and zip code)</w:t>
            </w:r>
          </w:p>
        </w:tc>
        <w:tc>
          <w:tcPr>
            <w:tcW w:w="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9"/>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right"/>
              <w:ind w:right="1460"/>
              <w:spacing w:after="0"/>
              <w:rPr>
                <w:sz w:val="20"/>
                <w:szCs w:val="20"/>
                <w:color w:val="auto"/>
              </w:rPr>
            </w:pPr>
            <w:r>
              <w:rPr>
                <w:rFonts w:ascii="Arial" w:cs="Arial" w:eastAsia="Arial" w:hAnsi="Arial"/>
                <w:sz w:val="16"/>
                <w:szCs w:val="16"/>
                <w:b w:val="1"/>
                <w:bCs w:val="1"/>
                <w:color w:val="auto"/>
              </w:rPr>
              <w:t>(847) 463-3200</w:t>
            </w: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center"/>
              <w:ind w:right="100"/>
              <w:spacing w:after="0" w:line="176" w:lineRule="exact"/>
              <w:rPr>
                <w:sz w:val="20"/>
                <w:szCs w:val="20"/>
                <w:color w:val="auto"/>
              </w:rPr>
            </w:pPr>
            <w:r>
              <w:rPr>
                <w:rFonts w:ascii="Arial" w:cs="Arial" w:eastAsia="Arial" w:hAnsi="Arial"/>
                <w:sz w:val="16"/>
                <w:szCs w:val="16"/>
                <w:color w:val="auto"/>
                <w:w w:val="91"/>
              </w:rPr>
              <w:t>(Registrant’s telephone number, including area code)</w:t>
            </w:r>
          </w:p>
        </w:tc>
        <w:tc>
          <w:tcPr>
            <w:tcW w:w="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2"/>
        </w:trPr>
        <w:tc>
          <w:tcPr>
            <w:tcW w:w="560" w:type="dxa"/>
            <w:vAlign w:val="bottom"/>
          </w:tcPr>
          <w:p>
            <w:pPr>
              <w:spacing w:after="0"/>
              <w:rPr>
                <w:sz w:val="24"/>
                <w:szCs w:val="24"/>
                <w:color w:val="auto"/>
              </w:rPr>
            </w:pPr>
          </w:p>
        </w:tc>
        <w:tc>
          <w:tcPr>
            <w:tcW w:w="2340" w:type="dxa"/>
            <w:vAlign w:val="bottom"/>
            <w:gridSpan w:val="2"/>
          </w:tcPr>
          <w:p>
            <w:pPr>
              <w:jc w:val="center"/>
              <w:ind w:right="1388"/>
              <w:spacing w:after="0"/>
              <w:rPr>
                <w:sz w:val="20"/>
                <w:szCs w:val="20"/>
                <w:color w:val="auto"/>
              </w:rPr>
            </w:pPr>
            <w:r>
              <w:rPr>
                <w:rFonts w:ascii="Arial" w:cs="Arial" w:eastAsia="Arial" w:hAnsi="Arial"/>
                <w:sz w:val="12"/>
                <w:szCs w:val="12"/>
                <w:b w:val="1"/>
                <w:bCs w:val="1"/>
                <w:color w:val="auto"/>
                <w:w w:val="85"/>
              </w:rPr>
              <w:t>Title of each class</w:t>
            </w:r>
          </w:p>
        </w:tc>
        <w:tc>
          <w:tcPr>
            <w:tcW w:w="38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6"/>
              </w:rPr>
              <w:t>Trading symbol(s)</w:t>
            </w:r>
          </w:p>
        </w:tc>
        <w:tc>
          <w:tcPr>
            <w:tcW w:w="820" w:type="dxa"/>
            <w:vAlign w:val="bottom"/>
          </w:tcPr>
          <w:p>
            <w:pPr>
              <w:spacing w:after="0"/>
              <w:rPr>
                <w:sz w:val="24"/>
                <w:szCs w:val="24"/>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6"/>
              </w:rPr>
              <w:t>Name of Exchange on which registered</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900" w:type="dxa"/>
            <w:vAlign w:val="bottom"/>
            <w:gridSpan w:val="3"/>
          </w:tcPr>
          <w:p>
            <w:pPr>
              <w:jc w:val="center"/>
              <w:ind w:right="808"/>
              <w:spacing w:after="0"/>
              <w:rPr>
                <w:sz w:val="20"/>
                <w:szCs w:val="20"/>
                <w:color w:val="auto"/>
              </w:rPr>
            </w:pPr>
            <w:r>
              <w:rPr>
                <w:rFonts w:ascii="Arial" w:cs="Arial" w:eastAsia="Arial" w:hAnsi="Arial"/>
                <w:sz w:val="12"/>
                <w:szCs w:val="12"/>
                <w:color w:val="auto"/>
                <w:w w:val="87"/>
              </w:rPr>
              <w:t>Common Stock, par value $0.001 per share</w:t>
            </w:r>
          </w:p>
        </w:tc>
        <w:tc>
          <w:tcPr>
            <w:tcW w:w="1420" w:type="dxa"/>
            <w:vAlign w:val="bottom"/>
          </w:tcPr>
          <w:p>
            <w:pPr>
              <w:spacing w:after="0"/>
              <w:rPr>
                <w:sz w:val="16"/>
                <w:szCs w:val="16"/>
                <w:color w:val="auto"/>
              </w:rPr>
            </w:pPr>
          </w:p>
        </w:tc>
        <w:tc>
          <w:tcPr>
            <w:tcW w:w="2440" w:type="dxa"/>
            <w:vAlign w:val="bottom"/>
            <w:gridSpan w:val="2"/>
          </w:tcPr>
          <w:p>
            <w:pPr>
              <w:jc w:val="center"/>
              <w:ind w:right="1540"/>
              <w:spacing w:after="0"/>
              <w:rPr>
                <w:sz w:val="20"/>
                <w:szCs w:val="20"/>
                <w:color w:val="auto"/>
              </w:rPr>
            </w:pPr>
            <w:r>
              <w:rPr>
                <w:rFonts w:ascii="Arial" w:cs="Arial" w:eastAsia="Arial" w:hAnsi="Arial"/>
                <w:sz w:val="12"/>
                <w:szCs w:val="12"/>
                <w:color w:val="auto"/>
                <w:w w:val="93"/>
              </w:rPr>
              <w:t>PCTY</w:t>
            </w:r>
          </w:p>
        </w:tc>
        <w:tc>
          <w:tcPr>
            <w:tcW w:w="2780" w:type="dxa"/>
            <w:vAlign w:val="bottom"/>
            <w:gridSpan w:val="3"/>
          </w:tcPr>
          <w:p>
            <w:pPr>
              <w:jc w:val="center"/>
              <w:ind w:left="731"/>
              <w:spacing w:after="0"/>
              <w:rPr>
                <w:sz w:val="20"/>
                <w:szCs w:val="20"/>
                <w:color w:val="auto"/>
              </w:rPr>
            </w:pPr>
            <w:r>
              <w:rPr>
                <w:rFonts w:ascii="Arial" w:cs="Arial" w:eastAsia="Arial" w:hAnsi="Arial"/>
                <w:sz w:val="12"/>
                <w:szCs w:val="12"/>
                <w:color w:val="auto"/>
                <w:w w:val="92"/>
              </w:rPr>
              <w:t>The NASDAQ Global Select Market LLC</w:t>
            </w:r>
          </w:p>
        </w:tc>
      </w:tr>
      <w:tr>
        <w:trPr>
          <w:trHeight w:val="375"/>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1"/>
              </w:rPr>
              <w:t>None</w:t>
            </w:r>
          </w:p>
        </w:tc>
        <w:tc>
          <w:tcPr>
            <w:tcW w:w="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__________________________________________________</w:t>
            </w:r>
          </w:p>
        </w:tc>
        <w:tc>
          <w:tcPr>
            <w:tcW w:w="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09" w:lineRule="exact"/>
        <w:rPr>
          <w:sz w:val="24"/>
          <w:szCs w:val="24"/>
          <w:color w:val="auto"/>
        </w:rPr>
      </w:pPr>
    </w:p>
    <w:p>
      <w:pPr>
        <w:ind w:right="4140"/>
        <w:spacing w:after="0" w:line="469" w:lineRule="auto"/>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220"/>
        <w:spacing w:after="0" w:line="29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3" w:lineRule="exact"/>
        <w:rPr>
          <w:sz w:val="24"/>
          <w:szCs w:val="24"/>
          <w:color w:val="auto"/>
        </w:rPr>
      </w:pPr>
    </w:p>
    <w:p>
      <w:pPr>
        <w:ind w:right="160"/>
        <w:spacing w:after="0" w:line="29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63" w:lineRule="exact"/>
        <w:rPr>
          <w:sz w:val="24"/>
          <w:szCs w:val="24"/>
          <w:color w:val="auto"/>
        </w:rPr>
      </w:pPr>
    </w:p>
    <w:p>
      <w:pPr>
        <w:ind w:right="140"/>
        <w:spacing w:after="0" w:line="29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20" w:type="dxa"/>
            <w:vAlign w:val="bottom"/>
          </w:tcPr>
          <w:p>
            <w:pPr>
              <w:ind w:left="380"/>
              <w:spacing w:after="0"/>
              <w:rPr>
                <w:sz w:val="20"/>
                <w:szCs w:val="20"/>
                <w:color w:val="auto"/>
              </w:rPr>
            </w:pPr>
            <w:r>
              <w:rPr>
                <w:rFonts w:ascii="Arial" w:cs="Arial" w:eastAsia="Arial" w:hAnsi="Arial"/>
                <w:sz w:val="13"/>
                <w:szCs w:val="13"/>
                <w:color w:val="auto"/>
              </w:rPr>
              <w:t>x</w:t>
            </w:r>
          </w:p>
        </w:tc>
        <w:tc>
          <w:tcPr>
            <w:tcW w:w="5280" w:type="dxa"/>
            <w:vAlign w:val="bottom"/>
          </w:tcPr>
          <w:p>
            <w:pPr>
              <w:ind w:left="2560"/>
              <w:spacing w:after="0"/>
              <w:rPr>
                <w:sz w:val="20"/>
                <w:szCs w:val="20"/>
                <w:color w:val="auto"/>
              </w:rPr>
            </w:pPr>
            <w:r>
              <w:rPr>
                <w:rFonts w:ascii="Arial" w:cs="Arial" w:eastAsia="Arial" w:hAnsi="Arial"/>
                <w:sz w:val="13"/>
                <w:szCs w:val="13"/>
                <w:color w:val="auto"/>
              </w:rPr>
              <w:t>Accelerated filer</w:t>
            </w:r>
          </w:p>
        </w:tc>
        <w:tc>
          <w:tcPr>
            <w:tcW w:w="1300" w:type="dxa"/>
            <w:vAlign w:val="bottom"/>
          </w:tcPr>
          <w:p>
            <w:pPr>
              <w:ind w:left="1220"/>
              <w:spacing w:after="0"/>
              <w:rPr>
                <w:sz w:val="20"/>
                <w:szCs w:val="20"/>
                <w:color w:val="auto"/>
              </w:rPr>
            </w:pPr>
            <w:r>
              <w:rPr>
                <w:rFonts w:ascii="Arial" w:cs="Arial" w:eastAsia="Arial" w:hAnsi="Arial"/>
                <w:sz w:val="13"/>
                <w:szCs w:val="13"/>
                <w:color w:val="auto"/>
                <w:w w:val="82"/>
              </w:rPr>
              <w:t>o</w:t>
            </w:r>
          </w:p>
        </w:tc>
      </w:tr>
      <w:tr>
        <w:trPr>
          <w:trHeight w:val="257"/>
        </w:trPr>
        <w:tc>
          <w:tcPr>
            <w:tcW w:w="1600" w:type="dxa"/>
            <w:vAlign w:val="bottom"/>
          </w:tcPr>
          <w:p>
            <w:pPr>
              <w:spacing w:after="0"/>
              <w:rPr>
                <w:sz w:val="20"/>
                <w:szCs w:val="20"/>
                <w:color w:val="auto"/>
              </w:rPr>
            </w:pPr>
            <w:r>
              <w:rPr>
                <w:rFonts w:ascii="Arial" w:cs="Arial" w:eastAsia="Arial" w:hAnsi="Arial"/>
                <w:sz w:val="13"/>
                <w:szCs w:val="13"/>
                <w:color w:val="auto"/>
              </w:rPr>
              <w:t>Non-accelerated filer</w:t>
            </w:r>
          </w:p>
        </w:tc>
        <w:tc>
          <w:tcPr>
            <w:tcW w:w="3020" w:type="dxa"/>
            <w:vAlign w:val="bottom"/>
          </w:tcPr>
          <w:p>
            <w:pPr>
              <w:ind w:left="380"/>
              <w:spacing w:after="0"/>
              <w:rPr>
                <w:sz w:val="20"/>
                <w:szCs w:val="20"/>
                <w:color w:val="auto"/>
              </w:rPr>
            </w:pPr>
            <w:r>
              <w:rPr>
                <w:rFonts w:ascii="Arial" w:cs="Arial" w:eastAsia="Arial" w:hAnsi="Arial"/>
                <w:sz w:val="13"/>
                <w:szCs w:val="13"/>
                <w:color w:val="auto"/>
              </w:rPr>
              <w:t>o</w:t>
            </w:r>
          </w:p>
        </w:tc>
        <w:tc>
          <w:tcPr>
            <w:tcW w:w="5280" w:type="dxa"/>
            <w:vAlign w:val="bottom"/>
          </w:tcPr>
          <w:p>
            <w:pPr>
              <w:ind w:left="2560"/>
              <w:spacing w:after="0"/>
              <w:rPr>
                <w:sz w:val="20"/>
                <w:szCs w:val="20"/>
                <w:color w:val="auto"/>
              </w:rPr>
            </w:pPr>
            <w:r>
              <w:rPr>
                <w:rFonts w:ascii="Arial" w:cs="Arial" w:eastAsia="Arial" w:hAnsi="Arial"/>
                <w:sz w:val="13"/>
                <w:szCs w:val="13"/>
                <w:color w:val="auto"/>
              </w:rPr>
              <w:t>Smaller reporting company</w:t>
            </w:r>
          </w:p>
        </w:tc>
        <w:tc>
          <w:tcPr>
            <w:tcW w:w="1300" w:type="dxa"/>
            <w:vAlign w:val="bottom"/>
          </w:tcPr>
          <w:p>
            <w:pPr>
              <w:ind w:left="1220"/>
              <w:spacing w:after="0"/>
              <w:rPr>
                <w:sz w:val="20"/>
                <w:szCs w:val="20"/>
                <w:color w:val="auto"/>
              </w:rPr>
            </w:pPr>
            <w:r>
              <w:rPr>
                <w:rFonts w:ascii="Arial" w:cs="Arial" w:eastAsia="Arial" w:hAnsi="Arial"/>
                <w:sz w:val="13"/>
                <w:szCs w:val="13"/>
                <w:color w:val="auto"/>
                <w:w w:val="82"/>
              </w:rPr>
              <w:t>o</w:t>
            </w:r>
          </w:p>
        </w:tc>
      </w:tr>
      <w:tr>
        <w:trPr>
          <w:trHeight w:val="270"/>
        </w:trPr>
        <w:tc>
          <w:tcPr>
            <w:tcW w:w="16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5280" w:type="dxa"/>
            <w:vAlign w:val="bottom"/>
          </w:tcPr>
          <w:p>
            <w:pPr>
              <w:ind w:left="2560"/>
              <w:spacing w:after="0"/>
              <w:rPr>
                <w:sz w:val="20"/>
                <w:szCs w:val="20"/>
                <w:color w:val="auto"/>
              </w:rPr>
            </w:pPr>
            <w:r>
              <w:rPr>
                <w:rFonts w:ascii="Arial" w:cs="Arial" w:eastAsia="Arial" w:hAnsi="Arial"/>
                <w:sz w:val="13"/>
                <w:szCs w:val="13"/>
                <w:color w:val="auto"/>
              </w:rPr>
              <w:t>Emerging growth company</w:t>
            </w:r>
          </w:p>
        </w:tc>
        <w:tc>
          <w:tcPr>
            <w:tcW w:w="1300" w:type="dxa"/>
            <w:vAlign w:val="bottom"/>
          </w:tcPr>
          <w:p>
            <w:pPr>
              <w:ind w:left="1220"/>
              <w:spacing w:after="0"/>
              <w:rPr>
                <w:sz w:val="20"/>
                <w:szCs w:val="20"/>
                <w:color w:val="auto"/>
              </w:rPr>
            </w:pPr>
            <w:r>
              <w:rPr>
                <w:rFonts w:ascii="Arial" w:cs="Arial" w:eastAsia="Arial" w:hAnsi="Arial"/>
                <w:sz w:val="13"/>
                <w:szCs w:val="13"/>
                <w:color w:val="auto"/>
                <w:w w:val="82"/>
              </w:rPr>
              <w:t>o</w:t>
            </w:r>
          </w:p>
        </w:tc>
      </w:tr>
    </w:tbl>
    <w:p>
      <w:pPr>
        <w:spacing w:after="0" w:line="206" w:lineRule="exact"/>
        <w:rPr>
          <w:sz w:val="24"/>
          <w:szCs w:val="24"/>
          <w:color w:val="auto"/>
        </w:rPr>
      </w:pPr>
    </w:p>
    <w:p>
      <w:pPr>
        <w:ind w:right="160"/>
        <w:spacing w:after="0" w:line="296"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3" w:lineRule="exact"/>
        <w:rPr>
          <w:sz w:val="24"/>
          <w:szCs w:val="24"/>
          <w:color w:val="auto"/>
        </w:rPr>
      </w:pPr>
    </w:p>
    <w:p>
      <w:pPr>
        <w:spacing w:after="0" w:line="296"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63" w:lineRule="exact"/>
        <w:rPr>
          <w:sz w:val="24"/>
          <w:szCs w:val="24"/>
          <w:color w:val="auto"/>
        </w:rPr>
      </w:pPr>
    </w:p>
    <w:p>
      <w:pPr>
        <w:ind w:right="200"/>
        <w:spacing w:after="0" w:line="296" w:lineRule="auto"/>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63" w:lineRule="exact"/>
        <w:rPr>
          <w:sz w:val="24"/>
          <w:szCs w:val="24"/>
          <w:color w:val="auto"/>
        </w:rPr>
      </w:pPr>
    </w:p>
    <w:p>
      <w:pPr>
        <w:ind w:right="120"/>
        <w:spacing w:after="0" w:line="296" w:lineRule="auto"/>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§240.10D-1(b).o</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 Yes o No x</w:t>
      </w:r>
    </w:p>
    <w:p>
      <w:pPr>
        <w:spacing w:after="0" w:line="121" w:lineRule="exact"/>
        <w:rPr>
          <w:sz w:val="24"/>
          <w:szCs w:val="24"/>
          <w:color w:val="auto"/>
        </w:rPr>
      </w:pPr>
    </w:p>
    <w:p>
      <w:pPr>
        <w:ind w:right="140"/>
        <w:spacing w:after="0" w:line="296" w:lineRule="auto"/>
        <w:rPr>
          <w:sz w:val="20"/>
          <w:szCs w:val="20"/>
          <w:color w:val="auto"/>
        </w:rPr>
      </w:pPr>
      <w:r>
        <w:rPr>
          <w:rFonts w:ascii="Arial" w:cs="Arial" w:eastAsia="Arial" w:hAnsi="Arial"/>
          <w:sz w:val="13"/>
          <w:szCs w:val="13"/>
          <w:color w:val="auto"/>
        </w:rPr>
        <w:t>The aggregate market value of voting stock held by non-affiliates of the registrant as of December 31, 2022, the last day of registrant’s most recently completed second fiscal quarter, was $8.2 billion (based on the closing price for shares of the registrant’s common stock as reported by the NASDAQ Global Select Market for the last business day prior to that date).</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As of July 28, 2023, there were 55,921,143 shares of the registrant’s common stock issued and outstanding.</w:t>
      </w:r>
    </w:p>
    <w:p>
      <w:pPr>
        <w:spacing w:after="0" w:line="11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23" w:lineRule="exact"/>
        <w:rPr>
          <w:sz w:val="24"/>
          <w:szCs w:val="24"/>
          <w:color w:val="auto"/>
        </w:rPr>
      </w:pPr>
    </w:p>
    <w:p>
      <w:pPr>
        <w:ind w:right="600"/>
        <w:spacing w:after="0" w:line="296" w:lineRule="auto"/>
        <w:rPr>
          <w:sz w:val="20"/>
          <w:szCs w:val="20"/>
          <w:color w:val="auto"/>
        </w:rPr>
      </w:pPr>
      <w:r>
        <w:rPr>
          <w:rFonts w:ascii="Arial" w:cs="Arial" w:eastAsia="Arial" w:hAnsi="Arial"/>
          <w:sz w:val="13"/>
          <w:szCs w:val="13"/>
          <w:color w:val="auto"/>
        </w:rPr>
        <w:t>The information required by Part III of this Report, to the extent not set forth herein, is incorporated herein by reference from the Proxy Statement relating to the registrant’s 2024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75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rPr>
              <w:t>PAYLOCITY HOLDING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96"/>
              </w:rPr>
              <w:t>Form 10-K</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0" w:type="dxa"/>
            <w:vAlign w:val="bottom"/>
            <w:gridSpan w:val="10"/>
          </w:tcPr>
          <w:p>
            <w:pPr>
              <w:jc w:val="center"/>
              <w:ind w:right="3240"/>
              <w:spacing w:after="0"/>
              <w:rPr>
                <w:sz w:val="20"/>
                <w:szCs w:val="20"/>
                <w:color w:val="auto"/>
              </w:rPr>
            </w:pPr>
            <w:r>
              <w:rPr>
                <w:rFonts w:ascii="Arial" w:cs="Arial" w:eastAsia="Arial" w:hAnsi="Arial"/>
                <w:sz w:val="18"/>
                <w:szCs w:val="18"/>
                <w:b w:val="1"/>
                <w:bCs w:val="1"/>
                <w:color w:val="auto"/>
                <w:w w:val="90"/>
              </w:rPr>
              <w:t>For the Year Ended June 30, 2023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gridSpan w:val="8"/>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116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PART I</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160" w:type="dxa"/>
            <w:vAlign w:val="bottom"/>
            <w:gridSpan w:val="9"/>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60" w:type="dxa"/>
            <w:vAlign w:val="bottom"/>
            <w:tcBorders>
              <w:top w:val="single" w:sz="8" w:color="0000FF"/>
            </w:tcBorders>
          </w:tcPr>
          <w:p>
            <w:pPr>
              <w:spacing w:after="0"/>
              <w:rPr>
                <w:sz w:val="24"/>
                <w:szCs w:val="24"/>
                <w:color w:val="auto"/>
              </w:rPr>
            </w:pPr>
          </w:p>
        </w:tc>
        <w:tc>
          <w:tcPr>
            <w:tcW w:w="580" w:type="dxa"/>
            <w:vAlign w:val="bottom"/>
            <w:gridSpan w:val="7"/>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Business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Item 1A.</w:t>
            </w:r>
          </w:p>
        </w:tc>
        <w:tc>
          <w:tcPr>
            <w:tcW w:w="500" w:type="dxa"/>
            <w:vAlign w:val="bottom"/>
            <w:gridSpan w:val="4"/>
          </w:tcPr>
          <w:p>
            <w:pPr>
              <w:spacing w:after="0"/>
              <w:rPr>
                <w:sz w:val="24"/>
                <w:szCs w:val="24"/>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Risk Factors</w:t>
            </w:r>
          </w:p>
        </w:tc>
        <w:tc>
          <w:tcPr>
            <w:tcW w:w="834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6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6"/>
              </w:rPr>
              <w:t>Item 1B.</w:t>
            </w:r>
          </w:p>
        </w:tc>
        <w:tc>
          <w:tcPr>
            <w:tcW w:w="540" w:type="dxa"/>
            <w:vAlign w:val="bottom"/>
            <w:gridSpan w:val="5"/>
          </w:tcPr>
          <w:p>
            <w:pPr>
              <w:spacing w:after="0"/>
              <w:rPr>
                <w:sz w:val="24"/>
                <w:szCs w:val="24"/>
                <w:color w:val="auto"/>
              </w:rPr>
            </w:pPr>
          </w:p>
        </w:tc>
        <w:tc>
          <w:tcPr>
            <w:tcW w:w="20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Unresolved Staff Comments</w:t>
            </w:r>
          </w:p>
        </w:tc>
        <w:tc>
          <w:tcPr>
            <w:tcW w:w="72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Item 2.</w:t>
            </w:r>
          </w:p>
        </w:tc>
        <w:tc>
          <w:tcPr>
            <w:tcW w:w="560" w:type="dxa"/>
            <w:vAlign w:val="bottom"/>
            <w:gridSpan w:val="6"/>
          </w:tcPr>
          <w:p>
            <w:pPr>
              <w:spacing w:after="0"/>
              <w:rPr>
                <w:sz w:val="24"/>
                <w:szCs w:val="24"/>
                <w:color w:val="auto"/>
              </w:rPr>
            </w:pP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8520" w:type="dxa"/>
            <w:vAlign w:val="bottom"/>
            <w:gridSpan w:val="1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1"/>
        </w:trPr>
        <w:tc>
          <w:tcPr>
            <w:tcW w:w="60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560" w:type="dxa"/>
            <w:vAlign w:val="bottom"/>
            <w:gridSpan w:val="6"/>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80" w:type="dxa"/>
            <w:vAlign w:val="bottom"/>
            <w:gridSpan w:val="2"/>
          </w:tcPr>
          <w:p>
            <w:pPr>
              <w:spacing w:after="0"/>
              <w:rPr>
                <w:sz w:val="24"/>
                <w:szCs w:val="24"/>
                <w:color w:val="auto"/>
              </w:rPr>
            </w:pPr>
          </w:p>
        </w:tc>
        <w:tc>
          <w:tcPr>
            <w:tcW w:w="560" w:type="dxa"/>
            <w:vAlign w:val="bottom"/>
            <w:gridSpan w:val="6"/>
          </w:tcPr>
          <w:p>
            <w:pPr>
              <w:spacing w:after="0"/>
              <w:rPr>
                <w:sz w:val="24"/>
                <w:szCs w:val="24"/>
                <w:color w:val="auto"/>
              </w:rPr>
            </w:pP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748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527"/>
        </w:trPr>
        <w:tc>
          <w:tcPr>
            <w:tcW w:w="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II</w:t>
            </w:r>
          </w:p>
        </w:tc>
        <w:tc>
          <w:tcPr>
            <w:tcW w:w="4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640" w:type="dxa"/>
            <w:vAlign w:val="bottom"/>
            <w:gridSpan w:val="8"/>
          </w:tcPr>
          <w:p>
            <w:pPr>
              <w:spacing w:after="0"/>
              <w:rPr>
                <w:sz w:val="24"/>
                <w:szCs w:val="24"/>
                <w:color w:val="auto"/>
              </w:rPr>
            </w:pPr>
          </w:p>
        </w:tc>
        <w:tc>
          <w:tcPr>
            <w:tcW w:w="80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1"/>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640" w:type="dxa"/>
            <w:vAlign w:val="bottom"/>
            <w:gridSpan w:val="8"/>
          </w:tcPr>
          <w:p>
            <w:pPr>
              <w:spacing w:after="0"/>
              <w:rPr>
                <w:sz w:val="24"/>
                <w:szCs w:val="24"/>
                <w:color w:val="auto"/>
              </w:rPr>
            </w:pPr>
          </w:p>
        </w:tc>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[Reserved]</w:t>
            </w:r>
          </w:p>
        </w:tc>
        <w:tc>
          <w:tcPr>
            <w:tcW w:w="846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7.</w:t>
            </w:r>
          </w:p>
        </w:tc>
        <w:tc>
          <w:tcPr>
            <w:tcW w:w="640" w:type="dxa"/>
            <w:vAlign w:val="bottom"/>
            <w:gridSpan w:val="8"/>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0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6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Item 7A.</w:t>
            </w:r>
          </w:p>
        </w:tc>
        <w:tc>
          <w:tcPr>
            <w:tcW w:w="500" w:type="dxa"/>
            <w:vAlign w:val="bottom"/>
            <w:gridSpan w:val="4"/>
          </w:tcPr>
          <w:p>
            <w:pPr>
              <w:spacing w:after="0"/>
              <w:rPr>
                <w:sz w:val="24"/>
                <w:szCs w:val="24"/>
                <w:color w:val="auto"/>
              </w:rPr>
            </w:pP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0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8.</w:t>
            </w:r>
          </w:p>
        </w:tc>
        <w:tc>
          <w:tcPr>
            <w:tcW w:w="640" w:type="dxa"/>
            <w:vAlign w:val="bottom"/>
            <w:gridSpan w:val="8"/>
          </w:tcPr>
          <w:p>
            <w:pPr>
              <w:spacing w:after="0"/>
              <w:rPr>
                <w:sz w:val="24"/>
                <w:szCs w:val="24"/>
                <w:color w:val="auto"/>
              </w:rPr>
            </w:pPr>
          </w:p>
        </w:tc>
        <w:tc>
          <w:tcPr>
            <w:tcW w:w="3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59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0000FF"/>
                <w:w w:val="90"/>
              </w:rPr>
              <w:t>Item 9.</w:t>
            </w:r>
          </w:p>
        </w:tc>
        <w:tc>
          <w:tcPr>
            <w:tcW w:w="640" w:type="dxa"/>
            <w:vAlign w:val="bottom"/>
            <w:gridSpan w:val="8"/>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Item 9A.</w:t>
            </w:r>
          </w:p>
        </w:tc>
        <w:tc>
          <w:tcPr>
            <w:tcW w:w="500" w:type="dxa"/>
            <w:vAlign w:val="bottom"/>
            <w:gridSpan w:val="4"/>
          </w:tcPr>
          <w:p>
            <w:pPr>
              <w:spacing w:after="0"/>
              <w:rPr>
                <w:sz w:val="24"/>
                <w:szCs w:val="24"/>
                <w:color w:val="auto"/>
              </w:rPr>
            </w:pP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748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620" w:type="dxa"/>
            <w:vAlign w:val="bottom"/>
            <w:gridSpan w:val="4"/>
          </w:tcPr>
          <w:p>
            <w:pPr>
              <w:spacing w:after="0"/>
              <w:rPr>
                <w:sz w:val="20"/>
                <w:szCs w:val="20"/>
                <w:color w:val="auto"/>
              </w:rPr>
            </w:pPr>
            <w:r>
              <w:rPr>
                <w:rFonts w:ascii="Arial" w:cs="Arial" w:eastAsia="Arial" w:hAnsi="Arial"/>
                <w:sz w:val="18"/>
                <w:szCs w:val="18"/>
                <w:color w:val="0000FF"/>
                <w:w w:val="86"/>
              </w:rPr>
              <w:t>Item 9B.</w:t>
            </w:r>
          </w:p>
        </w:tc>
        <w:tc>
          <w:tcPr>
            <w:tcW w:w="540" w:type="dxa"/>
            <w:vAlign w:val="bottom"/>
            <w:gridSpan w:val="5"/>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gridSpan w:val="4"/>
          </w:tcPr>
          <w:p>
            <w:pPr>
              <w:spacing w:after="0"/>
              <w:rPr>
                <w:sz w:val="20"/>
                <w:szCs w:val="20"/>
                <w:color w:val="auto"/>
              </w:rPr>
            </w:pPr>
            <w:r>
              <w:rPr>
                <w:rFonts w:ascii="Arial" w:cs="Arial" w:eastAsia="Arial" w:hAnsi="Arial"/>
                <w:sz w:val="18"/>
                <w:szCs w:val="18"/>
                <w:color w:val="0000FF"/>
                <w:w w:val="85"/>
              </w:rPr>
              <w:t>Item 9C.</w:t>
            </w:r>
          </w:p>
        </w:tc>
        <w:tc>
          <w:tcPr>
            <w:tcW w:w="540" w:type="dxa"/>
            <w:vAlign w:val="bottom"/>
            <w:gridSpan w:val="5"/>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rPr>
              <w:t>PART III</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Item 10.</w:t>
            </w:r>
          </w:p>
        </w:tc>
        <w:tc>
          <w:tcPr>
            <w:tcW w:w="540" w:type="dxa"/>
            <w:vAlign w:val="bottom"/>
            <w:gridSpan w:val="5"/>
          </w:tcPr>
          <w:p>
            <w:pPr>
              <w:spacing w:after="0"/>
              <w:rPr>
                <w:sz w:val="24"/>
                <w:szCs w:val="24"/>
                <w:color w:val="auto"/>
              </w:rPr>
            </w:pPr>
          </w:p>
        </w:tc>
        <w:tc>
          <w:tcPr>
            <w:tcW w:w="41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516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Item 11.</w:t>
            </w:r>
          </w:p>
        </w:tc>
        <w:tc>
          <w:tcPr>
            <w:tcW w:w="560" w:type="dxa"/>
            <w:vAlign w:val="bottom"/>
            <w:gridSpan w:val="6"/>
          </w:tcPr>
          <w:p>
            <w:pPr>
              <w:spacing w:after="0"/>
              <w:rPr>
                <w:sz w:val="24"/>
                <w:szCs w:val="24"/>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Executive Compensation</w:t>
            </w:r>
          </w:p>
        </w:tc>
        <w:tc>
          <w:tcPr>
            <w:tcW w:w="744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90"/>
        </w:trPr>
        <w:tc>
          <w:tcPr>
            <w:tcW w:w="6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Item 12.</w:t>
            </w:r>
          </w:p>
        </w:tc>
        <w:tc>
          <w:tcPr>
            <w:tcW w:w="540" w:type="dxa"/>
            <w:vAlign w:val="bottom"/>
            <w:gridSpan w:val="5"/>
          </w:tcPr>
          <w:p>
            <w:pPr>
              <w:spacing w:after="0"/>
              <w:rPr>
                <w:sz w:val="24"/>
                <w:szCs w:val="24"/>
                <w:color w:val="auto"/>
              </w:rPr>
            </w:pPr>
          </w:p>
        </w:tc>
        <w:tc>
          <w:tcPr>
            <w:tcW w:w="73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96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620" w:type="dxa"/>
            <w:vAlign w:val="bottom"/>
            <w:gridSpan w:val="4"/>
          </w:tcPr>
          <w:p>
            <w:pPr>
              <w:spacing w:after="0"/>
              <w:rPr>
                <w:sz w:val="20"/>
                <w:szCs w:val="20"/>
                <w:color w:val="auto"/>
              </w:rPr>
            </w:pPr>
            <w:r>
              <w:rPr>
                <w:rFonts w:ascii="Arial" w:cs="Arial" w:eastAsia="Arial" w:hAnsi="Arial"/>
                <w:sz w:val="18"/>
                <w:szCs w:val="18"/>
                <w:color w:val="0000FF"/>
                <w:w w:val="89"/>
              </w:rPr>
              <w:t>Item 13.</w:t>
            </w:r>
          </w:p>
        </w:tc>
        <w:tc>
          <w:tcPr>
            <w:tcW w:w="540" w:type="dxa"/>
            <w:vAlign w:val="bottom"/>
            <w:gridSpan w:val="5"/>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6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89"/>
              </w:rPr>
              <w:t>Item 14.</w:t>
            </w:r>
          </w:p>
        </w:tc>
        <w:tc>
          <w:tcPr>
            <w:tcW w:w="540" w:type="dxa"/>
            <w:vAlign w:val="bottom"/>
            <w:gridSpan w:val="5"/>
          </w:tcPr>
          <w:p>
            <w:pPr>
              <w:spacing w:after="0"/>
              <w:rPr>
                <w:sz w:val="24"/>
                <w:szCs w:val="24"/>
                <w:color w:val="auto"/>
              </w:rPr>
            </w:pPr>
          </w:p>
        </w:tc>
        <w:tc>
          <w:tcPr>
            <w:tcW w:w="54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386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8"/>
              </w:rPr>
              <w:t>PART IV</w:t>
            </w:r>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20" w:type="dxa"/>
            <w:vAlign w:val="bottom"/>
            <w:gridSpan w:val="4"/>
          </w:tcPr>
          <w:p>
            <w:pPr>
              <w:spacing w:after="0"/>
              <w:rPr>
                <w:sz w:val="20"/>
                <w:szCs w:val="20"/>
                <w:color w:val="auto"/>
              </w:rPr>
            </w:pPr>
            <w:r>
              <w:rPr>
                <w:rFonts w:ascii="Arial" w:cs="Arial" w:eastAsia="Arial" w:hAnsi="Arial"/>
                <w:sz w:val="18"/>
                <w:szCs w:val="18"/>
                <w:color w:val="0000FF"/>
                <w:w w:val="89"/>
              </w:rPr>
              <w:t>Item 15.</w:t>
            </w:r>
          </w:p>
        </w:tc>
        <w:tc>
          <w:tcPr>
            <w:tcW w:w="540" w:type="dxa"/>
            <w:vAlign w:val="bottom"/>
            <w:gridSpan w:val="5"/>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FF"/>
              </w:rPr>
              <w:t>Exhibits and Financial Statement Schedules</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6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Item 16.</w:t>
            </w:r>
          </w:p>
        </w:tc>
        <w:tc>
          <w:tcPr>
            <w:tcW w:w="540" w:type="dxa"/>
            <w:vAlign w:val="bottom"/>
            <w:gridSpan w:val="5"/>
          </w:tcPr>
          <w:p>
            <w:pPr>
              <w:spacing w:after="0"/>
              <w:rPr>
                <w:sz w:val="24"/>
                <w:szCs w:val="24"/>
                <w:color w:val="auto"/>
              </w:rPr>
            </w:pPr>
          </w:p>
        </w:tc>
        <w:tc>
          <w:tcPr>
            <w:tcW w:w="15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Form 10-K Summary</w:t>
            </w:r>
          </w:p>
        </w:tc>
        <w:tc>
          <w:tcPr>
            <w:tcW w:w="1600" w:type="dxa"/>
            <w:vAlign w:val="bottom"/>
            <w:tcBorders>
              <w:top w:val="single" w:sz="8" w:color="0000FF"/>
            </w:tcBorders>
            <w:gridSpan w:val="5"/>
          </w:tcPr>
          <w:p>
            <w:pPr>
              <w:spacing w:after="0"/>
              <w:rPr>
                <w:sz w:val="24"/>
                <w:szCs w:val="24"/>
                <w:color w:val="auto"/>
              </w:rPr>
            </w:pPr>
          </w:p>
        </w:tc>
        <w:tc>
          <w:tcPr>
            <w:tcW w:w="610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7"/>
        </w:trPr>
        <w:tc>
          <w:tcPr>
            <w:tcW w:w="1160" w:type="dxa"/>
            <w:vAlign w:val="bottom"/>
            <w:gridSpan w:val="9"/>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 ”Risk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9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320" w:firstLine="648"/>
        <w:spacing w:after="0" w:line="241" w:lineRule="auto"/>
        <w:rPr>
          <w:sz w:val="20"/>
          <w:szCs w:val="20"/>
          <w:color w:val="auto"/>
        </w:rPr>
      </w:pPr>
      <w:r>
        <w:rPr>
          <w:rFonts w:ascii="Arial" w:cs="Arial" w:eastAsia="Arial" w:hAnsi="Arial"/>
          <w:sz w:val="18"/>
          <w:szCs w:val="18"/>
          <w:color w:val="auto"/>
        </w:rPr>
        <w:t xml:space="preserve">We are a leading cloud-based provider of human capital management, or HCM, and payroll software solutions that deliver a comprehensive platform for the modern workforce. </w:t>
      </w:r>
      <w:r>
        <w:rPr>
          <w:rFonts w:ascii="Arial" w:cs="Arial" w:eastAsia="Arial" w:hAnsi="Arial"/>
          <w:sz w:val="18"/>
          <w:szCs w:val="18"/>
          <w:color w:val="333333"/>
        </w:rPr>
        <w:t>Our HCM and payroll platform offers an intuitive, easy-to-use product suite that helps businesses attract and retain</w:t>
      </w:r>
      <w:r>
        <w:rPr>
          <w:rFonts w:ascii="Arial" w:cs="Arial" w:eastAsia="Arial" w:hAnsi="Arial"/>
          <w:sz w:val="18"/>
          <w:szCs w:val="18"/>
          <w:color w:val="auto"/>
        </w:rPr>
        <w:t xml:space="preserve"> </w:t>
      </w:r>
      <w:r>
        <w:rPr>
          <w:rFonts w:ascii="Arial" w:cs="Arial" w:eastAsia="Arial" w:hAnsi="Arial"/>
          <w:sz w:val="18"/>
          <w:szCs w:val="18"/>
          <w:color w:val="333333"/>
        </w:rPr>
        <w:t xml:space="preserve">talent, build culture and connection with their employees, and streamline and automate HR and payroll processes. </w:t>
      </w:r>
      <w:r>
        <w:rPr>
          <w:rFonts w:ascii="Arial" w:cs="Arial" w:eastAsia="Arial" w:hAnsi="Arial"/>
          <w:sz w:val="18"/>
          <w:szCs w:val="18"/>
          <w:color w:val="000000"/>
        </w:rPr>
        <w:t>Excluding clients acquired through</w:t>
      </w:r>
      <w:r>
        <w:rPr>
          <w:rFonts w:ascii="Arial" w:cs="Arial" w:eastAsia="Arial" w:hAnsi="Arial"/>
          <w:sz w:val="18"/>
          <w:szCs w:val="18"/>
          <w:color w:val="333333"/>
        </w:rPr>
        <w:t xml:space="preserve"> </w:t>
      </w:r>
      <w:r>
        <w:rPr>
          <w:rFonts w:ascii="Arial" w:cs="Arial" w:eastAsia="Arial" w:hAnsi="Arial"/>
          <w:sz w:val="18"/>
          <w:szCs w:val="18"/>
          <w:color w:val="000000"/>
        </w:rPr>
        <w:t>acquisitions, as of June 30, 2023, we provided our software-as-a-service, or SaaS, solutions to approximately 36,200 clients across the U.S., which on average had over 140 employees.</w:t>
      </w:r>
    </w:p>
    <w:p>
      <w:pPr>
        <w:spacing w:after="0" w:line="189"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 xml:space="preserve">Effective management of human capital is a core function in all organizations and requires a significant commitment of resources. </w:t>
      </w:r>
      <w:r>
        <w:rPr>
          <w:rFonts w:ascii="Arial" w:cs="Arial" w:eastAsia="Arial" w:hAnsi="Arial"/>
          <w:sz w:val="17"/>
          <w:szCs w:val="17"/>
          <w:color w:val="333333"/>
        </w:rPr>
        <w:t>Organizations</w:t>
      </w:r>
      <w:r>
        <w:rPr>
          <w:rFonts w:ascii="Arial" w:cs="Arial" w:eastAsia="Arial" w:hAnsi="Arial"/>
          <w:sz w:val="17"/>
          <w:szCs w:val="17"/>
          <w:color w:val="auto"/>
        </w:rPr>
        <w:t xml:space="preserve"> </w:t>
      </w:r>
      <w:r>
        <w:rPr>
          <w:rFonts w:ascii="Arial" w:cs="Arial" w:eastAsia="Arial" w:hAnsi="Arial"/>
          <w:sz w:val="17"/>
          <w:szCs w:val="17"/>
          <w:color w:val="333333"/>
        </w:rPr>
        <w:t xml:space="preserve">are faced with an ever-changing employment landscape, including numerous federal, state and local regulations across multiple jurisdictions, the complexity of increasingly geographically dispersed employees, and managing hybrid workplaces. At the same time, employees’ expectations are rising, and organizations need to prioritize communication, connection, and collaboration among their employees to differentiate how they attract and retain talent and build a culture of loyalty. </w:t>
      </w:r>
      <w:r>
        <w:rPr>
          <w:rFonts w:ascii="Arial" w:cs="Arial" w:eastAsia="Arial" w:hAnsi="Arial"/>
          <w:sz w:val="17"/>
          <w:szCs w:val="17"/>
          <w:color w:val="000000"/>
        </w:rPr>
        <w:t>Many companies also are operating without the infrastructure, expertise or personnel to implement or support large and</w:t>
      </w:r>
      <w:r>
        <w:rPr>
          <w:rFonts w:ascii="Arial" w:cs="Arial" w:eastAsia="Arial" w:hAnsi="Arial"/>
          <w:sz w:val="17"/>
          <w:szCs w:val="17"/>
          <w:color w:val="333333"/>
        </w:rPr>
        <w:t xml:space="preserve"> </w:t>
      </w:r>
      <w:r>
        <w:rPr>
          <w:rFonts w:ascii="Arial" w:cs="Arial" w:eastAsia="Arial" w:hAnsi="Arial"/>
          <w:sz w:val="17"/>
          <w:szCs w:val="17"/>
          <w:color w:val="000000"/>
        </w:rPr>
        <w:t>complex systems in today’s dynamic environment. Existing solutions offered by third-party payroll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 to value, and providing their employees with the most engaging experience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HCM and payroll software solutions provide the following key benefits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168910</wp:posOffset>
            </wp:positionV>
            <wp:extent cx="4526280" cy="3317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2628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right="100" w:hanging="328"/>
        <w:spacing w:after="0" w:line="314"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Single Platform with Flexible Data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333333"/>
        </w:rPr>
        <w:t>The foundation of our platform is a single employee system of record that supports the complete employee</w:t>
      </w:r>
      <w:r>
        <w:rPr>
          <w:rFonts w:ascii="Arial" w:cs="Arial" w:eastAsia="Arial" w:hAnsi="Arial"/>
          <w:sz w:val="16"/>
          <w:szCs w:val="16"/>
          <w:b w:val="1"/>
          <w:bCs w:val="1"/>
          <w:color w:val="auto"/>
        </w:rPr>
        <w:t xml:space="preserve"> </w:t>
      </w:r>
      <w:r>
        <w:rPr>
          <w:rFonts w:ascii="Arial" w:cs="Arial" w:eastAsia="Arial" w:hAnsi="Arial"/>
          <w:sz w:val="16"/>
          <w:szCs w:val="16"/>
          <w:color w:val="333333"/>
        </w:rPr>
        <w:t>lifecycle: Recruiting &amp; Onboarding, Benefits, Time &amp; Labor, Payroll, HR, Learning, and Performance &amp; Compensation. Our platform centralizes payroll and HCM data, minimizing inconsistent and incomplete information that can be produced when using multiple databases.</w:t>
      </w:r>
    </w:p>
    <w:p>
      <w:pPr>
        <w:spacing w:after="0" w:line="141" w:lineRule="exact"/>
        <w:rPr>
          <w:rFonts w:ascii="Arial" w:cs="Arial" w:eastAsia="Arial" w:hAnsi="Arial"/>
          <w:sz w:val="16"/>
          <w:szCs w:val="16"/>
          <w:color w:val="auto"/>
        </w:rPr>
      </w:pPr>
    </w:p>
    <w:p>
      <w:pPr>
        <w:ind w:left="660" w:right="120" w:hanging="328"/>
        <w:spacing w:after="0" w:line="261" w:lineRule="auto"/>
        <w:tabs>
          <w:tab w:leader="none" w:pos="660" w:val="left"/>
        </w:tabs>
        <w:numPr>
          <w:ilvl w:val="0"/>
          <w:numId w:val="1"/>
        </w:numPr>
        <w:rPr>
          <w:rFonts w:ascii="Arial" w:cs="Arial" w:eastAsia="Arial" w:hAnsi="Arial"/>
          <w:sz w:val="18"/>
          <w:szCs w:val="18"/>
          <w:color w:val="333333"/>
        </w:rPr>
      </w:pPr>
      <w:r>
        <w:rPr>
          <w:rFonts w:ascii="Arial" w:cs="Arial" w:eastAsia="Arial" w:hAnsi="Arial"/>
          <w:sz w:val="18"/>
          <w:szCs w:val="18"/>
          <w:b w:val="1"/>
          <w:bCs w:val="1"/>
          <w:color w:val="auto"/>
        </w:rPr>
        <w:t xml:space="preserve">Employee Experience </w:t>
      </w:r>
      <w:r>
        <w:rPr>
          <w:rFonts w:ascii="Arial" w:cs="Arial" w:eastAsia="Arial" w:hAnsi="Arial"/>
          <w:sz w:val="18"/>
          <w:szCs w:val="18"/>
          <w:color w:val="auto"/>
        </w:rPr>
        <w:t>–We embed employee-focused features throughout the platform that help employees feel connected to their work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hybrid, remote, on-the-go, or do not have corporate email addresses. Our platform provides tools to communicate, connect to organizations and peers, and focus on career development and growth, which drives engagement and adoption of self-service processes – and drives HR automation and digital transformation.</w:t>
      </w:r>
    </w:p>
    <w:p>
      <w:pPr>
        <w:spacing w:after="0" w:line="179" w:lineRule="exact"/>
        <w:rPr>
          <w:rFonts w:ascii="Arial" w:cs="Arial" w:eastAsia="Arial" w:hAnsi="Arial"/>
          <w:sz w:val="18"/>
          <w:szCs w:val="18"/>
          <w:color w:val="333333"/>
        </w:rPr>
      </w:pPr>
    </w:p>
    <w:p>
      <w:pPr>
        <w:jc w:val="both"/>
        <w:ind w:left="660" w:right="380" w:hanging="328"/>
        <w:spacing w:after="0" w:line="314"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Insights, Recommendations &amp; AI </w:t>
      </w:r>
      <w:r>
        <w:rPr>
          <w:rFonts w:ascii="Arial" w:cs="Arial" w:eastAsia="Arial" w:hAnsi="Arial"/>
          <w:sz w:val="16"/>
          <w:szCs w:val="16"/>
          <w:color w:val="auto"/>
        </w:rPr>
        <w:t>– Our clients have access to their data for reporting and compliance needs, but we also provide actionable</w:t>
      </w:r>
      <w:r>
        <w:rPr>
          <w:rFonts w:ascii="Arial" w:cs="Arial" w:eastAsia="Arial" w:hAnsi="Arial"/>
          <w:sz w:val="16"/>
          <w:szCs w:val="16"/>
          <w:b w:val="1"/>
          <w:bCs w:val="1"/>
          <w:color w:val="auto"/>
        </w:rPr>
        <w:t xml:space="preserve"> </w:t>
      </w:r>
      <w:r>
        <w:rPr>
          <w:rFonts w:ascii="Arial" w:cs="Arial" w:eastAsia="Arial" w:hAnsi="Arial"/>
          <w:sz w:val="16"/>
          <w:szCs w:val="16"/>
          <w:color w:val="auto"/>
        </w:rPr>
        <w:t>insights powered by AI based on best practices across our client base. Clients can use interactive dashboards to interpret data, get prescriptive recommendations tailored to improving efficiency and building a healthier workforce and use AI-assisted tools to automate day-to-day tasks.</w:t>
      </w:r>
    </w:p>
    <w:p>
      <w:pPr>
        <w:spacing w:after="0" w:line="141" w:lineRule="exact"/>
        <w:rPr>
          <w:rFonts w:ascii="Arial" w:cs="Arial" w:eastAsia="Arial" w:hAnsi="Arial"/>
          <w:sz w:val="16"/>
          <w:szCs w:val="16"/>
          <w:color w:val="auto"/>
        </w:rPr>
      </w:pPr>
    </w:p>
    <w:p>
      <w:pPr>
        <w:ind w:left="660" w:right="70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Leading Customer Service </w:t>
      </w:r>
      <w:r>
        <w:rPr>
          <w:rFonts w:ascii="Arial" w:cs="Arial" w:eastAsia="Arial" w:hAnsi="Arial"/>
          <w:sz w:val="18"/>
          <w:szCs w:val="18"/>
          <w:color w:val="auto"/>
        </w:rPr>
        <w:t>- We supplement our comprehensive software solutions with an integrated implementation and client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all of which are designed to meet the needs of our clients and prospects.</w:t>
      </w:r>
    </w:p>
    <w:p>
      <w:pPr>
        <w:spacing w:after="0" w:line="161" w:lineRule="exact"/>
        <w:rPr>
          <w:rFonts w:ascii="Arial" w:cs="Arial" w:eastAsia="Arial" w:hAnsi="Arial"/>
          <w:sz w:val="18"/>
          <w:szCs w:val="18"/>
          <w:color w:val="auto"/>
        </w:rPr>
      </w:pPr>
    </w:p>
    <w:p>
      <w:pPr>
        <w:ind w:left="660" w:hanging="328"/>
        <w:spacing w:after="0" w:line="30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Seamless Integration with Extensive Ecosystem of Partners</w:t>
      </w:r>
      <w:r>
        <w:rPr>
          <w:rFonts w:ascii="Arial" w:cs="Arial" w:eastAsia="Arial" w:hAnsi="Arial"/>
          <w:sz w:val="16"/>
          <w:szCs w:val="16"/>
          <w:color w:val="auto"/>
        </w:rPr>
        <w:t>. Our software solutions offer our clients automated data integration with hundreds</w:t>
      </w:r>
      <w:r>
        <w:rPr>
          <w:rFonts w:ascii="Arial" w:cs="Arial" w:eastAsia="Arial" w:hAnsi="Arial"/>
          <w:sz w:val="16"/>
          <w:szCs w:val="16"/>
          <w:b w:val="1"/>
          <w:bCs w:val="1"/>
          <w:color w:val="auto"/>
        </w:rPr>
        <w:t xml:space="preserve"> </w:t>
      </w:r>
      <w:r>
        <w:rPr>
          <w:rFonts w:ascii="Arial" w:cs="Arial" w:eastAsia="Arial" w:hAnsi="Arial"/>
          <w:sz w:val="16"/>
          <w:szCs w:val="16"/>
          <w:color w:val="auto"/>
        </w:rPr>
        <w:t>of third-party partner systems in our Integration Marketplace,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w:t>
      </w:r>
    </w:p>
    <w:p>
      <w:pPr>
        <w:spacing w:after="0" w:line="14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80"/>
        <w:spacing w:after="0" w:line="243" w:lineRule="auto"/>
        <w:rPr>
          <w:sz w:val="20"/>
          <w:szCs w:val="20"/>
          <w:color w:val="auto"/>
        </w:rPr>
      </w:pPr>
      <w:r>
        <w:rPr>
          <w:rFonts w:ascii="Arial" w:cs="Arial" w:eastAsia="Arial" w:hAnsi="Arial"/>
          <w:sz w:val="18"/>
          <w:szCs w:val="18"/>
          <w:color w:val="auto"/>
        </w:rPr>
        <w:t>client employees. Our annual revenue retention rate was greater than 92% in each of the fiscal years 2021, 2022 and 2023. Our total revenues increased from $635.6 million in fiscal 2021 to $852.7 million in fiscal 2022, representing a 34% year-over-year increase, and to $1,174.6 million in fiscal 2023, representing a 38% year-over-year increase. Our recurring revenue model and high annual revenue retention rates provide significant visibility into our future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intend to strengthen and extend our position as a leading provider of cloud-based HCM and payroll software solutions. Key elements of our strategy include the following:</w:t>
      </w:r>
    </w:p>
    <w:p>
      <w:pPr>
        <w:spacing w:after="0" w:line="170" w:lineRule="exact"/>
        <w:rPr>
          <w:sz w:val="20"/>
          <w:szCs w:val="20"/>
          <w:color w:val="auto"/>
        </w:rPr>
      </w:pPr>
    </w:p>
    <w:p>
      <w:pPr>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Extend Technological Leadership</w:t>
      </w:r>
      <w:r>
        <w:rPr>
          <w:rFonts w:ascii="Arial" w:cs="Arial" w:eastAsia="Arial" w:hAnsi="Arial"/>
          <w:sz w:val="18"/>
          <w:szCs w:val="18"/>
          <w:color w:val="auto"/>
        </w:rPr>
        <w:t>. We believe that our organically developed cloud-based software solutions, combined with our unified database</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 enhances the experience and usability of our products, providing what we believe to be a competitive advantage over alternative solutions. Our modern, intuitive user interface utilizes features found in many popular consumer application experiences, enabling users to use our solutions with limited training. We plan to continue our technology innovation, as we have done with our mobile applications, social features and analytics capabilities.</w:t>
      </w:r>
    </w:p>
    <w:p>
      <w:pPr>
        <w:spacing w:after="0" w:line="187"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Grow Our Client Base</w:t>
      </w:r>
      <w:r>
        <w:rPr>
          <w:rFonts w:ascii="Arial" w:cs="Arial" w:eastAsia="Arial" w:hAnsi="Arial"/>
          <w:sz w:val="18"/>
          <w:szCs w:val="18"/>
          <w:color w:val="auto"/>
        </w:rPr>
        <w:t>. We believe that our current client base represents only a small portion of the organizations that could benefit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Our clients typically have between 10 to 5,000 employees. While we provide our HCM and payroll software solutions to approximately 36,200 clients across the U.S. (excluding clients acquired through acquisitions) as of June 30, 2023, there are over 1.3 million businesses with 10 to 5,000 employees in the U.S., employing approximately 73 million people, according to the U.S. Census Bureau in 2020. We estimate that if clients were to buy our entire suite of existing solutions at list prices, they would spend approximately $500 per employee annually. We believe our realized target addressable market is approximately $18.6 billion as clients, on average, purchase 50% or more of our suite of solutions. As we continue to expand our product offerings, we believe that we have an opportunity to increase the amount clients spend on HCM solutions per employee and to expand our addressable market. As we expand our client base and number of employees, we will also grow our sales organization.</w:t>
      </w:r>
    </w:p>
    <w:p>
      <w:pPr>
        <w:spacing w:after="0" w:line="196"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Expand Our Product Offerings</w:t>
      </w:r>
      <w:r>
        <w:rPr>
          <w:rFonts w:ascii="Arial" w:cs="Arial" w:eastAsia="Arial" w:hAnsi="Arial"/>
          <w:sz w:val="18"/>
          <w:szCs w:val="18"/>
          <w:color w:val="auto"/>
        </w:rPr>
        <w:t>. We believe a significant part of our leadership position is the result of our investment and innovation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offerings. We plan to continue to invest in product development efforts that will allow us to offer a broader selection of products to new and existing clients.</w:t>
      </w:r>
    </w:p>
    <w:p>
      <w:pPr>
        <w:spacing w:after="0" w:line="183" w:lineRule="exact"/>
        <w:rPr>
          <w:rFonts w:ascii="Arial" w:cs="Arial" w:eastAsia="Arial" w:hAnsi="Arial"/>
          <w:sz w:val="18"/>
          <w:szCs w:val="18"/>
          <w:i w:val="1"/>
          <w:iCs w:val="1"/>
          <w:color w:val="auto"/>
        </w:rPr>
      </w:pPr>
    </w:p>
    <w:p>
      <w:pPr>
        <w:ind w:left="660" w:right="12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Further Develop Our Referral Network</w:t>
      </w:r>
      <w:r>
        <w:rPr>
          <w:rFonts w:ascii="Arial" w:cs="Arial" w:eastAsia="Arial" w:hAnsi="Arial"/>
          <w:sz w:val="18"/>
          <w:szCs w:val="18"/>
          <w:color w:val="auto"/>
        </w:rPr>
        <w:t>. We have developed a strong network of referral participants, such as 401(k) advisors,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administrators, insurance brokers, third-party administrators and HR consultants that recommend our solutions and provide referrals. We believe that our platform’s automated data integration with hundreds of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333333"/>
        </w:rPr>
        <w:t>HCM and payroll software solutions</w:t>
      </w:r>
      <w:r>
        <w:rPr>
          <w:rFonts w:ascii="Arial" w:cs="Arial" w:eastAsia="Arial" w:hAnsi="Arial"/>
          <w:sz w:val="18"/>
          <w:szCs w:val="18"/>
          <w:color w:val="auto"/>
        </w:rPr>
        <w:t xml:space="preserve"> deliver a unified platform for the modern workplace. </w:t>
      </w:r>
      <w:r>
        <w:rPr>
          <w:rFonts w:ascii="Arial" w:cs="Arial" w:eastAsia="Arial" w:hAnsi="Arial"/>
          <w:sz w:val="18"/>
          <w:szCs w:val="18"/>
          <w:color w:val="333333"/>
        </w:rPr>
        <w:t>We offer an intuitive, easy-to-use product suite that</w:t>
      </w:r>
      <w:r>
        <w:rPr>
          <w:rFonts w:ascii="Arial" w:cs="Arial" w:eastAsia="Arial" w:hAnsi="Arial"/>
          <w:sz w:val="18"/>
          <w:szCs w:val="18"/>
          <w:color w:val="auto"/>
        </w:rPr>
        <w:t xml:space="preserve"> </w:t>
      </w:r>
      <w:r>
        <w:rPr>
          <w:rFonts w:ascii="Arial" w:cs="Arial" w:eastAsia="Arial" w:hAnsi="Arial"/>
          <w:sz w:val="18"/>
          <w:szCs w:val="18"/>
          <w:color w:val="333333"/>
        </w:rPr>
        <w:t xml:space="preserve">helps businesses attract and retain talent, build culture and connection with their employees and streamline and automate HR and payroll processes. </w:t>
      </w:r>
      <w:r>
        <w:rPr>
          <w:rFonts w:ascii="Arial" w:cs="Arial" w:eastAsia="Arial" w:hAnsi="Arial"/>
          <w:sz w:val="18"/>
          <w:szCs w:val="18"/>
          <w:color w:val="000000"/>
        </w:rPr>
        <w:t>Our</w:t>
      </w:r>
      <w:r>
        <w:rPr>
          <w:rFonts w:ascii="Arial" w:cs="Arial" w:eastAsia="Arial" w:hAnsi="Arial"/>
          <w:sz w:val="18"/>
          <w:szCs w:val="18"/>
          <w:color w:val="333333"/>
        </w:rPr>
        <w:t xml:space="preserve"> </w:t>
      </w:r>
      <w:r>
        <w:rPr>
          <w:rFonts w:ascii="Arial" w:cs="Arial" w:eastAsia="Arial" w:hAnsi="Arial"/>
          <w:sz w:val="18"/>
          <w:szCs w:val="18"/>
          <w:color w:val="000000"/>
        </w:rPr>
        <w:t>product suite includes the following categories: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Payroll</w:t>
      </w:r>
    </w:p>
    <w:p>
      <w:pPr>
        <w:spacing w:after="0" w:line="212" w:lineRule="exact"/>
        <w:rPr>
          <w:sz w:val="20"/>
          <w:szCs w:val="20"/>
          <w:color w:val="auto"/>
        </w:rPr>
      </w:pPr>
    </w:p>
    <w:p>
      <w:pPr>
        <w:ind w:left="660" w:right="80"/>
        <w:spacing w:after="0" w:line="255" w:lineRule="auto"/>
        <w:rPr>
          <w:sz w:val="20"/>
          <w:szCs w:val="20"/>
          <w:color w:val="auto"/>
        </w:rPr>
      </w:pPr>
      <w:r>
        <w:rPr>
          <w:rFonts w:ascii="Arial" w:cs="Arial" w:eastAsia="Arial" w:hAnsi="Arial"/>
          <w:sz w:val="17"/>
          <w:szCs w:val="17"/>
          <w:i w:val="1"/>
          <w:iCs w:val="1"/>
          <w:color w:val="auto"/>
        </w:rPr>
        <w:t>Payroll and Tax Service</w:t>
      </w:r>
      <w:r>
        <w:rPr>
          <w:rFonts w:ascii="Arial" w:cs="Arial" w:eastAsia="Arial" w:hAnsi="Arial"/>
          <w:sz w:val="17"/>
          <w:szCs w:val="17"/>
          <w:b w:val="1"/>
          <w:bCs w:val="1"/>
          <w:i w:val="1"/>
          <w:iCs w:val="1"/>
          <w:color w:val="auto"/>
        </w:rPr>
        <w:t>s</w:t>
      </w:r>
      <w:r>
        <w:rPr>
          <w:rFonts w:ascii="Arial" w:cs="Arial" w:eastAsia="Arial" w:hAnsi="Arial"/>
          <w:sz w:val="17"/>
          <w:szCs w:val="17"/>
          <w:i w:val="1"/>
          <w:iCs w:val="1"/>
          <w:color w:val="auto"/>
        </w:rPr>
        <w:t xml:space="preserve"> </w:t>
      </w:r>
      <w:r>
        <w:rPr>
          <w:rFonts w:ascii="Arial" w:cs="Arial" w:eastAsia="Arial" w:hAnsi="Arial"/>
          <w:sz w:val="17"/>
          <w:szCs w:val="17"/>
          <w:color w:val="auto"/>
        </w:rPr>
        <w:t>– Our Payroll and Tax Services solution is designed to simplify payroll, automate processes and manage complex</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requirements within one system. Our payroll solution leverages data from our Time &amp; Labor and Human Resource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940"/>
        <w:spacing w:after="0" w:line="261" w:lineRule="auto"/>
        <w:rPr>
          <w:sz w:val="20"/>
          <w:szCs w:val="20"/>
          <w:color w:val="auto"/>
        </w:rPr>
      </w:pPr>
      <w:r>
        <w:rPr>
          <w:rFonts w:ascii="Arial" w:cs="Arial" w:eastAsia="Arial" w:hAnsi="Arial"/>
          <w:sz w:val="18"/>
          <w:szCs w:val="18"/>
          <w:color w:val="auto"/>
        </w:rPr>
        <w:t>Tax Services solutions, we accurately prepare and file the necessary tax withholdings and filing documents for local, state and federal jurisdictions.</w:t>
      </w:r>
    </w:p>
    <w:p>
      <w:pPr>
        <w:spacing w:after="0" w:line="171" w:lineRule="exact"/>
        <w:rPr>
          <w:sz w:val="20"/>
          <w:szCs w:val="20"/>
          <w:color w:val="auto"/>
        </w:rPr>
      </w:pPr>
    </w:p>
    <w:p>
      <w:pPr>
        <w:ind w:left="660" w:right="100"/>
        <w:spacing w:after="0" w:line="248" w:lineRule="auto"/>
        <w:rPr>
          <w:sz w:val="20"/>
          <w:szCs w:val="20"/>
          <w:color w:val="auto"/>
        </w:rPr>
      </w:pPr>
      <w:r>
        <w:rPr>
          <w:rFonts w:ascii="Arial" w:cs="Arial" w:eastAsia="Arial" w:hAnsi="Arial"/>
          <w:sz w:val="18"/>
          <w:szCs w:val="18"/>
          <w:i w:val="1"/>
          <w:iCs w:val="1"/>
          <w:color w:val="auto"/>
        </w:rPr>
        <w:t xml:space="preserve">Global Payroll – </w:t>
      </w:r>
      <w:r>
        <w:rPr>
          <w:rFonts w:ascii="Arial" w:cs="Arial" w:eastAsia="Arial" w:hAnsi="Arial"/>
          <w:sz w:val="18"/>
          <w:szCs w:val="18"/>
          <w:color w:val="auto"/>
        </w:rPr>
        <w:t>Our cloud-based global payroll solution enables U.S.-based companies to manage payroll for employees outside the U.S. in line</w:t>
      </w:r>
      <w:r>
        <w:rPr>
          <w:rFonts w:ascii="Arial" w:cs="Arial" w:eastAsia="Arial" w:hAnsi="Arial"/>
          <w:sz w:val="18"/>
          <w:szCs w:val="18"/>
          <w:i w:val="1"/>
          <w:iCs w:val="1"/>
          <w:color w:val="auto"/>
        </w:rPr>
        <w:t xml:space="preserve"> </w:t>
      </w:r>
      <w:r>
        <w:rPr>
          <w:rFonts w:ascii="Arial" w:cs="Arial" w:eastAsia="Arial" w:hAnsi="Arial"/>
          <w:sz w:val="18"/>
          <w:szCs w:val="18"/>
          <w:color w:val="auto"/>
        </w:rPr>
        <w:t>with complex local and country-specific requirements across many countries. It also provides consolidated reporting capabilities to efficiently manage a global employee base with real-time access to payroll data.</w:t>
      </w:r>
    </w:p>
    <w:p>
      <w:pPr>
        <w:spacing w:after="0" w:line="182" w:lineRule="exact"/>
        <w:rPr>
          <w:sz w:val="20"/>
          <w:szCs w:val="20"/>
          <w:color w:val="auto"/>
        </w:rPr>
      </w:pPr>
    </w:p>
    <w:p>
      <w:pPr>
        <w:jc w:val="both"/>
        <w:ind w:left="660" w:right="320"/>
        <w:spacing w:after="0" w:line="261" w:lineRule="auto"/>
        <w:rPr>
          <w:sz w:val="20"/>
          <w:szCs w:val="20"/>
          <w:color w:val="auto"/>
        </w:rPr>
      </w:pPr>
      <w:r>
        <w:rPr>
          <w:rFonts w:ascii="Arial" w:cs="Arial" w:eastAsia="Arial" w:hAnsi="Arial"/>
          <w:sz w:val="17"/>
          <w:szCs w:val="17"/>
          <w:i w:val="1"/>
          <w:iCs w:val="1"/>
          <w:color w:val="auto"/>
        </w:rPr>
        <w:t xml:space="preserve">Expense Management </w:t>
      </w:r>
      <w:r>
        <w:rPr>
          <w:rFonts w:ascii="Arial" w:cs="Arial" w:eastAsia="Arial" w:hAnsi="Arial"/>
          <w:sz w:val="17"/>
          <w:szCs w:val="17"/>
          <w:color w:val="auto"/>
        </w:rPr>
        <w:t>– Our Expense Management solution enables mobile app capture of receipts and imports transactions from credit cards,</w:t>
      </w:r>
      <w:r>
        <w:rPr>
          <w:rFonts w:ascii="Arial" w:cs="Arial" w:eastAsia="Arial" w:hAnsi="Arial"/>
          <w:sz w:val="17"/>
          <w:szCs w:val="17"/>
          <w:i w:val="1"/>
          <w:iCs w:val="1"/>
          <w:color w:val="auto"/>
        </w:rPr>
        <w:t xml:space="preserve"> </w:t>
      </w:r>
      <w:r>
        <w:rPr>
          <w:rFonts w:ascii="Arial" w:cs="Arial" w:eastAsia="Arial" w:hAnsi="Arial"/>
          <w:sz w:val="17"/>
          <w:szCs w:val="17"/>
          <w:color w:val="auto"/>
        </w:rPr>
        <w:t>reducing manual entry errors and minimizing employee and approver paperwork, while also eliminating spreadsheets, calculators and manual approvals through automated workflows that route approved expenses for payroll reimbursement.</w:t>
      </w:r>
    </w:p>
    <w:p>
      <w:pPr>
        <w:spacing w:after="0" w:line="172" w:lineRule="exact"/>
        <w:rPr>
          <w:sz w:val="20"/>
          <w:szCs w:val="20"/>
          <w:color w:val="auto"/>
        </w:rPr>
      </w:pPr>
    </w:p>
    <w:p>
      <w:pPr>
        <w:ind w:left="660"/>
        <w:spacing w:after="0" w:line="248" w:lineRule="auto"/>
        <w:rPr>
          <w:sz w:val="20"/>
          <w:szCs w:val="20"/>
          <w:color w:val="auto"/>
        </w:rPr>
      </w:pPr>
      <w:r>
        <w:rPr>
          <w:rFonts w:ascii="Arial" w:cs="Arial" w:eastAsia="Arial" w:hAnsi="Arial"/>
          <w:sz w:val="18"/>
          <w:szCs w:val="18"/>
          <w:i w:val="1"/>
          <w:iCs w:val="1"/>
          <w:color w:val="auto"/>
        </w:rPr>
        <w:t xml:space="preserve">On Demand Payment </w:t>
      </w:r>
      <w:r>
        <w:rPr>
          <w:rFonts w:ascii="Arial" w:cs="Arial" w:eastAsia="Arial" w:hAnsi="Arial"/>
          <w:sz w:val="18"/>
          <w:szCs w:val="18"/>
          <w:color w:val="auto"/>
        </w:rPr>
        <w:t>– On Demand Payment provides employees with visibility into their earned wages in between pay cycles based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hours worked and offers financial flexibility to employees through access to a portion of their earned wages before their scheduled payday without impacting the client’s standard payroll process.</w:t>
      </w:r>
    </w:p>
    <w:p>
      <w:pPr>
        <w:spacing w:after="0" w:line="182" w:lineRule="exact"/>
        <w:rPr>
          <w:sz w:val="20"/>
          <w:szCs w:val="20"/>
          <w:color w:val="auto"/>
        </w:rPr>
      </w:pPr>
    </w:p>
    <w:p>
      <w:pPr>
        <w:ind w:left="660" w:right="700"/>
        <w:spacing w:after="0" w:line="324" w:lineRule="auto"/>
        <w:rPr>
          <w:sz w:val="20"/>
          <w:szCs w:val="20"/>
          <w:color w:val="auto"/>
        </w:rPr>
      </w:pPr>
      <w:r>
        <w:rPr>
          <w:rFonts w:ascii="Arial" w:cs="Arial" w:eastAsia="Arial" w:hAnsi="Arial"/>
          <w:sz w:val="16"/>
          <w:szCs w:val="16"/>
          <w:i w:val="1"/>
          <w:iCs w:val="1"/>
          <w:color w:val="auto"/>
        </w:rPr>
        <w:t xml:space="preserve">Garnishments </w:t>
      </w:r>
      <w:r>
        <w:rPr>
          <w:rFonts w:ascii="Arial" w:cs="Arial" w:eastAsia="Arial" w:hAnsi="Arial"/>
          <w:sz w:val="16"/>
          <w:szCs w:val="16"/>
          <w:color w:val="auto"/>
        </w:rPr>
        <w:t>– Our Garnishments solution provides the calculation, setup and maintenance of historical deduction records and performs</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validation against state and federal legislation to mitigate compliance risk and prevent costly penalties and errors.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Human Resources</w:t>
      </w:r>
    </w:p>
    <w:p>
      <w:pPr>
        <w:spacing w:after="0" w:line="225" w:lineRule="exact"/>
        <w:rPr>
          <w:sz w:val="20"/>
          <w:szCs w:val="20"/>
          <w:color w:val="auto"/>
        </w:rPr>
      </w:pPr>
    </w:p>
    <w:p>
      <w:pPr>
        <w:jc w:val="both"/>
        <w:ind w:left="660" w:right="420"/>
        <w:spacing w:after="0" w:line="286" w:lineRule="auto"/>
        <w:rPr>
          <w:sz w:val="20"/>
          <w:szCs w:val="20"/>
          <w:color w:val="auto"/>
        </w:rPr>
      </w:pPr>
      <w:r>
        <w:rPr>
          <w:rFonts w:ascii="Arial" w:cs="Arial" w:eastAsia="Arial" w:hAnsi="Arial"/>
          <w:sz w:val="17"/>
          <w:szCs w:val="17"/>
          <w:i w:val="1"/>
          <w:iCs w:val="1"/>
          <w:color w:val="auto"/>
        </w:rPr>
        <w:t xml:space="preserve">Human Resources </w:t>
      </w:r>
      <w:r>
        <w:rPr>
          <w:rFonts w:ascii="Arial" w:cs="Arial" w:eastAsia="Arial" w:hAnsi="Arial"/>
          <w:sz w:val="17"/>
          <w:szCs w:val="17"/>
          <w:color w:val="auto"/>
        </w:rPr>
        <w:t>– Human Resources solutions streamline processes using modern, mobile-enabled tools that help save time by automating</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65"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color w:val="auto"/>
        </w:rPr>
        <w:t xml:space="preserve">Employee Self-Service </w:t>
      </w:r>
      <w:r>
        <w:rPr>
          <w:rFonts w:ascii="Arial" w:cs="Arial" w:eastAsia="Arial" w:hAnsi="Arial"/>
          <w:sz w:val="17"/>
          <w:szCs w:val="17"/>
          <w:color w:val="auto"/>
        </w:rPr>
        <w:t>– Our Employee Self-Service module provides employees with access to their information 24/7, which allows them to view</w:t>
      </w:r>
      <w:r>
        <w:rPr>
          <w:rFonts w:ascii="Arial" w:cs="Arial" w:eastAsia="Arial" w:hAnsi="Arial"/>
          <w:sz w:val="17"/>
          <w:szCs w:val="17"/>
          <w:i w:val="1"/>
          <w:iCs w:val="1"/>
          <w:color w:val="auto"/>
        </w:rPr>
        <w:t xml:space="preserve"> </w:t>
      </w:r>
      <w:r>
        <w:rPr>
          <w:rFonts w:ascii="Arial" w:cs="Arial" w:eastAsia="Arial" w:hAnsi="Arial"/>
          <w:sz w:val="17"/>
          <w:szCs w:val="17"/>
          <w:color w:val="auto"/>
        </w:rPr>
        <w:t>checks, request time off, clock in and out, update personal data and collaborate with teammates. Employees can also enroll in benefits, view coverage, access Learning Management System training or view course completion status on-the-go via our mobile app.</w:t>
      </w:r>
    </w:p>
    <w:p>
      <w:pPr>
        <w:spacing w:after="0" w:line="165" w:lineRule="exact"/>
        <w:rPr>
          <w:sz w:val="20"/>
          <w:szCs w:val="20"/>
          <w:color w:val="auto"/>
        </w:rPr>
      </w:pPr>
    </w:p>
    <w:p>
      <w:pPr>
        <w:ind w:left="660"/>
        <w:spacing w:after="0" w:line="311" w:lineRule="auto"/>
        <w:rPr>
          <w:sz w:val="20"/>
          <w:szCs w:val="20"/>
          <w:color w:val="auto"/>
        </w:rPr>
      </w:pPr>
      <w:r>
        <w:rPr>
          <w:rFonts w:ascii="Arial" w:cs="Arial" w:eastAsia="Arial" w:hAnsi="Arial"/>
          <w:sz w:val="16"/>
          <w:szCs w:val="16"/>
          <w:color w:val="auto"/>
        </w:rPr>
        <w:t>Workflows &amp; Documents – Workflows &amp; Documents serves as a central location to securely store personal employee files such as offer letters and performance reviews to help clients stay compliant and organized by replacing manual processes and paper files. HR professionals can search electronic documents and easily upload, store and download documents while managing access with our role-based permission settings.</w:t>
      </w:r>
    </w:p>
    <w:p>
      <w:pPr>
        <w:spacing w:after="0" w:line="149" w:lineRule="exact"/>
        <w:rPr>
          <w:sz w:val="20"/>
          <w:szCs w:val="20"/>
          <w:color w:val="auto"/>
        </w:rPr>
      </w:pPr>
    </w:p>
    <w:p>
      <w:pPr>
        <w:ind w:left="660" w:right="660"/>
        <w:spacing w:after="0" w:line="308" w:lineRule="auto"/>
        <w:rPr>
          <w:sz w:val="20"/>
          <w:szCs w:val="20"/>
          <w:color w:val="auto"/>
        </w:rPr>
      </w:pPr>
      <w:r>
        <w:rPr>
          <w:rFonts w:ascii="Arial" w:cs="Arial" w:eastAsia="Arial" w:hAnsi="Arial"/>
          <w:sz w:val="17"/>
          <w:szCs w:val="17"/>
          <w:i w:val="1"/>
          <w:iCs w:val="1"/>
          <w:color w:val="auto"/>
        </w:rPr>
        <w:t xml:space="preserve">HR Compliance Dashboard </w:t>
      </w:r>
      <w:r>
        <w:rPr>
          <w:rFonts w:ascii="Arial" w:cs="Arial" w:eastAsia="Arial" w:hAnsi="Arial"/>
          <w:sz w:val="17"/>
          <w:szCs w:val="17"/>
          <w:color w:val="auto"/>
        </w:rPr>
        <w:t>– With our HR Compliance Dashboard, clients save time and money by staying up to date with new laws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related to topics such as employment verification, Equal Employment Opportunity and compensation.</w:t>
      </w:r>
    </w:p>
    <w:p>
      <w:pPr>
        <w:spacing w:after="0" w:line="146"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i w:val="1"/>
          <w:iCs w:val="1"/>
          <w:color w:val="auto"/>
        </w:rPr>
        <w:t xml:space="preserve">HR Edge </w:t>
      </w:r>
      <w:r>
        <w:rPr>
          <w:rFonts w:ascii="Arial" w:cs="Arial" w:eastAsia="Arial" w:hAnsi="Arial"/>
          <w:sz w:val="17"/>
          <w:szCs w:val="17"/>
          <w:color w:val="auto"/>
        </w:rPr>
        <w:t>– HR Edge supports human resource leaders’ navigation through complex compliance requirements, social issues and HR policies.</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can also access a comprehensive library of detailed articles, guides and other resources to make informed decisions on compliance topics such as healthcare reform, wages and hours regulations, employee leave, state laws, discrimination and more.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Time &amp; Labor</w:t>
      </w:r>
    </w:p>
    <w:p>
      <w:pPr>
        <w:spacing w:after="0" w:line="225" w:lineRule="exact"/>
        <w:rPr>
          <w:sz w:val="20"/>
          <w:szCs w:val="20"/>
          <w:color w:val="auto"/>
        </w:rPr>
      </w:pPr>
    </w:p>
    <w:p>
      <w:pPr>
        <w:ind w:left="660" w:right="80"/>
        <w:spacing w:after="0" w:line="311" w:lineRule="auto"/>
        <w:rPr>
          <w:sz w:val="20"/>
          <w:szCs w:val="20"/>
          <w:color w:val="auto"/>
        </w:rPr>
      </w:pPr>
      <w:r>
        <w:rPr>
          <w:rFonts w:ascii="Arial" w:cs="Arial" w:eastAsia="Arial" w:hAnsi="Arial"/>
          <w:sz w:val="16"/>
          <w:szCs w:val="16"/>
          <w:i w:val="1"/>
          <w:iCs w:val="1"/>
          <w:color w:val="auto"/>
        </w:rPr>
        <w:t xml:space="preserve">Time and Attendance </w:t>
      </w:r>
      <w:r>
        <w:rPr>
          <w:rFonts w:ascii="Arial" w:cs="Arial" w:eastAsia="Arial" w:hAnsi="Arial"/>
          <w:sz w:val="16"/>
          <w:szCs w:val="16"/>
          <w:color w:val="auto"/>
        </w:rPr>
        <w:t>– Our Time and Attendance solution accurately tracks time and attendance data, eliminating the need for manual tracking of</w:t>
      </w:r>
      <w:r>
        <w:rPr>
          <w:rFonts w:ascii="Arial" w:cs="Arial" w:eastAsia="Arial" w:hAnsi="Arial"/>
          <w:sz w:val="16"/>
          <w:szCs w:val="16"/>
          <w:i w:val="1"/>
          <w:iCs w:val="1"/>
          <w:color w:val="auto"/>
        </w:rPr>
        <w:t xml:space="preserve"> </w:t>
      </w:r>
      <w:r>
        <w:rPr>
          <w:rFonts w:ascii="Arial" w:cs="Arial" w:eastAsia="Arial" w:hAnsi="Arial"/>
          <w:sz w:val="16"/>
          <w:szCs w:val="16"/>
          <w:color w:val="auto"/>
        </w:rPr>
        <w:t>accruals and reducing administrative tasks. Employees can request and manage time off, edit timecards and manage schedule changes. A customizable supervisor dashboard provides at-a-glance visibility to missed punches, pending time off requests, attendance exceptions and more.</w:t>
      </w:r>
    </w:p>
    <w:p>
      <w:pPr>
        <w:spacing w:after="0" w:line="149"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i w:val="1"/>
          <w:iCs w:val="1"/>
          <w:color w:val="auto"/>
        </w:rPr>
        <w:t xml:space="preserve">Scheduling </w:t>
      </w:r>
      <w:r>
        <w:rPr>
          <w:rFonts w:ascii="Arial" w:cs="Arial" w:eastAsia="Arial" w:hAnsi="Arial"/>
          <w:sz w:val="18"/>
          <w:szCs w:val="18"/>
          <w:color w:val="auto"/>
        </w:rPr>
        <w:t>– Clients can automate schedule tracking by creating and adjusting work schedules as needed, including leveraging templates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policies based on duration, time between shifts and availability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without having to manually correct payroll data. Managers and employees can easily manage their schedules from our mobile app to ensure the appropriate shift coverage.</w:t>
      </w:r>
    </w:p>
    <w:p>
      <w:pPr>
        <w:spacing w:after="0" w:line="170" w:lineRule="exact"/>
        <w:rPr>
          <w:sz w:val="20"/>
          <w:szCs w:val="20"/>
          <w:color w:val="auto"/>
        </w:rPr>
      </w:pPr>
    </w:p>
    <w:p>
      <w:pPr>
        <w:ind w:left="660" w:right="340"/>
        <w:spacing w:after="0" w:line="259" w:lineRule="auto"/>
        <w:rPr>
          <w:sz w:val="20"/>
          <w:szCs w:val="20"/>
          <w:color w:val="auto"/>
        </w:rPr>
      </w:pPr>
      <w:r>
        <w:rPr>
          <w:rFonts w:ascii="Arial" w:cs="Arial" w:eastAsia="Arial" w:hAnsi="Arial"/>
          <w:sz w:val="18"/>
          <w:szCs w:val="18"/>
          <w:i w:val="1"/>
          <w:iCs w:val="1"/>
          <w:color w:val="auto"/>
        </w:rPr>
        <w:t xml:space="preserve">Time Collection </w:t>
      </w:r>
      <w:r>
        <w:rPr>
          <w:rFonts w:ascii="Arial" w:cs="Arial" w:eastAsia="Arial" w:hAnsi="Arial"/>
          <w:sz w:val="18"/>
          <w:szCs w:val="18"/>
          <w:color w:val="auto"/>
        </w:rPr>
        <w:t>– Our wide variety of time collection devices include kiosks, state-of-the-art time clocks, and mobile and web applications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unique needs of different companies while enabling employees to clock in wherever business is conducted. Advanced features include specifying geographic parameters for mobile punch-in, requiring employees to punch in with a photo, answering attestation prompts and other health and safety checks.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Talent</w:t>
      </w:r>
    </w:p>
    <w:p>
      <w:pPr>
        <w:spacing w:after="0" w:line="225"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i w:val="1"/>
          <w:iCs w:val="1"/>
          <w:color w:val="auto"/>
        </w:rPr>
        <w:t xml:space="preserve">Recruiting </w:t>
      </w:r>
      <w:r>
        <w:rPr>
          <w:rFonts w:ascii="Arial" w:cs="Arial" w:eastAsia="Arial" w:hAnsi="Arial"/>
          <w:sz w:val="17"/>
          <w:szCs w:val="17"/>
          <w:color w:val="auto"/>
        </w:rPr>
        <w:t>– Recruiting helps clients find the right candidates by offering intuitive tools to streamline talent acquisition processes from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creation to candidate acceptance. By modernizing the experience, clients can conveniently reach candidates wherever they are, including through embedded text messaging, and instantly track conversations in our platform. HR professionals can customize job applications and reach more candidates by automatically posting to online job portals. To promote an inclusive culture, clients can activate masking of certain candidate details to promote recruiting without bias, while still collecting all essential details, including diversity information. Additionally, our solution provides clients with the ability to auto-fill and simplify background checks, maintain and track personal and confidential data, and have real-time access to candidate information to enable timely staffing decisions. Recruiters can communicate with modern candidates in the ways they expect, including email and text messaging from right within our platform.</w:t>
      </w:r>
    </w:p>
    <w:p>
      <w:pPr>
        <w:spacing w:after="0" w:line="178" w:lineRule="exact"/>
        <w:rPr>
          <w:sz w:val="20"/>
          <w:szCs w:val="20"/>
          <w:color w:val="auto"/>
        </w:rPr>
      </w:pPr>
    </w:p>
    <w:p>
      <w:pPr>
        <w:ind w:left="660" w:right="140"/>
        <w:spacing w:after="0" w:line="301" w:lineRule="auto"/>
        <w:rPr>
          <w:sz w:val="20"/>
          <w:szCs w:val="20"/>
          <w:color w:val="auto"/>
        </w:rPr>
      </w:pPr>
      <w:r>
        <w:rPr>
          <w:rFonts w:ascii="Arial" w:cs="Arial" w:eastAsia="Arial" w:hAnsi="Arial"/>
          <w:sz w:val="16"/>
          <w:szCs w:val="16"/>
          <w:i w:val="1"/>
          <w:iCs w:val="1"/>
          <w:color w:val="auto"/>
        </w:rPr>
        <w:t xml:space="preserve">Onboarding </w:t>
      </w:r>
      <w:r>
        <w:rPr>
          <w:rFonts w:ascii="Arial" w:cs="Arial" w:eastAsia="Arial" w:hAnsi="Arial"/>
          <w:sz w:val="16"/>
          <w:szCs w:val="16"/>
          <w:color w:val="auto"/>
        </w:rPr>
        <w:t>– Onboarding enables new employees to complete all pre-hire tasks through digital data collection to gather important personal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157"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i w:val="1"/>
          <w:iCs w:val="1"/>
          <w:color w:val="auto"/>
        </w:rPr>
        <w:t xml:space="preserve">Learning </w:t>
      </w:r>
      <w:r>
        <w:rPr>
          <w:rFonts w:ascii="Arial" w:cs="Arial" w:eastAsia="Arial" w:hAnsi="Arial"/>
          <w:sz w:val="16"/>
          <w:szCs w:val="16"/>
          <w:color w:val="auto"/>
        </w:rPr>
        <w:t>– Our Learning tools allow clients to easily assign courses tailored to training their employees on new skills, policies,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topics with a variety of course delivery methods including on-demand and webinars, all of which are available via our mobile app. Our clients can create a variety of content for their employees including via a Sharable Content Object Reference Model (SCORM), embedded video and various document types. The client’s custom content is supplemented by a library of standard trainings provided by Paylocity to help in areas like anti-harassment, new hire, workplace safety, diversity in recruiting and many more. Clients can also empower their employees to create trainings so that internal subject matter experts can share their expertise with colleagues. LMS also offers numerous diversity, equity, inclusion and accessibility courses, modules, and instructional kits to help ensure employees are educated to support a diverse workforce.</w:t>
      </w:r>
    </w:p>
    <w:p>
      <w:pPr>
        <w:spacing w:after="0" w:line="166" w:lineRule="exact"/>
        <w:rPr>
          <w:sz w:val="20"/>
          <w:szCs w:val="20"/>
          <w:color w:val="auto"/>
        </w:rPr>
      </w:pPr>
    </w:p>
    <w:p>
      <w:pPr>
        <w:ind w:left="660" w:right="140"/>
        <w:spacing w:after="0" w:line="296" w:lineRule="auto"/>
        <w:rPr>
          <w:sz w:val="20"/>
          <w:szCs w:val="20"/>
          <w:color w:val="auto"/>
        </w:rPr>
      </w:pPr>
      <w:r>
        <w:rPr>
          <w:rFonts w:ascii="Arial" w:cs="Arial" w:eastAsia="Arial" w:hAnsi="Arial"/>
          <w:sz w:val="16"/>
          <w:szCs w:val="16"/>
          <w:i w:val="1"/>
          <w:iCs w:val="1"/>
          <w:color w:val="auto"/>
        </w:rPr>
        <w:t xml:space="preserve">Performance </w:t>
      </w:r>
      <w:r>
        <w:rPr>
          <w:rFonts w:ascii="Arial" w:cs="Arial" w:eastAsia="Arial" w:hAnsi="Arial"/>
          <w:sz w:val="16"/>
          <w:szCs w:val="16"/>
          <w:color w:val="auto"/>
        </w:rPr>
        <w:t>– Our Performance tools enable transparent, two-way communication, allowing teams to have ongoing performance conversations.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ability to manage employee review cycles at the center of the performance management solution, employees can also manage goals and track their career development. Our tools help facilitate ongoing, goals-driven conversations using Journals, giving employees a record of their tasks, goals and accomplishments. Additionally, our clients can prepare succession planning assessments across their employee population by using our 9-box tool that provides context to employees’ performance and the ability to visualize the distribution of their workforce.</w:t>
      </w:r>
    </w:p>
    <w:p>
      <w:pPr>
        <w:spacing w:after="0" w:line="161"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 Our Compensation tools help clients ensure alignment between organizational goals, budgets and participant eligibility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process 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receives—including not just pay, but also benefits, time off, and more.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jc w:val="both"/>
        <w:ind w:left="660" w:right="340"/>
        <w:spacing w:after="0" w:line="263" w:lineRule="auto"/>
        <w:rPr>
          <w:sz w:val="20"/>
          <w:szCs w:val="20"/>
          <w:color w:val="auto"/>
        </w:rPr>
      </w:pPr>
      <w:r>
        <w:rPr>
          <w:rFonts w:ascii="Arial" w:cs="Arial" w:eastAsia="Arial" w:hAnsi="Arial"/>
          <w:sz w:val="18"/>
          <w:szCs w:val="18"/>
          <w:i w:val="1"/>
          <w:iCs w:val="1"/>
          <w:color w:val="auto"/>
        </w:rPr>
        <w:t xml:space="preserve">Benefit Enrollment &amp; Updates </w:t>
      </w:r>
      <w:r>
        <w:rPr>
          <w:rFonts w:ascii="Arial" w:cs="Arial" w:eastAsia="Arial" w:hAnsi="Arial"/>
          <w:sz w:val="18"/>
          <w:szCs w:val="18"/>
          <w:color w:val="auto"/>
        </w:rPr>
        <w:t>– Clients can plan and administer competitive benefits packages in one place while offering a smooth, mobile-friendly enrollment and management experience for employees with our tool. Benefit administrators can add enrollment rules, manage benefit offerings for different employee groups, customize user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plan limits, and view plan documentation, among other features. Employees can manage their own elections in Employee Self Service or via the mobile app, access open enrollment, account balances and more. Clients can also use embedded experiences like notifications and training to help employees easily stay apprised of important dates and understand the benefit options available to them.</w:t>
      </w:r>
    </w:p>
    <w:p>
      <w:pPr>
        <w:spacing w:after="0" w:line="165"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i w:val="1"/>
          <w:iCs w:val="1"/>
          <w:color w:val="auto"/>
        </w:rPr>
        <w:t xml:space="preserve">Third-Party Administrative (TPA) Solutions </w:t>
      </w:r>
      <w:r>
        <w:rPr>
          <w:rFonts w:ascii="Arial" w:cs="Arial" w:eastAsia="Arial" w:hAnsi="Arial"/>
          <w:sz w:val="18"/>
          <w:szCs w:val="18"/>
          <w:color w:val="auto"/>
        </w:rPr>
        <w:t>– Our TPA solutions are designed to modernize the administration of HSA, FSA, Health</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These solutions also ease the administration of COBRA coverage and retiree billing.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Experiences</w:t>
      </w:r>
    </w:p>
    <w:p>
      <w:pPr>
        <w:spacing w:after="0" w:line="225" w:lineRule="exact"/>
        <w:rPr>
          <w:sz w:val="20"/>
          <w:szCs w:val="20"/>
          <w:color w:val="auto"/>
        </w:rPr>
      </w:pPr>
    </w:p>
    <w:p>
      <w:pPr>
        <w:ind w:left="660" w:right="100"/>
        <w:spacing w:after="0" w:line="289" w:lineRule="auto"/>
        <w:rPr>
          <w:sz w:val="20"/>
          <w:szCs w:val="20"/>
          <w:color w:val="auto"/>
        </w:rPr>
      </w:pPr>
      <w:r>
        <w:rPr>
          <w:rFonts w:ascii="Arial" w:cs="Arial" w:eastAsia="Arial" w:hAnsi="Arial"/>
          <w:sz w:val="16"/>
          <w:szCs w:val="16"/>
          <w:i w:val="1"/>
          <w:iCs w:val="1"/>
          <w:color w:val="auto"/>
        </w:rPr>
        <w:t xml:space="preserve">Community </w:t>
      </w:r>
      <w:r>
        <w:rPr>
          <w:rFonts w:ascii="Arial" w:cs="Arial" w:eastAsia="Arial" w:hAnsi="Arial"/>
          <w:sz w:val="16"/>
          <w:szCs w:val="16"/>
          <w:color w:val="auto"/>
        </w:rPr>
        <w:t>– Community is an integrated part of our platform that streamlines communication and fosters a culture of engagement not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broadcast emails, antiquated intranets or break room bulletin boards. It empowers clients to engage all employees—even those that are remote, on-the-go or do not have corporate email, which is more critical than ever in the new hybrid world of work. With Community, clients can optimize “broadcast” communications with a company feed that streamlines announcements into a single location. Announcements can be managed, sent and tracked with an intuitive dashboard. Clients can support their employees at scale with Ask an Expert groups where employees can pose questions to designated group experts who manage questions from a dashboard. Community also offers premium capabilities such as one-to-one and one-to many chat functionality to improve real-time communication; the ability to upload, create, edit, and share files; the automatic creation of team groups for supervisors and direct reports; updated user profiles allowing employees to list interests, team members, education, skills or hobbies and enhanced directory and search capability to easily find, follow and engage with co-workers.</w:t>
      </w:r>
    </w:p>
    <w:p>
      <w:pPr>
        <w:spacing w:after="0" w:line="166"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i w:val="1"/>
          <w:iCs w:val="1"/>
          <w:color w:val="auto"/>
        </w:rPr>
        <w:t xml:space="preserve">Video </w:t>
      </w:r>
      <w:r>
        <w:rPr>
          <w:rFonts w:ascii="Arial" w:cs="Arial" w:eastAsia="Arial" w:hAnsi="Arial"/>
          <w:sz w:val="18"/>
          <w:szCs w:val="18"/>
          <w:color w:val="auto"/>
        </w:rPr>
        <w:t>– Video provides clients the ability to record, upload and embed videos across our HCM platform to increase collaboration, morale,</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and productivity. Clients can embed videos seamlessly into tasks that are critical to their business such as leadership announcements, job postings, onboarding, performance journals, surveys and more.</w:t>
      </w:r>
    </w:p>
    <w:p>
      <w:pPr>
        <w:spacing w:after="0" w:line="18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i w:val="1"/>
          <w:iCs w:val="1"/>
          <w:color w:val="auto"/>
        </w:rPr>
        <w:t xml:space="preserve">Surveys </w:t>
      </w:r>
      <w:r>
        <w:rPr>
          <w:rFonts w:ascii="Arial" w:cs="Arial" w:eastAsia="Arial" w:hAnsi="Arial"/>
          <w:sz w:val="18"/>
          <w:szCs w:val="18"/>
          <w:color w:val="auto"/>
        </w:rPr>
        <w:t>– Our Surveys tool help clients gather valuable employee feedback to encourage ongoing and transparent conversations while staying in</w:t>
      </w:r>
      <w:r>
        <w:rPr>
          <w:rFonts w:ascii="Arial" w:cs="Arial" w:eastAsia="Arial" w:hAnsi="Arial"/>
          <w:sz w:val="18"/>
          <w:szCs w:val="18"/>
          <w:i w:val="1"/>
          <w:iCs w:val="1"/>
          <w:color w:val="auto"/>
        </w:rPr>
        <w:t xml:space="preserve"> </w:t>
      </w:r>
      <w:r>
        <w:rPr>
          <w:rFonts w:ascii="Arial" w:cs="Arial" w:eastAsia="Arial" w:hAnsi="Arial"/>
          <w:sz w:val="18"/>
          <w:szCs w:val="18"/>
          <w:color w:val="auto"/>
        </w:rPr>
        <w:t>touch with their workforce.</w:t>
      </w:r>
    </w:p>
    <w:p>
      <w:pPr>
        <w:spacing w:after="0" w:line="170" w:lineRule="exact"/>
        <w:rPr>
          <w:sz w:val="20"/>
          <w:szCs w:val="20"/>
          <w:color w:val="auto"/>
        </w:rPr>
      </w:pPr>
    </w:p>
    <w:p>
      <w:pPr>
        <w:ind w:left="660" w:right="180"/>
        <w:spacing w:after="0" w:line="308" w:lineRule="auto"/>
        <w:rPr>
          <w:sz w:val="20"/>
          <w:szCs w:val="20"/>
          <w:color w:val="auto"/>
        </w:rPr>
      </w:pPr>
      <w:r>
        <w:rPr>
          <w:rFonts w:ascii="Arial" w:cs="Arial" w:eastAsia="Arial" w:hAnsi="Arial"/>
          <w:sz w:val="17"/>
          <w:szCs w:val="17"/>
          <w:color w:val="auto"/>
        </w:rPr>
        <w:t>Recognition &amp; Rewards – Recognition &amp; Rewards promotes positive interactions by allowing employees to recognize and celebrate colleagues’ achievements. It also gives employees the ability to post accolades on their profiles and share with co-workers.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Insights &amp; Recommendations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Modern Workforce Index </w:t>
      </w:r>
      <w:r>
        <w:rPr>
          <w:rFonts w:ascii="Arial" w:cs="Arial" w:eastAsia="Arial" w:hAnsi="Arial"/>
          <w:sz w:val="18"/>
          <w:szCs w:val="18"/>
          <w:color w:val="auto"/>
        </w:rPr>
        <w:t>– Leveraging data from more than 36,200 clients, our patent-pending Modern Workforce Index (MWI) puts sophisticated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AI into an HR intelligence dashboard that gives clients insight into employee sentiment, performance metrics, and engagement. With MWI, clients can identify gaps and get smart, actionable recommendations on how to improve their organization’s health by increasing employee productivity and reducing turnover.</w:t>
      </w:r>
    </w:p>
    <w:p>
      <w:pPr>
        <w:spacing w:after="0" w:line="187"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i w:val="1"/>
          <w:iCs w:val="1"/>
          <w:color w:val="auto"/>
        </w:rPr>
        <w:t xml:space="preserve">Data Insights </w:t>
      </w:r>
      <w:r>
        <w:rPr>
          <w:rFonts w:ascii="Arial" w:cs="Arial" w:eastAsia="Arial" w:hAnsi="Arial"/>
          <w:sz w:val="18"/>
          <w:szCs w:val="18"/>
          <w:color w:val="auto"/>
        </w:rPr>
        <w:t>– With our Data Insights solution, our clients can evaluate the health of their organizations with actionable insights in areas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 turnover, labor costs and composition of their employee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populations so they can customize, fund and deploy strategies to support diverse employees and identify needs of underrepresented groups.</w:t>
      </w:r>
    </w:p>
    <w:p>
      <w:pPr>
        <w:spacing w:after="0" w:line="237" w:lineRule="exact"/>
        <w:rPr>
          <w:sz w:val="20"/>
          <w:szCs w:val="20"/>
          <w:color w:val="auto"/>
        </w:rPr>
      </w:pPr>
    </w:p>
    <w:p>
      <w:pPr>
        <w:ind w:left="660" w:right="280"/>
        <w:spacing w:after="0" w:line="342" w:lineRule="auto"/>
        <w:rPr>
          <w:sz w:val="20"/>
          <w:szCs w:val="20"/>
          <w:color w:val="auto"/>
        </w:rPr>
      </w:pPr>
      <w:r>
        <w:rPr>
          <w:rFonts w:ascii="Arial" w:cs="Arial" w:eastAsia="Arial" w:hAnsi="Arial"/>
          <w:sz w:val="16"/>
          <w:szCs w:val="16"/>
          <w:i w:val="1"/>
          <w:iCs w:val="1"/>
          <w:color w:val="auto"/>
        </w:rPr>
        <w:t xml:space="preserve">Reporting </w:t>
      </w:r>
      <w:r>
        <w:rPr>
          <w:rFonts w:ascii="Arial" w:cs="Arial" w:eastAsia="Arial" w:hAnsi="Arial"/>
          <w:sz w:val="16"/>
          <w:szCs w:val="16"/>
          <w:color w:val="auto"/>
        </w:rPr>
        <w:t>– Clients can build and customize reports within our platform. We also offer hundreds of standard reports that clients can use as is or</w:t>
      </w:r>
      <w:r>
        <w:rPr>
          <w:rFonts w:ascii="Arial" w:cs="Arial" w:eastAsia="Arial" w:hAnsi="Arial"/>
          <w:sz w:val="16"/>
          <w:szCs w:val="16"/>
          <w:i w:val="1"/>
          <w:iCs w:val="1"/>
          <w:color w:val="auto"/>
        </w:rPr>
        <w:t xml:space="preserve"> </w:t>
      </w:r>
      <w:r>
        <w:rPr>
          <w:rFonts w:ascii="Arial" w:cs="Arial" w:eastAsia="Arial" w:hAnsi="Arial"/>
          <w:sz w:val="16"/>
          <w:szCs w:val="16"/>
          <w:color w:val="auto"/>
        </w:rPr>
        <w:t>adjust to suit their needs. New reports are added regularly in response to regulatory changes, compliance updates and client feedback.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Support Teams</w:t>
      </w:r>
    </w:p>
    <w:p>
      <w:pPr>
        <w:spacing w:after="0" w:line="229"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clients are typically either migrating to our platform from a competitive solution or are adopting their first online HCM and payroll solution. These organizations often have limited internal resources and rely on us to implement their HCM and payroll solutions. We typically implement our product suite within one to eight weeks, depending on the size and complexity of each client.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9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offer clients the opportunity to utilize on-demand or in-class training designed to provide clients with general knowledge on our solutions. We also host an annual client conference for clients to learn about new products and features and allow clients to provide feedback and learn best practices.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Service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client service model is designed to serve and support the needs of our clients and to build loyalty by developing strong relationships with clients. We strive to achieve high revenue retention, in part, by delivering high-quality service. Our revenue retention was greater than 92% in each of fiscal 2021, 2022 and 2023. Each client is assigned an account management team that serves as the central point of contact for any questions or support needs. We believe this approach enhances client service by providing clients with knowledgeable resources who understand the client’s business,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provides industry content and Paylocity product and service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ensure that clients remit timely and accurate tax payments. In addition, a series of audit routines are run to ensure that quarterly tax filings are accurate and submitted on a timely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Excluding clients acquired through acquisitions, as of June 30, 2023, we provided our HCM and payroll software solutions to approximately 36,200 clients, across the U.S. The rate at which we add clients is variable period-to-period and is also seasonal as many clients switch solutions during the first calendar quarter of the year. Clients include for-profit and non-profit organizations across industries including business services, financial services, healthcare, manufacturing,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restaurants, retail, technology and others. For each of the three years ended June 30, 2021, 2022 and 2023, no client accounted for more than 1% of our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84" w:lineRule="exact"/>
        <w:rPr>
          <w:sz w:val="20"/>
          <w:szCs w:val="20"/>
          <w:color w:val="auto"/>
        </w:rPr>
      </w:pPr>
    </w:p>
    <w:p>
      <w:pPr>
        <w:ind w:right="560" w:firstLine="648"/>
        <w:spacing w:after="0" w:line="311" w:lineRule="auto"/>
        <w:rPr>
          <w:sz w:val="20"/>
          <w:szCs w:val="20"/>
          <w:color w:val="auto"/>
        </w:rPr>
      </w:pPr>
      <w:r>
        <w:rPr>
          <w:rFonts w:ascii="Arial" w:cs="Arial" w:eastAsia="Arial" w:hAnsi="Arial"/>
          <w:sz w:val="16"/>
          <w:szCs w:val="16"/>
          <w:color w:val="auto"/>
        </w:rPr>
        <w:t>The sales cycle begins with a sales lead generated by the sales representative, through our third-party referral network, a client referral, our telemarketing team, our external website, marketing lead generation strategies or other territory-based activities. We support our sales force with a marketing program that includes seminars and webinars, email marketing, social media marketing, broker events and web marketing.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Referral Network</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2023, more than 25% of our new client revenue originated by referrals from participants in our referral network.</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HCM and payroll solution providers who also provide retirement plans, health insurance and other products and services competitive with the offerings of the participants in our referral network, we focus only on our core business of providing HCM and payroll solutions. In some cases, we have formalized relationships in which we are a recommended vendor of these participants. In other cases, the relationships are informal. We typically do not compensate these participants for referrals.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9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 HCM and payroll provider differentiates partners’ product offerings, strengthening their competitive positioning in their own markets.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offer our solutions on a cloud-based platform that leverages a unified architecture and a common code base that we organically developed.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Clients do not need to install our software in their data centers and can access our solutions through any mobile device or web browser with Internet access.</w:t>
      </w:r>
    </w:p>
    <w:p>
      <w:pPr>
        <w:spacing w:after="0" w:line="234" w:lineRule="exact"/>
        <w:rPr>
          <w:sz w:val="20"/>
          <w:szCs w:val="20"/>
          <w:color w:val="auto"/>
        </w:rPr>
      </w:pPr>
    </w:p>
    <w:p>
      <w:pPr>
        <w:ind w:left="1300" w:right="20" w:hanging="320"/>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Multi-Tenant Architecture. </w:t>
      </w:r>
      <w:r>
        <w:rPr>
          <w:rFonts w:ascii="Arial" w:cs="Arial" w:eastAsia="Arial" w:hAnsi="Arial"/>
          <w:sz w:val="16"/>
          <w:szCs w:val="16"/>
          <w:color w:val="auto"/>
        </w:rPr>
        <w:t>Our software solutions were designed with a multi-tenant architecture. This architecture gives us an advantage</w:t>
      </w:r>
      <w:r>
        <w:rPr>
          <w:rFonts w:ascii="Arial" w:cs="Arial" w:eastAsia="Arial" w:hAnsi="Arial"/>
          <w:sz w:val="16"/>
          <w:szCs w:val="16"/>
          <w:i w:val="1"/>
          <w:iCs w:val="1"/>
          <w:color w:val="auto"/>
        </w:rPr>
        <w:t xml:space="preserve"> </w:t>
      </w:r>
      <w:r>
        <w:rPr>
          <w:rFonts w:ascii="Arial" w:cs="Arial" w:eastAsia="Arial" w:hAnsi="Arial"/>
          <w:sz w:val="16"/>
          <w:szCs w:val="16"/>
          <w:color w:val="auto"/>
        </w:rPr>
        <w:t>over many disparate traditional systems, which are less flexible and require longer and more costly development and upgrade cycles.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line="30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Mobile Focused. </w:t>
      </w:r>
      <w:r>
        <w:rPr>
          <w:rFonts w:ascii="Arial" w:cs="Arial" w:eastAsia="Arial" w:hAnsi="Arial"/>
          <w:sz w:val="16"/>
          <w:szCs w:val="16"/>
          <w:color w:val="auto"/>
        </w:rPr>
        <w:t>We employ mobile-centric principles in our solution design and development. We believe that the increasing mobility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57" w:lineRule="exact"/>
        <w:rPr>
          <w:rFonts w:ascii="Arial" w:cs="Arial" w:eastAsia="Arial" w:hAnsi="Arial"/>
          <w:sz w:val="16"/>
          <w:szCs w:val="16"/>
          <w:color w:val="auto"/>
        </w:rPr>
      </w:pPr>
    </w:p>
    <w:p>
      <w:pPr>
        <w:ind w:left="1300" w:right="20" w:hanging="320"/>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We maintain comprehensive security programs designed to ensure the security and integrity of client and employee data,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88"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market for HCM and payroll solutions is both fragmented and highly competitive. Our competitors vary for each of our solutions and primarily include payroll and HR service and software providers, such as Automatic Data Processing, Inc., Ceridian HCM Holding Inc., Paychex, Inc., Paycom Software, Inc., Paycor, Inc., Ultimate Kronos Group and other local and regional providers.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Solutions built to connect with today’s modern workforce;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HCM and payroll product suite on a single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Modern, mobile, intuitive and consumer-oriented user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Domain expertise in HCM and payroll;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a wide variety of complementary third-party service providers.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6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Research and development costs, including research and development costs that were capitalized, were $108.5 million, $145.1 million and $219.6 million for the years ended June 30, 2021, 2022 and 2023,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the most essential means to establishing and maintaining our technology leadership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a provider of HCM and payroll solutions, our systems contain a significant amount of sensitive data related to clients, employees of our clients, business partners and our employees. Data privacy is a significant issue for organizations globally, including those in the United States. The regulatory framework for privacy issues worldwide is rapidly evolving and is likely to remain so for the foreseeable future. 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as amended by the California Privacy Rights Act of 2020 (“CPRA”) and the Illinois Biometric Information Privacy Act (“BIPA”). Further, because some of our clients have international operations and employees, the European Union General Data Protection Regulation (“GDPR”) and other foreign data privacy laws may impact our processing of certain client and employee information.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many of our solutions are designed to assist clients with their compliance with certain U.S. federal, state and local laws and regulations that apply to them. As such, our products and services may become subject to increasing and/or changing regulatory requirements, including changes in tax, benefit and other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w:t>
      </w:r>
    </w:p>
    <w:p>
      <w:pPr>
        <w:spacing w:after="0" w:line="16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ability to comply with and address the continuously evolving requirements and regulations applicable to our business depends on a variety of factors, including the functionality and design of our solutions and the manner in which our clients and their employees utilize them. We have implemented operating policies and procedures to protect the accuracy, privacy and security of our clients’ and their employees’ information and voluntarily undergo certain periodic audits and examinations and maintain certain certifications to demonstrate our commitment to regulatory compliance.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does not include an exhaustive list of the laws and regulations governing or impacting our business. See the discussion contained in the “Risk Factors” section in Part I, Item 1A of this Annual Report on Form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10-K for information regarding changes in laws and regulations that could have a materially adverse effect on our business, operating results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a leading provider of cloud-based HCM and payroll software solutions, we are committed to delivering the most modern suite of solutions that drive employee engagement and a more connected culture for both our clients and our employees. Our Co-CEOs, together with our senior executive team and Board of Directors, drive our human capital strategy including key initiatives related to our employees and company culture.</w:t>
      </w:r>
    </w:p>
    <w:p>
      <w:pPr>
        <w:spacing w:after="0" w:line="16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additional information regarding our human capital initiatives, we encourage investors and other users of this Annual Report on Form 10-K to visit our Corporate Social Responsibility website at https://www.paylocity.com/who-we-are/about-us/corporate-responsibility/. The information contained on this website is not incorporated by reference into this Annual Report on Form 10-K.</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June 30, 2023, our workforce consisted of approximately 6,100 employees, substantially all of whom were employed on a full-time basis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Culture &amp; Engagement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At Paylocity, we strive to be an organization where every employee has a voice,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Forbes 2023 Best Employers for Diversity, Forbes 2023 Best Employers for Women, Forbes 2022 America’s Best Mid-Size Employers and was also Great Place To Work certified on multiple occasions.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support a number of employee resource groups (“ERGs”) including PCTY Equality, which focuses on fostering a positive work environment and providing support for employees and allies of the LGBTQIA+ community, our PCTY OneWorld group, which fosters an inclusive work environment and provides support for our employees of diverse ethnic backgrounds, PCTY Sheroes, which supports and celebrates women, PCTY Sustainability, whereby our employees support initiatives to operate our business and facilities to conserve energy, water and raw materials, and our PCTY Mental Health, which promotes a psychologically safe and healthy workplace where employees bring their whole selves to work and their mental well-being is supported. Each of these groups is organized to give employees the chance to build community and connections, voice their ideas and perspectives, personally develop and grow, and shape our culture to make a difference at work and in our local communities.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Diversity, Equity, Inclusion and Accessibility</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Dedication to diversity, equity, inclusion and accessibility (“DEIA”) is foundational to our culture. Led by our Chief Diversity Officer and Diversity Leadership Council, we remain committed to increasing the representation of minority groups within our organization, including in leadership roles, and we directly focus on these goals within our talent acquisition and employee development efforts. Our focus includes attracting diverse candidates to our organization while also investing in professional development and mentorship programs focused on underrepresented employee groups.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June 30, 2023, approximately 51% of our employees identified as female and approximately 43% of director roles and above were held by a female. For our U.S. employees, approximately 34% of our employees were made up of underrepresented minorities and approximately 27% of our director roles and above were held by underrepresented minorities as of June 30, 2023. The following table provides the ethnicity breakdown of our U.S. employees as of June 30, 2023.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740" w:type="dxa"/>
            <w:vAlign w:val="bottom"/>
            <w:gridSpan w:val="2"/>
          </w:tcPr>
          <w:p>
            <w:pPr>
              <w:ind w:left="4540"/>
              <w:spacing w:after="0"/>
              <w:rPr>
                <w:sz w:val="20"/>
                <w:szCs w:val="20"/>
                <w:color w:val="auto"/>
              </w:rPr>
            </w:pPr>
            <w:r>
              <w:rPr>
                <w:rFonts w:ascii="Arial" w:cs="Arial" w:eastAsia="Arial" w:hAnsi="Arial"/>
                <w:sz w:val="14"/>
                <w:szCs w:val="14"/>
                <w:b w:val="1"/>
                <w:bCs w:val="1"/>
                <w:color w:val="auto"/>
              </w:rPr>
              <w:t>Ethnicity</w:t>
            </w:r>
          </w:p>
        </w:tc>
        <w:tc>
          <w:tcPr>
            <w:tcW w:w="150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U.S. Employees</w:t>
            </w:r>
          </w:p>
        </w:tc>
      </w:tr>
      <w:tr>
        <w:trPr>
          <w:trHeight w:val="23"/>
        </w:trPr>
        <w:tc>
          <w:tcPr>
            <w:tcW w:w="9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American Indian or Alaskan Native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Asian &amp; Indian</w:t>
            </w:r>
          </w:p>
        </w:tc>
        <w:tc>
          <w:tcPr>
            <w:tcW w:w="1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 Or African American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Hispanic &amp; Latinx</w:t>
            </w:r>
          </w:p>
        </w:tc>
        <w:tc>
          <w:tcPr>
            <w:tcW w:w="1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57"/>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Multiracial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Native Hawaiian or Pacific Islander</w:t>
            </w: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63"/>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5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Undisclosed*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82"/>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Overall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Individuals preferred to not disclose an ethnicity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support our DEIA efforts, we offer a curriculum of learning and training content known as “BRIDGE” (Belonging, Respect, Inclusion, Diversity, Generosity, and Equity), that delivers training content related to topics such as unconscious bias, inclusive leadership and building diverse teams. The BRIDGE training program features self-paced courses, leadership roundtables, and knowledge briefs. Our curriculum is designed with the needs of both our employees and clients in mind, with content widely available via our Learning tools.</w:t>
      </w:r>
    </w:p>
    <w:p>
      <w:pPr>
        <w:spacing w:after="0" w:line="187"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We also strive to cultivate the most inclusive workplace culture possible. Our employee self-identification functionality allows employees to self-identify in areas such as disability, race, ethnicity, gender, gender identity, veteran status, sexual orientation, and personal pronouns. This data provides an accurate view of our diverse workforce so we can better customize, fund, and initiate specialized programming, accommodations and strategies.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Learning &amp; Development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committed to creating industry leading talent development and leadership programs that support the professional growth of our employees. In 2023, we were named a BEST Awards organization by the Association for Talent Development for the third consecutive year. We now offer professional development courses to all employees including topics like preparing for an interview, building a career path as well as leadership topics like delegation and leading a hybrid team. We also provide our operations team with an immersive scenario-based training program and our salesforce with an intensive learning experience on our go-to-market sales strategy and process. Through our internally developed Learning tool with Video, we enable employees to share knowledge through self-recorded sessions, which complements our library consisting of hundreds of internal courses. We continue to invest in our employees by providing development opportunities through our Leader of Others program, which is designed to help prepare new leaders to guide their team to high performance. This leadership program, combined with our strong culture, increasingly results in our employees stepping into larger roles within the organization.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Talent Acquisition &amp; Compensation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focus diligently on attracting a diverse pool of talented candidates that can help us achieve our short and long-term goals as an organization. Our philosophy of “talent anywhere” focuses on identifying the right individuals for our business, regardless of where they are located geographically. For Paylocity, the right talent is someone who embodies our values, has an innate curiosity to learn and grow with our business, and has a diverse perspective on how best to accomplish our goals. We have embraced flexible working arrangements which we believe are essential to enable our employees to work in the environment that best suits their needs.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compensation approach is centered around a philosophy that allows us to compete for and retain the right talent to grow our organization, while being consistent and equitable. Our total rewards program includes competitive pay, a restricted stock program that covers more than half of our employee base, an employee stock purchase program, the ability to receive a portion of earned wages before the end of the payroll cycle through our On-Demand Payment product, market competitive retirement benefits, paid time off and many other benefits. We partner with best-in-class organizations to ensure that we utilize the most current data to serve as a foundation of our compensation strategy.</w:t>
      </w:r>
    </w:p>
    <w:p>
      <w:pPr>
        <w:spacing w:after="0" w:line="17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are also committed to supporting the health and well-being of our employees and offer a multitude of resources to assist in these efforts. In addition to traditional benefit offerings, we provide all employees with innovative perks and benefits, such as flexible work schedules, paid parental leave, adoption assistance, employer-paid short term disability, health advocacy services, paid time off to volunteer, tuition reimbursement, the ability to consolidate and refinance federal and private student loans, interest free employee loans and many others. We are also very proud to offer a benefits package that is certified by the World Professional Association for Transgender Health.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PCTY Gives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Giving back to our local communities takes many forms at Paylocity. Through PCTY Gives, we mobilize our technology, people and resources across the country through in-kind donations, our Elevate Your Passions (“EYP”) Grant Program, Volunteers in Action paid time-off, signature program funding, corporate sponsored volunteerism and many other initiatives. To support our employees and their communities, each quarter we donate to qualified 501 (c)(3) charities nominated by our employees through the EYP program. In addition to local charities, Paylocity partners with national organizations such as Big Brothers Big Sisters of America, American Red Cross, National Alliance on Mental Illness and Feeding America. To support the children of Paylocity employees, the Peter J. McGrail Scholarship program, named after our late CFO, provides higher education tuition assistance for selected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an Internet site, www.sec.gov, that includes filings of and information about issuers that file electronically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Our business, growth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due to a variety of factors, many of which are outside of our control.</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Due to this seasonality in our business, quarter-to-quarter comparisons of our operations are not necessarily meaningful and such comparisons should not be relied upon as indications of future performance. Additionally, fluctuation in quarterly results may negatively impact the price of our common stock.</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17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repeal of or changes to the laws and regulations related to the products and services which we offer;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disruptions caused by public health issues such as the coronavirus disease (“COVID-19”) pandemic;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Macroeconomic factors, including changes in interest rates and inflationary pressures;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negatively impact our operating results from period to period.</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market for our solutions is characterized by rapid technological advancements, including but not limited to artificial intelligence (“AI”) and machine learning,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 New technologies that involve AI or machine learning or that are created using AI or machine learning may emerge that are able to deliver HCM solutions at lower prices, more efficiently or more conveniently than our solutions, which could adversely impact our ability to compete. Additionally, if new technologies used in our products fail to operate as expected, our business may be negatively impacted.</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organizations will find superior to our competitors’ offerings and will continue to use. We intend to continue to invest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experienced rapid revenue and client base growth and intend to pursue continued growth as part of our business strategy.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and HR consultants,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in which we participate are highly competitive, and if we do not compete effectively, our operating results could be adversely affected.</w:t>
      </w:r>
    </w:p>
    <w:p>
      <w:pPr>
        <w:spacing w:after="0" w:line="2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market for HCM and payroll solutions is fragmented, highly competitive and rapidly changing. Our competitors vary for each of our solutions and primarily include payroll and HR service and software providers, such as Automatic Data Processing, Inc., Ceridian HCM Holding Inc., Paychex, Inc., Paycom Software, Inc., Paycor, Inc., Ultimate Kronos Group and other local and regional providers.</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Several of our competitors are larger and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factors, current or potential clients might accept competitive offerings in lieu of purchasing our offerings. We expect competition to continue for these reasons, and such competition could negatively impact our sales, profitability or market share.</w:t>
      </w:r>
    </w:p>
    <w:p>
      <w:pPr>
        <w:spacing w:after="0" w:line="16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have in the past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and adversely affect our reputation.</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 In the event of a catastrophic event with respect to one or more of our systems, we may experience an extended period of system unavailability, which could negatively impact our relationship with clients.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operate without interruption, both we and our clients must guard against:</w:t>
      </w:r>
    </w:p>
    <w:p>
      <w:pPr>
        <w:spacing w:after="0" w:line="225"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from fire, power loss, natural disasters, pandemics and other force majeure events outside our control;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In addition, our data center providers may be unable to keep up with our growing needs for capacity, may implement changes in service levels, may not renew these agreements on commercially reasonable terms, or may be acquired. We may be required to transfer our servers and other infrastructure to new data center facilities, and we may incur costs and experience service interruption in doing so. Interruptions in our services might reduce our revenues, subject us to potential liability or other expenses and adversely affect our reputation.</w:t>
      </w:r>
    </w:p>
    <w:p>
      <w:pPr>
        <w:spacing w:after="0" w:line="18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6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disruptions in the operations of third-party service providers.</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depend on relationships with certain third-party service providers to operate our business. 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where we currently do not have operations in and as a result may subjects us to regulatory, economic and political risks that are different from those in the United States.</w:t>
      </w:r>
    </w:p>
    <w:p>
      <w:pPr>
        <w:spacing w:after="0" w:line="15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currently have agreements with various major U.S.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 or restrict the dollar amounts of funds that they will process on behalf of our clients, their doing so may impede our ability to process funds and could have an adverse impact on our business. We have contingency plans in place in case of any failures of banks to process transfers that may impact our operations. However, a failure of one of our banking partners or a systemic shutdown of the banking industry could result in the loss of client funds or prevent us from accessing and processing funds on our clients’ behalf, which could have an adverse impact on our business and liquidity.</w:t>
      </w:r>
    </w:p>
    <w:p>
      <w:pPr>
        <w:spacing w:after="0" w:line="192" w:lineRule="exact"/>
        <w:rPr>
          <w:sz w:val="20"/>
          <w:szCs w:val="20"/>
          <w:color w:val="auto"/>
        </w:rPr>
      </w:pPr>
    </w:p>
    <w:p>
      <w:pPr>
        <w:ind w:right="320" w:firstLine="648"/>
        <w:spacing w:after="0" w:line="285" w:lineRule="auto"/>
        <w:rPr>
          <w:sz w:val="20"/>
          <w:szCs w:val="20"/>
          <w:color w:val="auto"/>
        </w:rPr>
      </w:pPr>
      <w:r>
        <w:rPr>
          <w:rFonts w:ascii="Arial" w:cs="Arial" w:eastAsia="Arial" w:hAnsi="Arial"/>
          <w:sz w:val="16"/>
          <w:szCs w:val="16"/>
          <w:color w:val="auto"/>
        </w:rPr>
        <w:t>In addition, we utilize certain third-party software in some of our products. Although we believe that there are alternatives for the functionality provided by the third party software, any significant interruption in the availability of such third-party software, or defects and errors in the third-party software, could have an adverse impact on our business unless and until we can replace the functionality provided by these products at a similar cost.</w:t>
      </w:r>
    </w:p>
    <w:p>
      <w:pPr>
        <w:spacing w:after="0" w:line="155"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success depends largely upon the continued services of our key executive officers. We also rely on our leadership team in the areas of product development, sales, implementation,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Competition for skilled employees across the United States and globally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70"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Our HCM and payroll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errors could also cause the information that we collect to be incomplete or contain inaccuracies that our clients, their employees and taxing and other regulatory authorities regard as significant.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may not be able to integrate the acquired personnel, operations and technologies successfully, or effectively manage the combined business following the acquisition. Factors that may negatively impact our operating results, business and financial position, without limitation include the following:</w:t>
      </w:r>
    </w:p>
    <w:p>
      <w:pPr>
        <w:spacing w:after="0" w:line="184"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operations, or services in a profitable manner;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modules and contract terms, including disparities in the revenues, licensing, support or professional services model of the acquired company;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Dilutive issuances of equity securities or the incurrence of debt.</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Intellectual Property Rights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57"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the systems of our clients or use of confidential information we obtain during the normal course of our business could result in the unauthorized disclosure of confidential information, identity and financial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We have security measures and controls in place to protect confidential information, prevent data loss, theft and other security breaches, including penetration tests of our systems by independent third parties. However,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HCM and payroll modules.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8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7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open source software in our products and solutions may expose us to additional risks and harm our intellectual property rights.</w:t>
      </w:r>
    </w:p>
    <w:p>
      <w:pPr>
        <w:spacing w:after="0" w:line="24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46"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Our products and services may become subject to increasing and/or changing regulatory requirements, including changes in tax, benefit, wage and hour, employment laws and other international and domestic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174" w:lineRule="exact"/>
        <w:rPr>
          <w:sz w:val="20"/>
          <w:szCs w:val="20"/>
          <w:color w:val="auto"/>
        </w:rPr>
      </w:pPr>
    </w:p>
    <w:p>
      <w:pPr>
        <w:ind w:right="20" w:firstLine="648"/>
        <w:spacing w:after="0" w:line="229" w:lineRule="auto"/>
        <w:rPr>
          <w:sz w:val="20"/>
          <w:szCs w:val="20"/>
          <w:color w:val="auto"/>
        </w:rPr>
      </w:pPr>
      <w:r>
        <w:rPr>
          <w:rFonts w:ascii="Arial" w:cs="Arial" w:eastAsia="Arial" w:hAnsi="Arial"/>
          <w:sz w:val="18"/>
          <w:szCs w:val="18"/>
          <w:color w:val="auto"/>
        </w:rPr>
        <w:t>Some of our products incorporate new technologies such as artificial intelligence and machine learning. The ability to provide products powered by new and evolving technologies must be approached in a principled manner to navigate the complexities associated with the current or future regulatory requirements as well as social and ethical considerations. Additionally, failure by others in our industry, or actions taken by our clients, employees, or other end users (including misuse of these technologies) could negatively affect the adoption of our solutions and restrict our ability to continue to leverage novel technologies in innovative ways and subject us to reputational harm, regulatory action, or legal liability, which may harm our financial condition and operating results.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privacy laws and regulations may have a material adverse effect on reputation, financial condition, and/or operations.</w:t>
      </w:r>
    </w:p>
    <w:p>
      <w:pPr>
        <w:spacing w:after="0" w:line="248"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Our processing of personal information for our employees and on behalf of our clients is subject to federal, state and international privacy laws. These laws, which are not uniform, generally regulate the collection, storage, transfer, and other processing of personal information; require notice to individuals of privacy practices before or at the point of collection; give individuals certain rights with respect to their personal information, including access, deletion and correction; regulate the use or disclosure of personal information for secondary purposes such as marketing; and require notification to affected individuals, clients, and/or regulators in the event of a data breach.</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HIPAA, as amended by the Health Information Technology for Economic and Clinical Health Act, and its implementing regulations, applies to our benefit administration solution, BeneFLEX. The European Union General Data Protection Regulation ("GDPR"), and state consumer privacy laws like the California Consumer Protection Act ("CCPA"), as amended by the California Privacy Rights Act of 2020 ("CPRA"), are among the most comprehensive privacy laws and apply to multiple areas of our business. Other countries and U.S. states are increasingly adopting similarly comprehensive laws that impose new data privacy protection requirements and restrictions on covered organizations. Notably, these laws can impose significant penalties and fines on organizations for non-compliance, such as 4% of worldwide revenue for the preceding year under the GDPR.</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The worldwide regulatory focus on privacy has intensified during the past several years, in part triggered by the GDPR, and has led to the rapid evolution of legal requirements related to the handling of personal information in ways that require our business to adapt to support our clients’ compliance. As this focus continues, the potential risks related to handling personal information by our business will only increase. To add to the complexity of the existing privacy landscape, many areas of existing privacy laws are subject to interpretation, which imposes an added risk that adverse interpretations of these laws by advocacy groups and governments in countries where our clients operate could impose significant obligations on our business or prevent us from offering certain services in jurisdictions where we currently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Enforcement actions and investigations by regulatory authorities related to security incidents and privacy violations continue to increase. Future enforcement actions or investigations could impact us through increased costs or restrictions on our businesses. A finding of noncompliance could result in significant regulatory penalties, legal liability and burdensome governmental oversight. Additionally, security events and concerns about privacy abuses by other companies are changing consumer and social expectations for enhanced privacy. As a result, a perception of noncompliance could damage our reputation with our current and potential clients, employees and stockholders.</w:t>
      </w:r>
    </w:p>
    <w:p>
      <w:pPr>
        <w:spacing w:after="0" w:line="18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71"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Certain of our debt agreements contain covenants that may constrain the operation of our business, and our failure to comply with these covenants could have a material adverse effect on our financial condition</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revolving credit agreement that we amended in August 2022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could have a negative impact on our business and financial condition.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As of July 28, 2023, our directors, executive officers and holders of more than 5% of our common stock, together with their respective affiliates, beneficially owned, in the aggregate, approximately 22.7%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84"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6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and</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events or factors, including changes in general conditions in the United States and global economies or financial markets (including acts of God, war, incidents of terrorism, inflationary pressures or other destabilizing events and the resulting responses to them).</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issuances of shares of our common stock could depress the market price of our common stock.</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second amended and restated certificate of incorporation authorizes the issuance of up to 155,000,000 shares of common stock and 5,000,000 shares of preferred stock with such rights, preferences, privileges and restrictions as determined by the board of directors. We may issue all or any portion of the capital stock which has been authorized but not issued subject to applicable rules and regulations, which, may not require any action or approval by our stockholders. Also, in the future, we may issue additional securities in connection with investments and acquisitions. The amount of our common stock issued in connection with an investment or acquisition could constitute a material portion of our then outstanding stock. Due to these factors, issuances of a substantial number of shares of our common stock into the public market could occur at any time which could dilute the ownership proportion of current stockholders.</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second amended and restated certificate of incorporation and second amended and restated bylaws may discourage, delay or prevent a change in our management or control over us that stockholders may consider favorable. Our amended and restated certificate of incorporation and bylaws:</w:t>
      </w:r>
    </w:p>
    <w:p>
      <w:pPr>
        <w:spacing w:after="0" w:line="161" w:lineRule="exact"/>
        <w:rPr>
          <w:sz w:val="20"/>
          <w:szCs w:val="20"/>
          <w:color w:val="auto"/>
        </w:rPr>
      </w:pPr>
    </w:p>
    <w:p>
      <w:pPr>
        <w:ind w:left="1300" w:right="26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170"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second amended and restated bylaws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and market conditions could affect our business, results of operations and financial condition.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business depends on the overall demand for HCM and payroll software and services, and on the economic health of our current and prospective clients. As a result, we are subject to risks arising from adverse changes in economic and market conditions such as lower employment levels, increasing interest rates, inflation, volatility in capital markets, and instability of the banking environment, among other factors. During a slowdown in the economy, clients may reduce their number of employees and delay or reduce their spending on payroll and other HCM solutions or renegotiate their contracts with us. This could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June 30, 2023, our corporate headquarters occupied approximately 326,000 square feet in Schaumburg, Illinois under leases with final expiration in October 2032. We also utilize office spaces consisting of approximately 70,000 square feet in Lake Mary, Florida and approximately 69,000 square feet in Meridian, Idaho as other major operations centers. We lease other smaller facilities, primarily across the U.S., that serve as data centers, sales offices and distribution centers.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additional information regarding obligations under operating leases, see Note 12 of the Notes to the Consolidated Financial Statements included in Part II, Item 8: “Financial Statements and Supplementary Data”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42" w:lineRule="exact"/>
        <w:rPr>
          <w:sz w:val="20"/>
          <w:szCs w:val="20"/>
          <w:color w:val="auto"/>
        </w:rPr>
      </w:pPr>
    </w:p>
    <w:p>
      <w:pPr>
        <w:jc w:val="center"/>
        <w:ind w:right="86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“PCTY”.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July 28, 2023, the last reported sale price of our common stock on the NASDAQ Global Select Market was $226.04 per share, and there were 15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22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have not declared or paid dividends on our common stock since our IPO. Neither Delaware law nor our second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graph compares the total cumulative stockholder return on our common stock with the total cumulative return of the S&amp;P 500 Index, the S&amp;P Software &amp; Services Select Industry Index and the S&amp;P 1500 Application Software Index during the period commencing on June 30, 2018 and ending on June 30, 2023. The graph assumes that $100 was invested at the beginning of the period in our common stock and in each of the comparative indices,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and the 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166370</wp:posOffset>
            </wp:positionV>
            <wp:extent cx="5254625" cy="3429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546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selected the S&amp;P Software &amp; Services Select Industry Index as our industry index, replacing the S&amp;P 1500 Application Software Index used in prior years, as we believe the S&amp;P Software &amp; Services Select Industry Index represents a more appropriate peer group. The cumulative total return of the S&amp;P 1500 Application Software Index is presented in the graph above as required by Item 201(e)(4)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49" w:lineRule="exact"/>
        <w:rPr>
          <w:sz w:val="20"/>
          <w:szCs w:val="20"/>
          <w:color w:val="auto"/>
        </w:rPr>
      </w:pPr>
    </w:p>
    <w:p>
      <w:pPr>
        <w:ind w:right="40"/>
        <w:spacing w:after="0" w:line="279" w:lineRule="auto"/>
        <w:rPr>
          <w:rFonts w:ascii="Arial" w:cs="Arial" w:eastAsia="Arial" w:hAnsi="Arial"/>
          <w:sz w:val="17"/>
          <w:szCs w:val="17"/>
          <w:i w:val="1"/>
          <w:iCs w:val="1"/>
          <w:u w:val="single" w:color="auto"/>
          <w:color w:val="0000FF"/>
        </w:rPr>
      </w:pPr>
      <w:r>
        <w:rPr>
          <w:rFonts w:ascii="Arial" w:cs="Arial" w:eastAsia="Arial" w:hAnsi="Arial"/>
          <w:sz w:val="17"/>
          <w:szCs w:val="17"/>
          <w:i w:val="1"/>
          <w:iCs w:val="1"/>
          <w:color w:val="auto"/>
        </w:rPr>
        <w:t>The following discussion of our financial condition and results of operations covers fiscal 2023 and 2022 items and year-over-year comparisons between fiscal 2023 and 2022. Discussion of fiscal 2021 items and year-over-year comparisons between fiscal 2022 and 2021 that are not included in this Form 10-</w:t>
      </w:r>
      <w:hyperlink r:id="rId43">
        <w:r>
          <w:rPr>
            <w:rFonts w:ascii="Arial" w:cs="Arial" w:eastAsia="Arial" w:hAnsi="Arial"/>
            <w:sz w:val="17"/>
            <w:szCs w:val="17"/>
            <w:i w:val="1"/>
            <w:iCs w:val="1"/>
            <w:color w:val="auto"/>
          </w:rPr>
          <w:t xml:space="preserve">K can be found in “Management’s Discussion and Analysis of Financial Condition and Results of Operations” in Part II, Item 7 of our </w:t>
        </w:r>
        <w:r>
          <w:rPr>
            <w:rFonts w:ascii="Arial" w:cs="Arial" w:eastAsia="Arial" w:hAnsi="Arial"/>
            <w:sz w:val="17"/>
            <w:szCs w:val="17"/>
            <w:i w:val="1"/>
            <w:iCs w:val="1"/>
            <w:u w:val="single" w:color="auto"/>
            <w:color w:val="0000FF"/>
          </w:rPr>
          <w:t>Annual Report on</w:t>
        </w:r>
      </w:hyperlink>
      <w:r>
        <w:rPr>
          <w:rFonts w:ascii="Arial" w:cs="Arial" w:eastAsia="Arial" w:hAnsi="Arial"/>
          <w:sz w:val="17"/>
          <w:szCs w:val="17"/>
          <w:i w:val="1"/>
          <w:iCs w:val="1"/>
          <w:color w:val="auto"/>
        </w:rPr>
        <w:t xml:space="preserve"> </w:t>
      </w:r>
      <w:hyperlink r:id="rId43">
        <w:r>
          <w:rPr>
            <w:rFonts w:ascii="Arial" w:cs="Arial" w:eastAsia="Arial" w:hAnsi="Arial"/>
            <w:sz w:val="17"/>
            <w:szCs w:val="17"/>
            <w:i w:val="1"/>
            <w:iCs w:val="1"/>
            <w:u w:val="single" w:color="auto"/>
            <w:color w:val="0000FF"/>
          </w:rPr>
          <w:t>Form 10-K for the fiscal year ended June 30, 2022 that was filed with the SEC on August 5, 2022.</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9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are conducted by our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recurring revenue model and high annual revenue retention rates provide significant visibility into our future operating results and cash flow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operations. This visibility enables us to better manage and invest in our business. Total revenues increased from $635.6 million in fiscal 2021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$852.7 million in fiscal 2022, representing a 34% year-over-year increase. Total revenues increased from $852.7 million in fiscal 2022 to $1,174.6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fiscal 2023, representing a 38% year-over-year increase. During fiscal 2023, total revenue growth was driven by the strong performance by our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team, continued annual revenue retention in excess of 92%, increases in client workforce levels and growth in interest income on funds held for clients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rising interest rates and higher average daily balances for funds held for clients due to the addition of new clients and increases in client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workforce levels as compared to the prior fiscal year. Our revenue growth in future periods may be impacted by fluctuations in client employee 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increases in client losses, a changing interest rate environment, uncertainties around market and economic conditions including inflation risk,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among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Excluding clients acquired through acquisitions, we have increased the number of clients using our HCM and payroll software solutions from approximately 28,750 as of June 30, 2021 to approximately 36,200 as of June 30, 2023, representing a compound annual growth rate of approximately 12%. The table below sets forth the total number of clients using our HCM and payroll software solutions for the periods indicated, excluding clients acquired through acquisitions, rounded to the nearest fifty.</w:t>
      </w:r>
    </w:p>
    <w:p>
      <w:pPr>
        <w:spacing w:after="0" w:line="23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40640</wp:posOffset>
            </wp:positionV>
            <wp:extent cx="2948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26"/>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00" w:type="dxa"/>
            <w:vAlign w:val="bottom"/>
            <w:gridSpan w:val="2"/>
            <w:shd w:val="clear" w:color="auto" w:fill="CCEEFF"/>
          </w:tcPr>
          <w:p>
            <w:pPr>
              <w:jc w:val="right"/>
              <w:ind w:right="6540"/>
              <w:spacing w:after="0"/>
              <w:rPr>
                <w:sz w:val="20"/>
                <w:szCs w:val="20"/>
                <w:color w:val="auto"/>
              </w:rPr>
            </w:pPr>
            <w:r>
              <w:rPr>
                <w:rFonts w:ascii="Arial" w:cs="Arial" w:eastAsia="Arial" w:hAnsi="Arial"/>
                <w:sz w:val="18"/>
                <w:szCs w:val="18"/>
                <w:color w:val="auto"/>
                <w:w w:val="94"/>
              </w:rPr>
              <w:t>Client Count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28,750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33,300</w:t>
            </w:r>
          </w:p>
        </w:tc>
        <w:tc>
          <w:tcPr>
            <w:tcW w:w="100" w:type="dxa"/>
            <w:vAlign w:val="bottom"/>
            <w:shd w:val="clear" w:color="auto" w:fill="CCEEFF"/>
          </w:tcPr>
          <w:p>
            <w:pPr>
              <w:spacing w:after="0"/>
              <w:rPr>
                <w:sz w:val="21"/>
                <w:szCs w:val="21"/>
                <w:color w:val="auto"/>
              </w:rPr>
            </w:pPr>
          </w:p>
        </w:tc>
        <w:tc>
          <w:tcPr>
            <w:tcW w:w="14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36,200</w:t>
            </w:r>
          </w:p>
        </w:tc>
      </w:tr>
    </w:tbl>
    <w:p>
      <w:pPr>
        <w:spacing w:after="0" w:line="29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Revenue Retention Rate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use Adjusted Gross Profit and Adjusted EBITDA to evaluate our operating results. We prepare Adjusted Gross Profit and Adjusted EBITDA to eliminate the impact of items we do not consider indicative of our ongoing operating performance. However,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and certain acquired intangibles and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Adjusted Gross Profit and Adjusted EBITDA have limitations as analytical tools. Some of these limitations include the following:</w:t>
      </w:r>
    </w:p>
    <w:p>
      <w:pPr>
        <w:spacing w:after="0" w:line="22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our ongoing or future requirements for capital expenditures;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our income tax expense or the cash requirement to pay our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1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70" w:lineRule="exact"/>
        <w:rPr>
          <w:rFonts w:ascii="Arial" w:cs="Arial" w:eastAsia="Arial" w:hAnsi="Arial"/>
          <w:sz w:val="18"/>
          <w:szCs w:val="18"/>
          <w:color w:val="auto"/>
        </w:rPr>
      </w:pPr>
    </w:p>
    <w:p>
      <w:pPr>
        <w:ind w:left="1300" w:right="6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and Adjusted EBITDA differently than we do, limiting their usefulness as a comparative measure.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7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Because of these limitations, you should not consider Adjusted Gross Profit as an alternative to gross profit or Adjusted EBITDA as an alternative to net income or net cash provided by operating activities, in each case as determined in accordance with GAAP. We compensate for these limitations by relying primarily on our GAAP results, and we use Adjusted Gross Profit and Adjusted EBITDA only as supplemental information.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Directly comparable GAAP measures to Adjusted Gross Profit and Adjusted EBITDA are gross profit and net income, respectively. We reconcile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and Adjusted EBITDA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Year Ended June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5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r>
      <w:tr>
        <w:trPr>
          <w:trHeight w:val="26"/>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416,329</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565,649</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807,559</w:t>
            </w:r>
          </w:p>
        </w:tc>
      </w:tr>
      <w:tr>
        <w:trPr>
          <w:trHeight w:val="277"/>
        </w:trPr>
        <w:tc>
          <w:tcPr>
            <w:tcW w:w="658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Amortization of capitalized internal-use software costs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w:t>
            </w:r>
          </w:p>
        </w:tc>
      </w:tr>
      <w:tr>
        <w:trPr>
          <w:trHeight w:val="26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Amortization of certain acquired intangibles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7,414</w:t>
            </w:r>
          </w:p>
        </w:tc>
      </w:tr>
      <w:tr>
        <w:trPr>
          <w:trHeight w:val="235"/>
        </w:trPr>
        <w:tc>
          <w:tcPr>
            <w:tcW w:w="658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w w:val="92"/>
              </w:rPr>
              <w:t>Stock-based compensation expense and employer payroll taxes related to stock releases</w:t>
            </w:r>
          </w:p>
        </w:tc>
        <w:tc>
          <w:tcPr>
            <w:tcW w:w="340" w:type="dxa"/>
            <w:vAlign w:val="bottom"/>
            <w:shd w:val="clear" w:color="auto" w:fill="D2EDFE"/>
          </w:tcPr>
          <w:p>
            <w:pPr>
              <w:spacing w:after="0"/>
              <w:rPr>
                <w:sz w:val="20"/>
                <w:szCs w:val="20"/>
                <w:color w:val="auto"/>
              </w:rPr>
            </w:pPr>
          </w:p>
        </w:tc>
        <w:tc>
          <w:tcPr>
            <w:tcW w:w="1140" w:type="dxa"/>
            <w:vAlign w:val="bottom"/>
            <w:shd w:val="clear" w:color="auto" w:fill="D2EDFE"/>
          </w:tcPr>
          <w:p>
            <w:pPr>
              <w:spacing w:after="0"/>
              <w:rPr>
                <w:sz w:val="20"/>
                <w:szCs w:val="20"/>
                <w:color w:val="auto"/>
              </w:rPr>
            </w:pPr>
          </w:p>
        </w:tc>
        <w:tc>
          <w:tcPr>
            <w:tcW w:w="80" w:type="dxa"/>
            <w:vAlign w:val="bottom"/>
            <w:shd w:val="clear" w:color="auto" w:fill="D2EDFE"/>
          </w:tcPr>
          <w:p>
            <w:pPr>
              <w:spacing w:after="0"/>
              <w:rPr>
                <w:sz w:val="20"/>
                <w:szCs w:val="20"/>
                <w:color w:val="auto"/>
              </w:rPr>
            </w:pPr>
          </w:p>
        </w:tc>
        <w:tc>
          <w:tcPr>
            <w:tcW w:w="20" w:type="dxa"/>
            <w:vAlign w:val="bottom"/>
            <w:shd w:val="clear" w:color="auto" w:fill="D2EDFE"/>
          </w:tcPr>
          <w:p>
            <w:pPr>
              <w:spacing w:after="0"/>
              <w:rPr>
                <w:sz w:val="20"/>
                <w:szCs w:val="20"/>
                <w:color w:val="auto"/>
              </w:rPr>
            </w:pPr>
          </w:p>
        </w:tc>
        <w:tc>
          <w:tcPr>
            <w:tcW w:w="120" w:type="dxa"/>
            <w:vAlign w:val="bottom"/>
            <w:shd w:val="clear" w:color="auto" w:fill="D2EDFE"/>
          </w:tcPr>
          <w:p>
            <w:pPr>
              <w:spacing w:after="0"/>
              <w:rPr>
                <w:sz w:val="20"/>
                <w:szCs w:val="20"/>
                <w:color w:val="auto"/>
              </w:rPr>
            </w:pPr>
          </w:p>
        </w:tc>
        <w:tc>
          <w:tcPr>
            <w:tcW w:w="1360" w:type="dxa"/>
            <w:vAlign w:val="bottom"/>
            <w:shd w:val="clear" w:color="auto" w:fill="D2EDFE"/>
          </w:tcPr>
          <w:p>
            <w:pPr>
              <w:spacing w:after="0"/>
              <w:rPr>
                <w:sz w:val="20"/>
                <w:szCs w:val="20"/>
                <w:color w:val="auto"/>
              </w:rPr>
            </w:pPr>
          </w:p>
        </w:tc>
        <w:tc>
          <w:tcPr>
            <w:tcW w:w="80" w:type="dxa"/>
            <w:vAlign w:val="bottom"/>
            <w:shd w:val="clear" w:color="auto" w:fill="D2EDFE"/>
          </w:tcPr>
          <w:p>
            <w:pPr>
              <w:spacing w:after="0"/>
              <w:rPr>
                <w:sz w:val="20"/>
                <w:szCs w:val="20"/>
                <w:color w:val="auto"/>
              </w:rPr>
            </w:pPr>
          </w:p>
        </w:tc>
        <w:tc>
          <w:tcPr>
            <w:tcW w:w="40" w:type="dxa"/>
            <w:vAlign w:val="bottom"/>
            <w:shd w:val="clear" w:color="auto" w:fill="D2EDFE"/>
          </w:tcPr>
          <w:p>
            <w:pPr>
              <w:spacing w:after="0"/>
              <w:rPr>
                <w:sz w:val="20"/>
                <w:szCs w:val="20"/>
                <w:color w:val="auto"/>
              </w:rPr>
            </w:pPr>
          </w:p>
        </w:tc>
        <w:tc>
          <w:tcPr>
            <w:tcW w:w="340" w:type="dxa"/>
            <w:vAlign w:val="bottom"/>
            <w:shd w:val="clear" w:color="auto" w:fill="D2EDFE"/>
          </w:tcPr>
          <w:p>
            <w:pPr>
              <w:spacing w:after="0"/>
              <w:rPr>
                <w:sz w:val="20"/>
                <w:szCs w:val="20"/>
                <w:color w:val="auto"/>
              </w:rPr>
            </w:pPr>
          </w:p>
        </w:tc>
        <w:tc>
          <w:tcPr>
            <w:tcW w:w="1140" w:type="dxa"/>
            <w:vAlign w:val="bottom"/>
            <w:shd w:val="clear" w:color="auto" w:fill="D2EDFE"/>
          </w:tcPr>
          <w:p>
            <w:pPr>
              <w:spacing w:after="0"/>
              <w:rPr>
                <w:sz w:val="20"/>
                <w:szCs w:val="20"/>
                <w:color w:val="auto"/>
              </w:rPr>
            </w:pPr>
          </w:p>
        </w:tc>
      </w:tr>
      <w:tr>
        <w:trPr>
          <w:trHeight w:val="257"/>
        </w:trPr>
        <w:tc>
          <w:tcPr>
            <w:tcW w:w="658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and option exercises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8,348</w:t>
            </w:r>
          </w:p>
        </w:tc>
        <w:tc>
          <w:tcPr>
            <w:tcW w:w="80" w:type="dxa"/>
            <w:vAlign w:val="bottom"/>
            <w:shd w:val="clear" w:color="auto" w:fill="D2EDFE"/>
          </w:tcPr>
          <w:p>
            <w:pPr>
              <w:spacing w:after="0"/>
              <w:rPr>
                <w:sz w:val="22"/>
                <w:szCs w:val="22"/>
                <w:color w:val="auto"/>
              </w:rPr>
            </w:pPr>
          </w:p>
        </w:tc>
        <w:tc>
          <w:tcPr>
            <w:tcW w:w="2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12,610</w:t>
            </w:r>
          </w:p>
        </w:tc>
        <w:tc>
          <w:tcPr>
            <w:tcW w:w="80" w:type="dxa"/>
            <w:vAlign w:val="bottom"/>
            <w:shd w:val="clear" w:color="auto" w:fill="D2EDFE"/>
          </w:tcPr>
          <w:p>
            <w:pPr>
              <w:spacing w:after="0"/>
              <w:rPr>
                <w:sz w:val="22"/>
                <w:szCs w:val="22"/>
                <w:color w:val="auto"/>
              </w:rPr>
            </w:pPr>
          </w:p>
        </w:tc>
        <w:tc>
          <w:tcPr>
            <w:tcW w:w="4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18,446</w:t>
            </w:r>
          </w:p>
        </w:tc>
      </w:tr>
      <w:tr>
        <w:trPr>
          <w:trHeight w:val="263"/>
        </w:trPr>
        <w:tc>
          <w:tcPr>
            <w:tcW w:w="6580" w:type="dxa"/>
            <w:vAlign w:val="bottom"/>
            <w:tcBorders>
              <w:bottom w:val="single" w:sz="8" w:color="D2EDFE"/>
            </w:tcBorders>
            <w:gridSpan w:val="2"/>
          </w:tcPr>
          <w:p>
            <w:pPr>
              <w:ind w:left="200"/>
              <w:spacing w:after="0"/>
              <w:rPr>
                <w:sz w:val="20"/>
                <w:szCs w:val="20"/>
                <w:color w:val="auto"/>
              </w:rPr>
            </w:pPr>
            <w:r>
              <w:rPr>
                <w:rFonts w:ascii="Arial" w:cs="Arial" w:eastAsia="Arial" w:hAnsi="Arial"/>
                <w:sz w:val="18"/>
                <w:szCs w:val="18"/>
                <w:color w:val="auto"/>
              </w:rPr>
              <w:t>Other items (1)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E"/>
            </w:tcBorders>
          </w:tcPr>
          <w:p>
            <w:pPr>
              <w:spacing w:after="0"/>
              <w:rPr>
                <w:sz w:val="22"/>
                <w:szCs w:val="22"/>
                <w:color w:val="auto"/>
              </w:rPr>
            </w:pPr>
          </w:p>
        </w:tc>
        <w:tc>
          <w:tcPr>
            <w:tcW w:w="20" w:type="dxa"/>
            <w:vAlign w:val="bottom"/>
            <w:tcBorders>
              <w:bottom w:val="single" w:sz="8" w:color="D2EDFE"/>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D2EDFE"/>
            </w:tcBorders>
          </w:tcPr>
          <w:p>
            <w:pPr>
              <w:spacing w:after="0"/>
              <w:rPr>
                <w:sz w:val="22"/>
                <w:szCs w:val="22"/>
                <w:color w:val="auto"/>
              </w:rPr>
            </w:pPr>
          </w:p>
        </w:tc>
        <w:tc>
          <w:tcPr>
            <w:tcW w:w="40" w:type="dxa"/>
            <w:vAlign w:val="bottom"/>
            <w:tcBorders>
              <w:bottom w:val="single" w:sz="8" w:color="D2EDFE"/>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6580" w:type="dxa"/>
            <w:vAlign w:val="bottom"/>
            <w:gridSpan w:val="2"/>
            <w:shd w:val="clear" w:color="auto" w:fill="D2EDFE"/>
          </w:tcPr>
          <w:p>
            <w:pPr>
              <w:ind w:left="200"/>
              <w:spacing w:after="0"/>
              <w:rPr>
                <w:sz w:val="20"/>
                <w:szCs w:val="20"/>
                <w:color w:val="auto"/>
              </w:rPr>
            </w:pPr>
            <w:r>
              <w:rPr>
                <w:rFonts w:ascii="Arial" w:cs="Arial" w:eastAsia="Arial" w:hAnsi="Arial"/>
                <w:sz w:val="18"/>
                <w:szCs w:val="18"/>
                <w:color w:val="auto"/>
              </w:rPr>
              <w:t>Adjusted Gross Profit</w:t>
            </w:r>
          </w:p>
        </w:tc>
        <w:tc>
          <w:tcPr>
            <w:tcW w:w="34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447,904</w:t>
            </w:r>
          </w:p>
        </w:tc>
        <w:tc>
          <w:tcPr>
            <w:tcW w:w="220" w:type="dxa"/>
            <w:vAlign w:val="bottom"/>
            <w:gridSpan w:val="3"/>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605,500</w:t>
            </w:r>
          </w:p>
        </w:tc>
        <w:tc>
          <w:tcPr>
            <w:tcW w:w="460" w:type="dxa"/>
            <w:vAlign w:val="bottom"/>
            <w:gridSpan w:val="3"/>
            <w:shd w:val="clear" w:color="auto" w:fill="D2EDF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864,878</w:t>
            </w:r>
          </w:p>
        </w:tc>
      </w:tr>
      <w:tr>
        <w:trPr>
          <w:trHeight w:val="20"/>
        </w:trPr>
        <w:tc>
          <w:tcPr>
            <w:tcW w:w="6560" w:type="dxa"/>
            <w:vAlign w:val="bottom"/>
            <w:tcBorders>
              <w:top w:val="single" w:sz="8" w:color="D2EDFE"/>
            </w:tcBorders>
          </w:tcPr>
          <w:p>
            <w:pPr>
              <w:spacing w:after="0" w:line="20" w:lineRule="exact"/>
              <w:rPr>
                <w:sz w:val="1"/>
                <w:szCs w:val="1"/>
                <w:color w:val="auto"/>
              </w:rPr>
            </w:pPr>
          </w:p>
        </w:tc>
        <w:tc>
          <w:tcPr>
            <w:tcW w:w="2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20" w:type="dxa"/>
            <w:vAlign w:val="bottom"/>
            <w:tcBorders>
              <w:top w:val="single" w:sz="8" w:color="D2EDFE"/>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4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
        </w:trPr>
        <w:tc>
          <w:tcPr>
            <w:tcW w:w="6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r>
      <w:tr>
        <w:trPr>
          <w:trHeight w:val="39"/>
        </w:trPr>
        <w:tc>
          <w:tcPr>
            <w:tcW w:w="65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70,819</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90,777</w:t>
            </w: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140,822</w:t>
            </w: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17,792</w:t>
            </w: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60,866</w:t>
            </w:r>
          </w:p>
        </w:tc>
      </w:tr>
      <w:tr>
        <w:trPr>
          <w:trHeight w:val="243"/>
        </w:trPr>
        <w:tc>
          <w:tcPr>
            <w:tcW w:w="6560" w:type="dxa"/>
            <w:vAlign w:val="bottom"/>
          </w:tcPr>
          <w:p>
            <w:pPr>
              <w:ind w:left="200"/>
              <w:spacing w:after="0"/>
              <w:rPr>
                <w:sz w:val="20"/>
                <w:szCs w:val="20"/>
                <w:color w:val="auto"/>
              </w:rPr>
            </w:pPr>
            <w:r>
              <w:rPr>
                <w:rFonts w:ascii="Arial" w:cs="Arial" w:eastAsia="Arial" w:hAnsi="Arial"/>
                <w:sz w:val="18"/>
                <w:szCs w:val="18"/>
                <w:color w:val="auto"/>
              </w:rPr>
              <w:t>EBITDA</w:t>
            </w: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101,078</w:t>
            </w: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134,313</w:t>
            </w: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220,232</w:t>
            </w:r>
          </w:p>
        </w:tc>
      </w:tr>
      <w:tr>
        <w:trPr>
          <w:trHeight w:val="235"/>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Stock-based compensation expense and employer payroll taxes related to stock releases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154,505</w:t>
            </w:r>
          </w:p>
        </w:tc>
      </w:tr>
      <w:tr>
        <w:trPr>
          <w:trHeight w:val="237"/>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option exercises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Other items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6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w:t>
            </w: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375,183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acquisition-related costs.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acquisition and other nonrecurring transaction-related costs and lease exit activity.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payroll solutions typically require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140 employees.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Recurring and other revenue accounted for approximately 99%, 99% and 93% of our total revenues during the years ended June 30, 2021, 2022 and 2023,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77"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We also capitalize a portion of our internal-use software costs, which are then primarily amortized as Cost of revenues. We amortized $23.2 million, $25.3 million and $31.4 million of capitalized internal-use software costs in fiscal 2021, 2022 and 2023,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amortize them over a period of 7 years.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2021, 2022 and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Year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6"/>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55,582</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163,994</w:t>
            </w:r>
          </w:p>
        </w:tc>
      </w:tr>
      <w:tr>
        <w:trPr>
          <w:trHeight w:val="25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219,576</w:t>
            </w:r>
          </w:p>
        </w:tc>
      </w:tr>
    </w:tbl>
    <w:p>
      <w:pPr>
        <w:spacing w:after="0" w:line="29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Other income (expense) generally consists of interest income related to interest earned on our cash and cash equivalents and, if any, corporate investments, net of losses on disposals of property and equipment and interest expense related to our revolving credit facility.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Year Ended June 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6"/>
        </w:trPr>
        <w:tc>
          <w:tcPr>
            <w:tcW w:w="6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5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Recurring and other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631,725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847,694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1,098,036</w:t>
            </w:r>
          </w:p>
        </w:tc>
      </w:tr>
      <w:tr>
        <w:trPr>
          <w:trHeight w:val="257"/>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Interest income on funds held for clients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4,957</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76,562</w:t>
            </w:r>
          </w:p>
        </w:tc>
      </w:tr>
      <w:tr>
        <w:trPr>
          <w:trHeight w:val="25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635,627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852,651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1,174,598</w:t>
            </w:r>
          </w:p>
        </w:tc>
      </w:tr>
      <w:tr>
        <w:trPr>
          <w:trHeight w:val="26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219,298</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287,002</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367,039</w:t>
            </w:r>
          </w:p>
        </w:tc>
      </w:tr>
      <w:tr>
        <w:trPr>
          <w:trHeight w:val="25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416,329</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565,649</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807,559</w:t>
            </w: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6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161,808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214,455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296,716</w:t>
            </w:r>
          </w:p>
        </w:tc>
      </w:tr>
      <w:tr>
        <w:trPr>
          <w:trHeight w:val="250"/>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76,707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102,908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163,994</w:t>
            </w:r>
          </w:p>
        </w:tc>
      </w:tr>
      <w:tr>
        <w:trPr>
          <w:trHeight w:val="257"/>
        </w:trPr>
        <w:tc>
          <w:tcPr>
            <w:tcW w:w="6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119,771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163,692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191,823</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358,286</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481,055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652,533</w:t>
            </w:r>
          </w:p>
        </w:tc>
      </w:tr>
      <w:tr>
        <w:trPr>
          <w:trHeight w:val="250"/>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84,594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155,026</w:t>
            </w:r>
          </w:p>
        </w:tc>
      </w:tr>
      <w:tr>
        <w:trPr>
          <w:trHeight w:val="26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(939)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(997)</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r>
      <w:tr>
        <w:trPr>
          <w:trHeight w:val="25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57,104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83,597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158,614</w:t>
            </w:r>
          </w:p>
        </w:tc>
      </w:tr>
      <w:tr>
        <w:trPr>
          <w:trHeight w:val="25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(13,715)</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(7,180)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17,792</w:t>
            </w:r>
          </w:p>
        </w:tc>
      </w:tr>
      <w:tr>
        <w:trPr>
          <w:trHeight w:val="277"/>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70,819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90,777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140,822</w:t>
            </w:r>
          </w:p>
        </w:tc>
      </w:tr>
      <w:tr>
        <w:trPr>
          <w:trHeight w:val="20"/>
        </w:trPr>
        <w:tc>
          <w:tcPr>
            <w:tcW w:w="6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0"/>
        </w:trPr>
        <w:tc>
          <w:tcPr>
            <w:tcW w:w="10120" w:type="dxa"/>
            <w:vAlign w:val="bottom"/>
            <w:gridSpan w:val="11"/>
          </w:tcPr>
          <w:p>
            <w:pPr>
              <w:ind w:left="660"/>
              <w:spacing w:after="0"/>
              <w:rPr>
                <w:sz w:val="20"/>
                <w:szCs w:val="20"/>
                <w:color w:val="auto"/>
              </w:rPr>
            </w:pPr>
            <w:r>
              <w:rPr>
                <w:rFonts w:ascii="Arial" w:cs="Arial" w:eastAsia="Arial" w:hAnsi="Arial"/>
                <w:sz w:val="18"/>
                <w:szCs w:val="18"/>
                <w:color w:val="auto"/>
                <w:w w:val="91"/>
              </w:rPr>
              <w:t>The following table sets forth our statements of operations data as a percentage of total revenue for each of the periods indicated.</w:t>
            </w:r>
          </w:p>
        </w:tc>
        <w:tc>
          <w:tcPr>
            <w:tcW w:w="1120" w:type="dxa"/>
            <w:vAlign w:val="bottom"/>
          </w:tcPr>
          <w:p>
            <w:pPr>
              <w:spacing w:after="0"/>
              <w:rPr>
                <w:sz w:val="24"/>
                <w:szCs w:val="24"/>
                <w:color w:val="auto"/>
              </w:rPr>
            </w:pPr>
          </w:p>
        </w:tc>
      </w:tr>
      <w:tr>
        <w:trPr>
          <w:trHeight w:val="433"/>
        </w:trPr>
        <w:tc>
          <w:tcPr>
            <w:tcW w:w="6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Year Ended June 30,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
        </w:trPr>
        <w:tc>
          <w:tcPr>
            <w:tcW w:w="65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2023</w:t>
            </w:r>
          </w:p>
        </w:tc>
      </w:tr>
      <w:tr>
        <w:trPr>
          <w:trHeight w:val="25"/>
        </w:trPr>
        <w:tc>
          <w:tcPr>
            <w:tcW w:w="65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Recurring and other revenue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6500" w:type="dxa"/>
            <w:vAlign w:val="bottom"/>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656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4"/>
        </w:trPr>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56"/>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7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Ended June 30, 2021, 2022 and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Year Ended June 30,</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Change from 2021 to 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Change from 2022 to 2023</w:t>
            </w:r>
          </w:p>
        </w:tc>
      </w:tr>
      <w:tr>
        <w:trPr>
          <w:trHeight w:val="26"/>
        </w:trPr>
        <w:tc>
          <w:tcPr>
            <w:tcW w:w="3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26"/>
        </w:trPr>
        <w:tc>
          <w:tcPr>
            <w:tcW w:w="300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00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Recurring and other revenue</w:t>
            </w: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631,725</w:t>
            </w:r>
          </w:p>
        </w:tc>
        <w:tc>
          <w:tcPr>
            <w:tcW w:w="380" w:type="dxa"/>
            <w:vAlign w:val="bottom"/>
            <w:gridSpan w:val="2"/>
            <w:shd w:val="clear" w:color="auto" w:fill="D2EDFE"/>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847,694</w:t>
            </w:r>
          </w:p>
        </w:tc>
        <w:tc>
          <w:tcPr>
            <w:tcW w:w="100" w:type="dxa"/>
            <w:vAlign w:val="bottom"/>
            <w:shd w:val="clear" w:color="auto" w:fill="D2EDFE"/>
          </w:tcPr>
          <w:p>
            <w:pPr>
              <w:spacing w:after="0"/>
              <w:rPr>
                <w:sz w:val="21"/>
                <w:szCs w:val="21"/>
                <w:color w:val="auto"/>
              </w:rPr>
            </w:pPr>
          </w:p>
        </w:tc>
        <w:tc>
          <w:tcPr>
            <w:tcW w:w="300" w:type="dxa"/>
            <w:vAlign w:val="bottom"/>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1,098,036</w:t>
            </w:r>
          </w:p>
        </w:tc>
        <w:tc>
          <w:tcPr>
            <w:tcW w:w="80" w:type="dxa"/>
            <w:vAlign w:val="bottom"/>
            <w:shd w:val="clear" w:color="auto" w:fill="D2EDFE"/>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50"/>
        </w:trPr>
        <w:tc>
          <w:tcPr>
            <w:tcW w:w="300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3280" w:type="dxa"/>
            <w:vAlign w:val="bottom"/>
            <w:tcBorders>
              <w:bottom w:val="single" w:sz="8" w:color="D2EDFE"/>
            </w:tcBorders>
            <w:gridSpan w:val="2"/>
            <w:shd w:val="clear" w:color="auto" w:fill="D2EDFE"/>
          </w:tcPr>
          <w:p>
            <w:pPr>
              <w:jc w:val="right"/>
              <w:ind w:right="90"/>
              <w:spacing w:after="0"/>
              <w:rPr>
                <w:sz w:val="20"/>
                <w:szCs w:val="20"/>
                <w:color w:val="auto"/>
              </w:rPr>
            </w:pPr>
            <w:r>
              <w:rPr>
                <w:rFonts w:ascii="Arial" w:cs="Arial" w:eastAsia="Arial" w:hAnsi="Arial"/>
                <w:sz w:val="18"/>
                <w:szCs w:val="18"/>
                <w:color w:val="auto"/>
                <w:w w:val="92"/>
              </w:rPr>
              <w:t>Interest income on funds held for clients $</w:t>
            </w:r>
          </w:p>
        </w:tc>
        <w:tc>
          <w:tcPr>
            <w:tcW w:w="9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3,902</w:t>
            </w:r>
          </w:p>
        </w:tc>
        <w:tc>
          <w:tcPr>
            <w:tcW w:w="380" w:type="dxa"/>
            <w:vAlign w:val="bottom"/>
            <w:tcBorders>
              <w:bottom w:val="single" w:sz="8" w:color="D2EDFE"/>
            </w:tcBorders>
            <w:gridSpan w:val="2"/>
            <w:shd w:val="clear" w:color="auto" w:fill="D2EDFE"/>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Borders>
              <w:bottom w:val="single" w:sz="8" w:color="D2EDFE"/>
            </w:tcBorders>
            <w:shd w:val="clear" w:color="auto" w:fill="D2EDFE"/>
          </w:tcPr>
          <w:p>
            <w:pPr>
              <w:spacing w:after="0"/>
              <w:rPr>
                <w:sz w:val="22"/>
                <w:szCs w:val="22"/>
                <w:color w:val="auto"/>
              </w:rPr>
            </w:pPr>
          </w:p>
        </w:tc>
        <w:tc>
          <w:tcPr>
            <w:tcW w:w="300" w:type="dxa"/>
            <w:vAlign w:val="bottom"/>
            <w:tcBorders>
              <w:bottom w:val="single" w:sz="8" w:color="D2EDFE"/>
            </w:tcBorders>
            <w:shd w:val="clear" w:color="auto" w:fill="D2EDF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76,562</w:t>
            </w:r>
          </w:p>
        </w:tc>
        <w:tc>
          <w:tcPr>
            <w:tcW w:w="80" w:type="dxa"/>
            <w:vAlign w:val="bottom"/>
            <w:tcBorders>
              <w:bottom w:val="single" w:sz="8" w:color="D2EDFE"/>
            </w:tcBorders>
            <w:shd w:val="clear" w:color="auto" w:fill="D2EDFE"/>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2EDFE"/>
            </w:tcBorders>
            <w:shd w:val="clear" w:color="auto" w:fill="D2EDFE"/>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71,605</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w:t>
            </w:r>
          </w:p>
        </w:tc>
      </w:tr>
      <w:tr>
        <w:trPr>
          <w:trHeight w:val="243"/>
        </w:trPr>
        <w:tc>
          <w:tcPr>
            <w:tcW w:w="300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Recurring and other revenue for the year ended June 30, 2023 increased by $250.3 million, or 30%, to $1,098.0 million from $847.7 million for the year ended June 30, 2022. Recurring and other revenue increased primarily as a result of incremental revenues from new and existing clients due to the strong performance by our sales team, continued annual revenue retention in excess of 92% and also increases in client workforce levels as compared to the prior fiscal year. Excluding clients acquired through acquisitions, the number of clients using our HCM and payroll software solutions at June 30, 2023 increased by 9% to approximately 36,200 from approximately 33,300 at June 30,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Interest income on funds held for clients for the year ended June 30, 2023 increased by $71.6 million, or 1,445%, to $76.6 million from $5.0 million for the year ended June 30, 2022. Interest income on funds held for clients increased primarily due to higher interest rates and higher average daily balances for funds held due to the addition of new clients to our client base and also increases in client workforce levels as compared to the prior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from 2021 to 2022</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from 2022 to 2023</w:t>
            </w:r>
          </w:p>
        </w:tc>
      </w:tr>
      <w:tr>
        <w:trPr>
          <w:trHeight w:val="25"/>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25"/>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D2EDFE"/>
            </w:tcBorders>
            <w:shd w:val="clear" w:color="auto" w:fill="D2EDFE"/>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219,298</w:t>
            </w:r>
          </w:p>
        </w:tc>
        <w:tc>
          <w:tcPr>
            <w:tcW w:w="360" w:type="dxa"/>
            <w:vAlign w:val="bottom"/>
            <w:tcBorders>
              <w:bottom w:val="single" w:sz="8" w:color="D2EDFE"/>
            </w:tcBorders>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287,002</w:t>
            </w:r>
          </w:p>
        </w:tc>
        <w:tc>
          <w:tcPr>
            <w:tcW w:w="100" w:type="dxa"/>
            <w:vAlign w:val="bottom"/>
            <w:tcBorders>
              <w:bottom w:val="single" w:sz="8" w:color="D2EDFE"/>
            </w:tcBorders>
            <w:shd w:val="clear" w:color="auto" w:fill="D2EDFE"/>
          </w:tcPr>
          <w:p>
            <w:pPr>
              <w:spacing w:after="0"/>
              <w:rPr>
                <w:sz w:val="21"/>
                <w:szCs w:val="21"/>
                <w:color w:val="auto"/>
              </w:rPr>
            </w:pPr>
          </w:p>
        </w:tc>
        <w:tc>
          <w:tcPr>
            <w:tcW w:w="260" w:type="dxa"/>
            <w:vAlign w:val="bottom"/>
            <w:tcBorders>
              <w:bottom w:val="single" w:sz="8" w:color="D2EDFE"/>
            </w:tcBorders>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367,039</w:t>
            </w:r>
          </w:p>
        </w:tc>
        <w:tc>
          <w:tcPr>
            <w:tcW w:w="80" w:type="dxa"/>
            <w:vAlign w:val="bottom"/>
            <w:tcBorders>
              <w:bottom w:val="single" w:sz="8" w:color="D2EDFE"/>
            </w:tcBorders>
            <w:shd w:val="clear" w:color="auto" w:fill="D2EDFE"/>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67,704</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D2EDFE"/>
            </w:tcBorders>
            <w:shd w:val="clear" w:color="auto" w:fill="D2EDFE"/>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80,037</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50"/>
        </w:trPr>
        <w:tc>
          <w:tcPr>
            <w:tcW w:w="316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7"/>
        </w:trPr>
        <w:tc>
          <w:tcPr>
            <w:tcW w:w="3160" w:type="dxa"/>
            <w:vAlign w:val="bottom"/>
            <w:shd w:val="clear" w:color="auto" w:fill="D2EDFE"/>
          </w:tcPr>
          <w:p>
            <w:pPr>
              <w:ind w:left="20"/>
              <w:spacing w:after="0"/>
              <w:rPr>
                <w:sz w:val="20"/>
                <w:szCs w:val="20"/>
                <w:color w:val="auto"/>
              </w:rPr>
            </w:pPr>
            <w:r>
              <w:rPr>
                <w:rFonts w:ascii="Arial" w:cs="Arial" w:eastAsia="Arial" w:hAnsi="Arial"/>
                <w:sz w:val="18"/>
                <w:szCs w:val="18"/>
                <w:color w:val="auto"/>
              </w:rPr>
              <w:t>Gross profit margin</w:t>
            </w:r>
          </w:p>
        </w:tc>
        <w:tc>
          <w:tcPr>
            <w:tcW w:w="28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D2EDFE"/>
          </w:tcPr>
          <w:p>
            <w:pPr>
              <w:spacing w:after="0"/>
              <w:rPr>
                <w:sz w:val="24"/>
                <w:szCs w:val="24"/>
                <w:color w:val="auto"/>
              </w:rPr>
            </w:pPr>
          </w:p>
        </w:tc>
        <w:tc>
          <w:tcPr>
            <w:tcW w:w="280" w:type="dxa"/>
            <w:vAlign w:val="bottom"/>
            <w:shd w:val="clear" w:color="auto" w:fill="D2EDFE"/>
          </w:tcPr>
          <w:p>
            <w:pPr>
              <w:spacing w:after="0"/>
              <w:rPr>
                <w:sz w:val="24"/>
                <w:szCs w:val="24"/>
                <w:color w:val="auto"/>
              </w:rPr>
            </w:pPr>
          </w:p>
        </w:tc>
        <w:tc>
          <w:tcPr>
            <w:tcW w:w="8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D2EDFE"/>
          </w:tcPr>
          <w:p>
            <w:pPr>
              <w:spacing w:after="0"/>
              <w:rPr>
                <w:sz w:val="24"/>
                <w:szCs w:val="24"/>
                <w:color w:val="auto"/>
              </w:rPr>
            </w:pPr>
          </w:p>
        </w:tc>
        <w:tc>
          <w:tcPr>
            <w:tcW w:w="260" w:type="dxa"/>
            <w:vAlign w:val="bottom"/>
            <w:shd w:val="clear" w:color="auto" w:fill="D2EDFE"/>
          </w:tcPr>
          <w:p>
            <w:pPr>
              <w:spacing w:after="0"/>
              <w:rPr>
                <w:sz w:val="24"/>
                <w:szCs w:val="24"/>
                <w:color w:val="auto"/>
              </w:rPr>
            </w:pP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D2EDFE"/>
          </w:tcPr>
          <w:p>
            <w:pPr>
              <w:spacing w:after="0"/>
              <w:rPr>
                <w:sz w:val="24"/>
                <w:szCs w:val="24"/>
                <w:color w:val="auto"/>
              </w:rPr>
            </w:pPr>
          </w:p>
        </w:tc>
        <w:tc>
          <w:tcPr>
            <w:tcW w:w="200" w:type="dxa"/>
            <w:vAlign w:val="bottom"/>
            <w:shd w:val="clear" w:color="auto" w:fill="D2EDFE"/>
          </w:tcPr>
          <w:p>
            <w:pPr>
              <w:spacing w:after="0"/>
              <w:rPr>
                <w:sz w:val="24"/>
                <w:szCs w:val="24"/>
                <w:color w:val="auto"/>
              </w:rPr>
            </w:pPr>
          </w:p>
        </w:tc>
        <w:tc>
          <w:tcPr>
            <w:tcW w:w="840" w:type="dxa"/>
            <w:vAlign w:val="bottom"/>
            <w:shd w:val="clear" w:color="auto" w:fill="D2EDFE"/>
          </w:tcPr>
          <w:p>
            <w:pPr>
              <w:spacing w:after="0"/>
              <w:rPr>
                <w:sz w:val="24"/>
                <w:szCs w:val="24"/>
                <w:color w:val="auto"/>
              </w:rPr>
            </w:pPr>
          </w:p>
        </w:tc>
        <w:tc>
          <w:tcPr>
            <w:tcW w:w="80" w:type="dxa"/>
            <w:vAlign w:val="bottom"/>
            <w:shd w:val="clear" w:color="auto" w:fill="D2EDFE"/>
          </w:tcPr>
          <w:p>
            <w:pPr>
              <w:spacing w:after="0"/>
              <w:rPr>
                <w:sz w:val="24"/>
                <w:szCs w:val="24"/>
                <w:color w:val="auto"/>
              </w:rPr>
            </w:pPr>
          </w:p>
        </w:tc>
        <w:tc>
          <w:tcPr>
            <w:tcW w:w="1000" w:type="dxa"/>
            <w:vAlign w:val="bottom"/>
            <w:shd w:val="clear" w:color="auto" w:fill="D2EDFE"/>
          </w:tcPr>
          <w:p>
            <w:pPr>
              <w:spacing w:after="0"/>
              <w:rPr>
                <w:sz w:val="24"/>
                <w:szCs w:val="24"/>
                <w:color w:val="auto"/>
              </w:rPr>
            </w:pPr>
          </w:p>
        </w:tc>
        <w:tc>
          <w:tcPr>
            <w:tcW w:w="100" w:type="dxa"/>
            <w:vAlign w:val="bottom"/>
            <w:shd w:val="clear" w:color="auto" w:fill="D2EDFE"/>
          </w:tcPr>
          <w:p>
            <w:pPr>
              <w:spacing w:after="0"/>
              <w:rPr>
                <w:sz w:val="24"/>
                <w:szCs w:val="24"/>
                <w:color w:val="auto"/>
              </w:rPr>
            </w:pPr>
          </w:p>
        </w:tc>
        <w:tc>
          <w:tcPr>
            <w:tcW w:w="180" w:type="dxa"/>
            <w:vAlign w:val="bottom"/>
            <w:shd w:val="clear" w:color="auto" w:fill="D2EDFE"/>
          </w:tcPr>
          <w:p>
            <w:pPr>
              <w:spacing w:after="0"/>
              <w:rPr>
                <w:sz w:val="24"/>
                <w:szCs w:val="24"/>
                <w:color w:val="auto"/>
              </w:rPr>
            </w:pPr>
          </w:p>
        </w:tc>
        <w:tc>
          <w:tcPr>
            <w:tcW w:w="840" w:type="dxa"/>
            <w:vAlign w:val="bottom"/>
            <w:shd w:val="clear" w:color="auto" w:fill="D2EDFE"/>
          </w:tcPr>
          <w:p>
            <w:pPr>
              <w:spacing w:after="0"/>
              <w:rPr>
                <w:sz w:val="24"/>
                <w:szCs w:val="24"/>
                <w:color w:val="auto"/>
              </w:rPr>
            </w:pPr>
          </w:p>
        </w:tc>
        <w:tc>
          <w:tcPr>
            <w:tcW w:w="100" w:type="dxa"/>
            <w:vAlign w:val="bottom"/>
            <w:shd w:val="clear" w:color="auto" w:fill="D2EDFE"/>
          </w:tcPr>
          <w:p>
            <w:pPr>
              <w:spacing w:after="0"/>
              <w:rPr>
                <w:sz w:val="24"/>
                <w:szCs w:val="24"/>
                <w:color w:val="auto"/>
              </w:rPr>
            </w:pPr>
          </w:p>
        </w:tc>
        <w:tc>
          <w:tcPr>
            <w:tcW w:w="1000" w:type="dxa"/>
            <w:vAlign w:val="bottom"/>
            <w:shd w:val="clear" w:color="auto" w:fill="D2EDFE"/>
          </w:tcPr>
          <w:p>
            <w:pPr>
              <w:spacing w:after="0"/>
              <w:rPr>
                <w:sz w:val="24"/>
                <w:szCs w:val="24"/>
                <w:color w:val="auto"/>
              </w:rPr>
            </w:pPr>
          </w:p>
        </w:tc>
      </w:tr>
    </w:tbl>
    <w:p>
      <w:pPr>
        <w:spacing w:after="0" w:line="2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revenues for the year ended June 30, 2023 increased by $80.0 million, or 28%, to $367.0 million from $287.0 million for the year ended June 30, 2022. Cost of revenues increased primarily as a result of the continued growth of our business, in particular, $44.6 million in additional employee-related costs resulting from additional personnel necessary to provide services to new and existing clients, $18.3 million in delivery and other processing-related fees and $5.5 million of additional stock-based compensation costs associated with our equity incentive plan. Gross profit margin increased from 66% for the year ended June 30, 2022 to 69% for the year ended June 30, 2023, which was primarily driven by total revenue growth and improved operating leverage.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Arial" w:cs="Arial" w:eastAsia="Arial" w:hAnsi="Arial"/>
                <w:sz w:val="14"/>
                <w:szCs w:val="14"/>
                <w:b w:val="1"/>
                <w:bCs w:val="1"/>
                <w:color w:val="auto"/>
              </w:rPr>
              <w:t>Change from 2021 to 2022</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from 2022 to 2023</w:t>
            </w:r>
          </w:p>
        </w:tc>
      </w:tr>
      <w:tr>
        <w:trPr>
          <w:trHeight w:val="26"/>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26"/>
        </w:trPr>
        <w:tc>
          <w:tcPr>
            <w:tcW w:w="316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D2EDFE"/>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161,808</w:t>
            </w:r>
          </w:p>
        </w:tc>
        <w:tc>
          <w:tcPr>
            <w:tcW w:w="360" w:type="dxa"/>
            <w:vAlign w:val="bottom"/>
            <w:gridSpan w:val="2"/>
            <w:shd w:val="clear" w:color="auto" w:fill="D2EDFE"/>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214,455</w:t>
            </w:r>
          </w:p>
        </w:tc>
        <w:tc>
          <w:tcPr>
            <w:tcW w:w="12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296,716</w:t>
            </w:r>
          </w:p>
        </w:tc>
        <w:tc>
          <w:tcPr>
            <w:tcW w:w="260" w:type="dxa"/>
            <w:vAlign w:val="bottom"/>
            <w:gridSpan w:val="2"/>
            <w:shd w:val="clear" w:color="auto" w:fill="D2EDFE"/>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D2EDFE"/>
          </w:tcPr>
          <w:p>
            <w:pPr>
              <w:ind w:left="320"/>
              <w:spacing w:after="0"/>
              <w:rPr>
                <w:sz w:val="20"/>
                <w:szCs w:val="20"/>
                <w:color w:val="auto"/>
              </w:rPr>
            </w:pPr>
            <w:r>
              <w:rPr>
                <w:rFonts w:ascii="Arial" w:cs="Arial" w:eastAsia="Arial" w:hAnsi="Arial"/>
                <w:sz w:val="18"/>
                <w:szCs w:val="18"/>
                <w:color w:val="auto"/>
                <w:w w:val="94"/>
              </w:rPr>
              <w:t>52,647</w:t>
            </w:r>
          </w:p>
        </w:tc>
        <w:tc>
          <w:tcPr>
            <w:tcW w:w="1360" w:type="dxa"/>
            <w:vAlign w:val="bottom"/>
            <w:gridSpan w:val="4"/>
            <w:shd w:val="clear" w:color="auto" w:fill="D2EDFE"/>
          </w:tcPr>
          <w:p>
            <w:pPr>
              <w:jc w:val="right"/>
              <w:ind w:right="60"/>
              <w:spacing w:after="0"/>
              <w:rPr>
                <w:sz w:val="20"/>
                <w:szCs w:val="20"/>
                <w:color w:val="auto"/>
              </w:rPr>
            </w:pPr>
            <w:r>
              <w:rPr>
                <w:rFonts w:ascii="Arial" w:cs="Arial" w:eastAsia="Arial" w:hAnsi="Arial"/>
                <w:sz w:val="18"/>
                <w:szCs w:val="18"/>
                <w:color w:val="auto"/>
              </w:rPr>
              <w:t>33%  $</w:t>
            </w:r>
          </w:p>
        </w:tc>
        <w:tc>
          <w:tcPr>
            <w:tcW w:w="840" w:type="dxa"/>
            <w:vAlign w:val="bottom"/>
            <w:shd w:val="clear" w:color="auto" w:fill="D2EDFE"/>
          </w:tcPr>
          <w:p>
            <w:pPr>
              <w:ind w:left="320"/>
              <w:spacing w:after="0"/>
              <w:rPr>
                <w:sz w:val="20"/>
                <w:szCs w:val="20"/>
                <w:color w:val="auto"/>
              </w:rPr>
            </w:pPr>
            <w:r>
              <w:rPr>
                <w:rFonts w:ascii="Arial" w:cs="Arial" w:eastAsia="Arial" w:hAnsi="Arial"/>
                <w:sz w:val="18"/>
                <w:szCs w:val="18"/>
                <w:color w:val="auto"/>
                <w:w w:val="90"/>
              </w:rPr>
              <w:t>82,261</w:t>
            </w:r>
          </w:p>
        </w:tc>
        <w:tc>
          <w:tcPr>
            <w:tcW w:w="1100" w:type="dxa"/>
            <w:vAlign w:val="bottom"/>
            <w:gridSpan w:val="2"/>
            <w:shd w:val="clear" w:color="auto" w:fill="D2EDFE"/>
          </w:tcPr>
          <w:p>
            <w:pPr>
              <w:jc w:val="right"/>
              <w:ind w:right="20"/>
              <w:spacing w:after="0"/>
              <w:rPr>
                <w:sz w:val="20"/>
                <w:szCs w:val="20"/>
                <w:color w:val="auto"/>
              </w:rPr>
            </w:pPr>
            <w:r>
              <w:rPr>
                <w:rFonts w:ascii="Arial" w:cs="Arial" w:eastAsia="Arial" w:hAnsi="Arial"/>
                <w:sz w:val="18"/>
                <w:szCs w:val="18"/>
                <w:color w:val="auto"/>
              </w:rPr>
              <w:t>38%</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Sales and marketing expenses for the year ended June 30, 2023 increased by $82.3 million, or 38%, to $296.7 million from $214.5 million for the year ended June 30, 2022. The increase in sales and marketing expense was primarily due to $53.9 million of additional employee-related costs, including those incurred to expand our sales team. The increase was also driven by $15.1 million of additional stock-based compensation costs associated with our equity incentive plan and $8.1 million in additional marketing lead generation costs.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Arial" w:cs="Arial" w:eastAsia="Arial" w:hAnsi="Arial"/>
                <w:sz w:val="14"/>
                <w:szCs w:val="14"/>
                <w:b w:val="1"/>
                <w:bCs w:val="1"/>
                <w:color w:val="auto"/>
              </w:rPr>
              <w:t>Change from 2021 to 2022</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from 2022 to 2023</w:t>
            </w:r>
          </w:p>
        </w:tc>
      </w:tr>
      <w:tr>
        <w:trPr>
          <w:trHeight w:val="26"/>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26"/>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76,707</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102,908</w:t>
            </w:r>
          </w:p>
        </w:tc>
        <w:tc>
          <w:tcPr>
            <w:tcW w:w="12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163,994</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26,201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61,086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Research and development expenses for the year ended June 30, 2023 increased by $61.1 million, or 59%, to $164.0 million from $102.9 million for the year ended June 30, 2022. The increase in research and development expenses was primarily due to $47.4 million of additional employee-related costs related to additional development personnel and $17.8 million of additional stock-based compensation costs associated with our equity incentive plan, partially offset by $9.1 million in higher period-over-period capitalized internal-use software costs.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June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Change from 2021 to 2022</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from 2022 to 2023</w:t>
            </w:r>
          </w:p>
        </w:tc>
      </w:tr>
      <w:tr>
        <w:trPr>
          <w:trHeight w:val="25"/>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r>
      <w:tr>
        <w:trPr>
          <w:trHeight w:val="39"/>
        </w:trPr>
        <w:tc>
          <w:tcPr>
            <w:tcW w:w="3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D2EDFE"/>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D2EDFE"/>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D2EDFE"/>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D2EDFE"/>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119,771</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163,692</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191,823</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43,921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28,131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1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General and administrative expenses for the year ended June 30, 2023 increased by $28.1 million, or 17%, to $191.8 million from $163.7 million for the year ended June 30, 2022. The increase in general and administrative expenses was primarily due to $12.8 million of additional stock-based compensation costs associated with our equity incentive plan and $12.3 million in additional employee-related costs.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131" w:lineRule="exact"/>
        <w:rPr>
          <w:sz w:val="20"/>
          <w:szCs w:val="20"/>
          <w:color w:val="auto"/>
        </w:rPr>
      </w:pPr>
    </w:p>
    <w:p>
      <w:pPr>
        <w:ind w:right="200" w:firstLine="648"/>
        <w:spacing w:after="0" w:line="324" w:lineRule="auto"/>
        <w:rPr>
          <w:sz w:val="20"/>
          <w:szCs w:val="20"/>
          <w:color w:val="auto"/>
        </w:rPr>
      </w:pPr>
      <w:r>
        <w:rPr>
          <w:rFonts w:ascii="Arial" w:cs="Arial" w:eastAsia="Arial" w:hAnsi="Arial"/>
          <w:sz w:val="16"/>
          <w:szCs w:val="16"/>
          <w:color w:val="auto"/>
        </w:rPr>
        <w:t>Other income (expense) for the year ended June 30, 2023 increased by $4.6 million as compared to the year ended June 30, 2022. The change in other income (expense) was primarily due to higher interest income earned on our cash and cash equivalents as a result of higher interest rates.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effective tax rates were (8.6)% and 11.2% for the years ended June 30, 2022 and 2023, respectively. Our effective tax rates for the years ended June 30, 2022 and 2023 were lower than the federal statutory rate of 21% primarily due to benefits from stock-based compensation and research and development tax credits generated.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See Note 14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derive our revenue from contracts with clients predominantly from recurring and non-recurring service fees. Recurring fees are derived from payroll and HR related services including time and attendance, HR and talent management and benefits enrollment and administration services. Payroll services are delivered on a weekly, biweekly, semi-monthly, or monthly basis depending upon the payroll frequency of the client and on an annual basis if a client selects W-2 preparation and processing services. HR related services are typically delivered on a monthly basis.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majority of our recurring fees are satisfied over time as services are provided. The performance obligations related to payroll services are satisfied upon the processing of a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we recognize the applicable recurring fees over time each month with the fee charged and collected based on a per employee per 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certain optional performance obligations that are satisfied at a point in time including the sales of time clocks and W-2 preparation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Non-recurring service fees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Internal-use software is amortized on a straight-line basis, generally over a two- to three-year period while certain projects that support our main processing activities are amortized over ten years.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2021, 2022 or 2023. We capitalized $31.7 million, $42.2 million and $55.6 million of internal-use software costs for the years ended June 30, 2021, 2022 and 2023, respectively, including stock-based compensation costs of $2.6 million, $7.1 million and $11.9 million for the years ended June 30, 2021, 2022 and 2023, respectively. We amortized $23.2 million, $25.3 million and $31.4 million of capitalized internal-use software costs for the years ended June 30, 2021, 2022 and 2023, respectively.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right="60" w:firstLine="648"/>
        <w:spacing w:after="0" w:line="277" w:lineRule="auto"/>
        <w:rPr>
          <w:sz w:val="20"/>
          <w:szCs w:val="20"/>
          <w:color w:val="auto"/>
        </w:rPr>
      </w:pPr>
      <w:r>
        <w:rPr>
          <w:rFonts w:ascii="Arial" w:cs="Arial" w:eastAsia="Arial" w:hAnsi="Arial"/>
          <w:sz w:val="16"/>
          <w:szCs w:val="16"/>
          <w:color w:val="auto"/>
        </w:rPr>
        <w:t>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 allocations require us to make significant judgments and estimates in determining such fair values, particularly related to intangible assets. Such estimates used in valuation methodologies can include, but are not limited to, forecasted revenue growth rates</w:t>
      </w:r>
    </w:p>
    <w:p>
      <w:pPr>
        <w:spacing w:after="0" w:line="1"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and cost projections, expected time and costs to rebuild developed technology, and discount rates. These estimates 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As of June 30, 2023, our principal sources of liquidity were $288.8 million of cash and cash equivalents. In July 2019, we entered into a five-year revolving credit agreement, which we amended in August 2022. The amended credit agreement provides for a $550.0 million revolving credit facility which may be increased up to $825.0 million. No amounts were drawn on the revolving credit facility as of June 30, 2023. In the fourth quarter of fiscal 2020, we borrowed $100.0 million under the original credit facility, which we repaid in the third quarter of fiscal 2021. In the third quarter of fiscal 2022, we borrowed $50.0 million in connection with our acquisition of Cloudsnap, Inc., which we repaid within the same quarter. Refer to Note 12 of the Notes to the Consolidated Financial Statements included in Part II, Item 8: “Financial Statements and Supplementary Data” for additional details on the credit agreement and borrowing activity.</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As of June 30, 2023, we did not have any corporate investments classified as available-for-sale securities.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8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Year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5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6"/>
        </w:trPr>
        <w:tc>
          <w:tcPr>
            <w:tcW w:w="6580" w:type="dxa"/>
            <w:vAlign w:val="bottom"/>
            <w:tcBorders>
              <w:bottom w:val="single" w:sz="8" w:color="D2EDFE"/>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D2EDFE"/>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124,850</w:t>
            </w:r>
          </w:p>
        </w:tc>
        <w:tc>
          <w:tcPr>
            <w:tcW w:w="220" w:type="dxa"/>
            <w:vAlign w:val="bottom"/>
            <w:gridSpan w:val="2"/>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155,053</w:t>
            </w:r>
          </w:p>
        </w:tc>
        <w:tc>
          <w:tcPr>
            <w:tcW w:w="460" w:type="dxa"/>
            <w:vAlign w:val="bottom"/>
            <w:gridSpan w:val="2"/>
            <w:shd w:val="clear" w:color="auto" w:fill="D2EDF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282,723</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6580" w:type="dxa"/>
            <w:vAlign w:val="bottom"/>
            <w:tcBorders>
              <w:bottom w:val="single" w:sz="8" w:color="D2EDFE"/>
            </w:tcBorders>
            <w:shd w:val="clear" w:color="auto" w:fill="D2EDFE"/>
          </w:tcPr>
          <w:p>
            <w:pPr>
              <w:ind w:left="360"/>
              <w:spacing w:after="0"/>
              <w:rPr>
                <w:sz w:val="20"/>
                <w:szCs w:val="20"/>
                <w:color w:val="auto"/>
              </w:rPr>
            </w:pPr>
            <w:r>
              <w:rPr>
                <w:rFonts w:ascii="Arial" w:cs="Arial" w:eastAsia="Arial" w:hAnsi="Arial"/>
                <w:sz w:val="18"/>
                <w:szCs w:val="18"/>
                <w:color w:val="auto"/>
              </w:rPr>
              <w:t>Purchases of available-for-sale securities and other</w:t>
            </w:r>
          </w:p>
        </w:tc>
        <w:tc>
          <w:tcPr>
            <w:tcW w:w="360" w:type="dxa"/>
            <w:vAlign w:val="bottom"/>
            <w:tcBorders>
              <w:bottom w:val="single" w:sz="8" w:color="D2EDFE"/>
            </w:tcBorders>
            <w:shd w:val="clear" w:color="auto" w:fill="D2EDFE"/>
          </w:tcPr>
          <w:p>
            <w:pPr>
              <w:spacing w:after="0"/>
              <w:rPr>
                <w:sz w:val="22"/>
                <w:szCs w:val="22"/>
                <w:color w:val="auto"/>
              </w:rPr>
            </w:pPr>
          </w:p>
        </w:tc>
        <w:tc>
          <w:tcPr>
            <w:tcW w:w="112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DFE"/>
            </w:tcBorders>
            <w:shd w:val="clear" w:color="auto" w:fill="D2EDFE"/>
          </w:tcPr>
          <w:p>
            <w:pPr>
              <w:spacing w:after="0"/>
              <w:rPr>
                <w:sz w:val="22"/>
                <w:szCs w:val="22"/>
                <w:color w:val="auto"/>
              </w:rPr>
            </w:pPr>
          </w:p>
        </w:tc>
        <w:tc>
          <w:tcPr>
            <w:tcW w:w="120" w:type="dxa"/>
            <w:vAlign w:val="bottom"/>
            <w:tcBorders>
              <w:bottom w:val="single" w:sz="8" w:color="D2EDFE"/>
            </w:tcBorders>
            <w:shd w:val="clear" w:color="auto" w:fill="D2EDFE"/>
          </w:tcPr>
          <w:p>
            <w:pPr>
              <w:spacing w:after="0"/>
              <w:rPr>
                <w:sz w:val="22"/>
                <w:szCs w:val="22"/>
                <w:color w:val="auto"/>
              </w:rPr>
            </w:pPr>
          </w:p>
        </w:tc>
        <w:tc>
          <w:tcPr>
            <w:tcW w:w="13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(433,962)</w:t>
            </w:r>
          </w:p>
        </w:tc>
        <w:tc>
          <w:tcPr>
            <w:tcW w:w="120" w:type="dxa"/>
            <w:vAlign w:val="bottom"/>
            <w:tcBorders>
              <w:bottom w:val="single" w:sz="8" w:color="D2EDFE"/>
            </w:tcBorders>
            <w:shd w:val="clear" w:color="auto" w:fill="D2EDFE"/>
          </w:tcPr>
          <w:p>
            <w:pPr>
              <w:spacing w:after="0"/>
              <w:rPr>
                <w:sz w:val="22"/>
                <w:szCs w:val="22"/>
                <w:color w:val="auto"/>
              </w:rPr>
            </w:pPr>
          </w:p>
        </w:tc>
        <w:tc>
          <w:tcPr>
            <w:tcW w:w="340" w:type="dxa"/>
            <w:vAlign w:val="bottom"/>
            <w:tcBorders>
              <w:bottom w:val="single" w:sz="8" w:color="D2EDFE"/>
            </w:tcBorders>
            <w:shd w:val="clear" w:color="auto" w:fill="D2EDFE"/>
          </w:tcPr>
          <w:p>
            <w:pPr>
              <w:spacing w:after="0"/>
              <w:rPr>
                <w:sz w:val="22"/>
                <w:szCs w:val="22"/>
                <w:color w:val="auto"/>
              </w:rPr>
            </w:pPr>
          </w:p>
        </w:tc>
        <w:tc>
          <w:tcPr>
            <w:tcW w:w="11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(598,895)</w:t>
            </w:r>
          </w:p>
        </w:tc>
      </w:tr>
      <w:tr>
        <w:trPr>
          <w:trHeight w:val="250"/>
        </w:trPr>
        <w:tc>
          <w:tcPr>
            <w:tcW w:w="6580" w:type="dxa"/>
            <w:vAlign w:val="bottom"/>
          </w:tcPr>
          <w:p>
            <w:pPr>
              <w:ind w:left="36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116,848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446,751</w:t>
            </w:r>
          </w:p>
        </w:tc>
      </w:tr>
      <w:tr>
        <w:trPr>
          <w:trHeight w:val="263"/>
        </w:trPr>
        <w:tc>
          <w:tcPr>
            <w:tcW w:w="6580" w:type="dxa"/>
            <w:vAlign w:val="bottom"/>
            <w:shd w:val="clear" w:color="auto" w:fill="D2EDFE"/>
          </w:tcPr>
          <w:p>
            <w:pPr>
              <w:ind w:left="360"/>
              <w:spacing w:after="0"/>
              <w:rPr>
                <w:sz w:val="20"/>
                <w:szCs w:val="20"/>
                <w:color w:val="auto"/>
              </w:rPr>
            </w:pPr>
            <w:r>
              <w:rPr>
                <w:rFonts w:ascii="Arial" w:cs="Arial" w:eastAsia="Arial" w:hAnsi="Arial"/>
                <w:sz w:val="18"/>
                <w:szCs w:val="18"/>
                <w:color w:val="auto"/>
              </w:rPr>
              <w:t>Capitalized internal-use software costs</w:t>
            </w:r>
          </w:p>
        </w:tc>
        <w:tc>
          <w:tcPr>
            <w:tcW w:w="360" w:type="dxa"/>
            <w:vAlign w:val="bottom"/>
            <w:shd w:val="clear" w:color="auto" w:fill="D2EDFE"/>
          </w:tcPr>
          <w:p>
            <w:pPr>
              <w:spacing w:after="0"/>
              <w:rPr>
                <w:sz w:val="22"/>
                <w:szCs w:val="22"/>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(28,594)</w:t>
            </w:r>
          </w:p>
        </w:tc>
        <w:tc>
          <w:tcPr>
            <w:tcW w:w="10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(34,515)</w:t>
            </w:r>
          </w:p>
        </w:tc>
        <w:tc>
          <w:tcPr>
            <w:tcW w:w="12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(45,004)</w:t>
            </w:r>
          </w:p>
        </w:tc>
      </w:tr>
      <w:tr>
        <w:trPr>
          <w:trHeight w:val="250"/>
        </w:trPr>
        <w:tc>
          <w:tcPr>
            <w:tcW w:w="65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(21,910)</w:t>
            </w:r>
          </w:p>
        </w:tc>
      </w:tr>
      <w:tr>
        <w:trPr>
          <w:trHeight w:val="263"/>
        </w:trPr>
        <w:tc>
          <w:tcPr>
            <w:tcW w:w="6580" w:type="dxa"/>
            <w:vAlign w:val="bottom"/>
            <w:shd w:val="clear" w:color="auto" w:fill="D2EDFE"/>
          </w:tcPr>
          <w:p>
            <w:pPr>
              <w:ind w:left="36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shd w:val="clear" w:color="auto" w:fill="D2EDFE"/>
          </w:tcPr>
          <w:p>
            <w:pPr>
              <w:spacing w:after="0"/>
              <w:rPr>
                <w:sz w:val="22"/>
                <w:szCs w:val="22"/>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(107,576)</w:t>
            </w:r>
          </w:p>
        </w:tc>
        <w:tc>
          <w:tcPr>
            <w:tcW w:w="12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80" w:type="dxa"/>
            <w:vAlign w:val="bottom"/>
          </w:tcPr>
          <w:p>
            <w:pPr>
              <w:ind w:left="36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243"/>
        </w:trPr>
        <w:tc>
          <w:tcPr>
            <w:tcW w:w="6580" w:type="dxa"/>
            <w:vAlign w:val="bottom"/>
            <w:tcBorders>
              <w:bottom w:val="single" w:sz="8" w:color="D2EDFE"/>
            </w:tcBorders>
            <w:shd w:val="clear" w:color="auto" w:fill="D2EDFE"/>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D2EDFE"/>
            </w:tcBorders>
            <w:shd w:val="clear" w:color="auto" w:fill="D2EDFE"/>
          </w:tcPr>
          <w:p>
            <w:pPr>
              <w:spacing w:after="0"/>
              <w:rPr>
                <w:sz w:val="21"/>
                <w:szCs w:val="21"/>
                <w:color w:val="auto"/>
              </w:rPr>
            </w:pPr>
          </w:p>
        </w:tc>
        <w:tc>
          <w:tcPr>
            <w:tcW w:w="112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48,420</w:t>
            </w:r>
          </w:p>
        </w:tc>
        <w:tc>
          <w:tcPr>
            <w:tcW w:w="100" w:type="dxa"/>
            <w:vAlign w:val="bottom"/>
            <w:tcBorders>
              <w:bottom w:val="single" w:sz="8" w:color="D2EDFE"/>
            </w:tcBorders>
            <w:shd w:val="clear" w:color="auto" w:fill="D2EDFE"/>
          </w:tcPr>
          <w:p>
            <w:pPr>
              <w:spacing w:after="0"/>
              <w:rPr>
                <w:sz w:val="21"/>
                <w:szCs w:val="21"/>
                <w:color w:val="auto"/>
              </w:rPr>
            </w:pPr>
          </w:p>
        </w:tc>
        <w:tc>
          <w:tcPr>
            <w:tcW w:w="120" w:type="dxa"/>
            <w:vAlign w:val="bottom"/>
            <w:tcBorders>
              <w:bottom w:val="single" w:sz="8" w:color="D2EDFE"/>
            </w:tcBorders>
            <w:shd w:val="clear" w:color="auto" w:fill="D2EDFE"/>
          </w:tcPr>
          <w:p>
            <w:pPr>
              <w:spacing w:after="0"/>
              <w:rPr>
                <w:sz w:val="21"/>
                <w:szCs w:val="21"/>
                <w:color w:val="auto"/>
              </w:rPr>
            </w:pPr>
          </w:p>
        </w:tc>
        <w:tc>
          <w:tcPr>
            <w:tcW w:w="136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(479,774)</w:t>
            </w:r>
          </w:p>
        </w:tc>
        <w:tc>
          <w:tcPr>
            <w:tcW w:w="120" w:type="dxa"/>
            <w:vAlign w:val="bottom"/>
            <w:tcBorders>
              <w:bottom w:val="single" w:sz="8" w:color="D2EDFE"/>
            </w:tcBorders>
            <w:shd w:val="clear" w:color="auto" w:fill="D2EDFE"/>
          </w:tcPr>
          <w:p>
            <w:pPr>
              <w:spacing w:after="0"/>
              <w:rPr>
                <w:sz w:val="21"/>
                <w:szCs w:val="21"/>
                <w:color w:val="auto"/>
              </w:rPr>
            </w:pPr>
          </w:p>
        </w:tc>
        <w:tc>
          <w:tcPr>
            <w:tcW w:w="340" w:type="dxa"/>
            <w:vAlign w:val="bottom"/>
            <w:tcBorders>
              <w:bottom w:val="single" w:sz="8" w:color="D2EDFE"/>
            </w:tcBorders>
            <w:shd w:val="clear" w:color="auto" w:fill="D2EDFE"/>
          </w:tcPr>
          <w:p>
            <w:pPr>
              <w:spacing w:after="0"/>
              <w:rPr>
                <w:sz w:val="21"/>
                <w:szCs w:val="21"/>
                <w:color w:val="auto"/>
              </w:rPr>
            </w:pPr>
          </w:p>
        </w:tc>
        <w:tc>
          <w:tcPr>
            <w:tcW w:w="1140" w:type="dxa"/>
            <w:vAlign w:val="bottom"/>
            <w:tcBorders>
              <w:bottom w:val="single" w:sz="8" w:color="D2EDFE"/>
            </w:tcBorders>
            <w:shd w:val="clear" w:color="auto" w:fill="D2EDFE"/>
          </w:tcPr>
          <w:p>
            <w:pPr>
              <w:jc w:val="right"/>
              <w:spacing w:after="0"/>
              <w:rPr>
                <w:sz w:val="20"/>
                <w:szCs w:val="20"/>
                <w:color w:val="auto"/>
              </w:rPr>
            </w:pPr>
            <w:r>
              <w:rPr>
                <w:rFonts w:ascii="Arial" w:cs="Arial" w:eastAsia="Arial" w:hAnsi="Arial"/>
                <w:sz w:val="18"/>
                <w:szCs w:val="18"/>
                <w:color w:val="auto"/>
              </w:rPr>
              <w:t>(220,162)</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80" w:type="dxa"/>
            <w:vAlign w:val="bottom"/>
            <w:shd w:val="clear" w:color="auto" w:fill="D2EDFE"/>
          </w:tcPr>
          <w:p>
            <w:pPr>
              <w:ind w:left="360"/>
              <w:spacing w:after="0"/>
              <w:rPr>
                <w:sz w:val="20"/>
                <w:szCs w:val="20"/>
                <w:color w:val="auto"/>
              </w:rPr>
            </w:pPr>
            <w:r>
              <w:rPr>
                <w:rFonts w:ascii="Arial" w:cs="Arial" w:eastAsia="Arial" w:hAnsi="Arial"/>
                <w:sz w:val="18"/>
                <w:szCs w:val="18"/>
                <w:color w:val="auto"/>
              </w:rPr>
              <w:t>Net change in client fund obligations</w:t>
            </w:r>
          </w:p>
        </w:tc>
        <w:tc>
          <w:tcPr>
            <w:tcW w:w="360" w:type="dxa"/>
            <w:vAlign w:val="bottom"/>
            <w:shd w:val="clear" w:color="auto" w:fill="D2EDFE"/>
          </w:tcPr>
          <w:p>
            <w:pPr>
              <w:spacing w:after="0"/>
              <w:rPr>
                <w:sz w:val="22"/>
                <w:szCs w:val="22"/>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432,373</w:t>
            </w:r>
          </w:p>
        </w:tc>
        <w:tc>
          <w:tcPr>
            <w:tcW w:w="10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2,228,038</w:t>
            </w:r>
          </w:p>
        </w:tc>
        <w:tc>
          <w:tcPr>
            <w:tcW w:w="12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(1,362,421)</w:t>
            </w:r>
          </w:p>
        </w:tc>
      </w:tr>
      <w:tr>
        <w:trPr>
          <w:trHeight w:val="250"/>
        </w:trPr>
        <w:tc>
          <w:tcPr>
            <w:tcW w:w="6580" w:type="dxa"/>
            <w:vAlign w:val="bottom"/>
          </w:tcPr>
          <w:p>
            <w:pPr>
              <w:ind w:left="360"/>
              <w:spacing w:after="0"/>
              <w:rPr>
                <w:sz w:val="20"/>
                <w:szCs w:val="20"/>
                <w:color w:val="auto"/>
              </w:rPr>
            </w:pPr>
            <w:r>
              <w:rPr>
                <w:rFonts w:ascii="Arial" w:cs="Arial" w:eastAsia="Arial" w:hAnsi="Arial"/>
                <w:sz w:val="18"/>
                <w:szCs w:val="18"/>
                <w:color w:val="auto"/>
              </w:rPr>
              <w:t>Borrowings under credit facility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580" w:type="dxa"/>
            <w:vAlign w:val="bottom"/>
            <w:shd w:val="clear" w:color="auto" w:fill="D2EDFE"/>
          </w:tcPr>
          <w:p>
            <w:pPr>
              <w:ind w:left="360"/>
              <w:spacing w:after="0"/>
              <w:rPr>
                <w:sz w:val="20"/>
                <w:szCs w:val="20"/>
                <w:color w:val="auto"/>
              </w:rPr>
            </w:pPr>
            <w:r>
              <w:rPr>
                <w:rFonts w:ascii="Arial" w:cs="Arial" w:eastAsia="Arial" w:hAnsi="Arial"/>
                <w:sz w:val="18"/>
                <w:szCs w:val="18"/>
                <w:color w:val="auto"/>
              </w:rPr>
              <w:t>Repayment of credit facility</w:t>
            </w:r>
          </w:p>
        </w:tc>
        <w:tc>
          <w:tcPr>
            <w:tcW w:w="360" w:type="dxa"/>
            <w:vAlign w:val="bottom"/>
            <w:shd w:val="clear" w:color="auto" w:fill="D2EDFE"/>
          </w:tcPr>
          <w:p>
            <w:pPr>
              <w:spacing w:after="0"/>
              <w:rPr>
                <w:sz w:val="22"/>
                <w:szCs w:val="22"/>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580" w:type="dxa"/>
            <w:vAlign w:val="bottom"/>
            <w:shd w:val="clear" w:color="auto" w:fill="D2EDFE"/>
          </w:tcPr>
          <w:p>
            <w:pPr>
              <w:ind w:left="36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shd w:val="clear" w:color="auto" w:fill="D2EDFE"/>
          </w:tcPr>
          <w:p>
            <w:pPr>
              <w:spacing w:after="0"/>
              <w:rPr>
                <w:sz w:val="22"/>
                <w:szCs w:val="22"/>
                <w:color w:val="auto"/>
              </w:rPr>
            </w:pP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14,103</w:t>
            </w:r>
          </w:p>
        </w:tc>
        <w:tc>
          <w:tcPr>
            <w:tcW w:w="12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16,916</w:t>
            </w:r>
          </w:p>
        </w:tc>
      </w:tr>
      <w:tr>
        <w:trPr>
          <w:trHeight w:val="250"/>
        </w:trPr>
        <w:tc>
          <w:tcPr>
            <w:tcW w:w="6580" w:type="dxa"/>
            <w:vAlign w:val="bottom"/>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(88,312)</w:t>
            </w:r>
          </w:p>
        </w:tc>
      </w:tr>
      <w:tr>
        <w:trPr>
          <w:trHeight w:val="257"/>
        </w:trPr>
        <w:tc>
          <w:tcPr>
            <w:tcW w:w="6580" w:type="dxa"/>
            <w:vAlign w:val="bottom"/>
            <w:tcBorders>
              <w:bottom w:val="single" w:sz="8" w:color="D2EDFE"/>
            </w:tcBorders>
            <w:shd w:val="clear" w:color="auto" w:fill="D2EDFE"/>
          </w:tcPr>
          <w:p>
            <w:pPr>
              <w:ind w:left="36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Borders>
              <w:bottom w:val="single" w:sz="8" w:color="auto"/>
            </w:tcBorders>
            <w:shd w:val="clear" w:color="auto" w:fill="D2EDFE"/>
          </w:tcPr>
          <w:p>
            <w:pPr>
              <w:spacing w:after="0"/>
              <w:rPr>
                <w:sz w:val="22"/>
                <w:szCs w:val="22"/>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D2EDFE"/>
            </w:tcBorders>
            <w:shd w:val="clear" w:color="auto" w:fill="D2EDFE"/>
          </w:tcPr>
          <w:p>
            <w:pPr>
              <w:spacing w:after="0"/>
              <w:rPr>
                <w:sz w:val="22"/>
                <w:szCs w:val="22"/>
                <w:color w:val="auto"/>
              </w:rPr>
            </w:pPr>
          </w:p>
        </w:tc>
        <w:tc>
          <w:tcPr>
            <w:tcW w:w="120" w:type="dxa"/>
            <w:vAlign w:val="bottom"/>
            <w:tcBorders>
              <w:bottom w:val="single" w:sz="8" w:color="auto"/>
            </w:tcBorders>
            <w:shd w:val="clear" w:color="auto" w:fill="D2EDFE"/>
          </w:tcPr>
          <w:p>
            <w:pPr>
              <w:spacing w:after="0"/>
              <w:rPr>
                <w:sz w:val="22"/>
                <w:szCs w:val="22"/>
                <w:color w:val="auto"/>
              </w:rPr>
            </w:pPr>
          </w:p>
        </w:tc>
        <w:tc>
          <w:tcPr>
            <w:tcW w:w="13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D2EDFE"/>
            </w:tcBorders>
            <w:shd w:val="clear" w:color="auto" w:fill="D2EDFE"/>
          </w:tcPr>
          <w:p>
            <w:pPr>
              <w:spacing w:after="0"/>
              <w:rPr>
                <w:sz w:val="22"/>
                <w:szCs w:val="22"/>
                <w:color w:val="auto"/>
              </w:rPr>
            </w:pP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(885)</w:t>
            </w:r>
          </w:p>
        </w:tc>
      </w:tr>
      <w:tr>
        <w:trPr>
          <w:trHeight w:val="257"/>
        </w:trPr>
        <w:tc>
          <w:tcPr>
            <w:tcW w:w="658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2,172,293</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(1,434,702)</w:t>
            </w:r>
          </w:p>
        </w:tc>
      </w:tr>
      <w:tr>
        <w:trPr>
          <w:trHeight w:val="283"/>
        </w:trPr>
        <w:tc>
          <w:tcPr>
            <w:tcW w:w="6580" w:type="dxa"/>
            <w:vAlign w:val="bottom"/>
            <w:shd w:val="clear" w:color="auto" w:fill="D2EDFE"/>
          </w:tcPr>
          <w:p>
            <w:pPr>
              <w:ind w:left="20"/>
              <w:spacing w:after="0"/>
              <w:rPr>
                <w:sz w:val="20"/>
                <w:szCs w:val="20"/>
                <w:color w:val="auto"/>
              </w:rPr>
            </w:pPr>
            <w:r>
              <w:rPr>
                <w:rFonts w:ascii="Arial" w:cs="Arial" w:eastAsia="Arial" w:hAnsi="Arial"/>
                <w:sz w:val="18"/>
                <w:szCs w:val="18"/>
                <w:color w:val="auto"/>
                <w:w w:val="90"/>
              </w:rPr>
              <w:t>Net change in cash, cash equivalents and funds held for clients' cash and cash equivalents</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453,748</w:t>
            </w:r>
          </w:p>
        </w:tc>
        <w:tc>
          <w:tcPr>
            <w:tcW w:w="220" w:type="dxa"/>
            <w:vAlign w:val="bottom"/>
            <w:gridSpan w:val="2"/>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1,847,572</w:t>
            </w:r>
          </w:p>
        </w:tc>
        <w:tc>
          <w:tcPr>
            <w:tcW w:w="460" w:type="dxa"/>
            <w:vAlign w:val="bottom"/>
            <w:gridSpan w:val="2"/>
            <w:shd w:val="clear" w:color="auto" w:fill="D2EDF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(1,372,141)</w:t>
            </w:r>
          </w:p>
        </w:tc>
      </w:tr>
      <w:tr>
        <w:trPr>
          <w:trHeight w:val="20"/>
        </w:trPr>
        <w:tc>
          <w:tcPr>
            <w:tcW w:w="6580" w:type="dxa"/>
            <w:vAlign w:val="bottom"/>
            <w:tcBorders>
              <w:top w:val="single" w:sz="8" w:color="D2EDF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Net cash provided by operating activities was $124.9 million, $155.1 million and $282.7 million for the years ended June 30, 2021, 2022 and 2023, respectively.</w:t>
      </w:r>
    </w:p>
    <w:p>
      <w:pPr>
        <w:spacing w:after="0" w:line="184"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change in net cash provided by operating activities from fiscal 2022 to fiscal 2023 was primarily due to improved operating results after adjusting for non-cash items including stock-based compensation expense, depreciation and amortization expense and deferred income tax expense (benefit), partially offset by net changes in operating assets and liabilities during the year ended June 30, 2023 as compared to the year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color w:val="auto"/>
        </w:rPr>
        <w:t>Net cash provided by (used in) investing activities was $48.4 million, $(479.8) million and $(220.2) million, for the years ended June 30, 2021, 2022 and 2023, respectively. Net cash provided by (used in) investing activities is significantly impacted by the timing of purchases and sales and maturities of investments as we may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change in net cash provided by (used in) investing activities from fiscal 2022 to fiscal 2023 was primarily due to an increase in proceeds from sales and maturities of available-for-sale securities of $329.9 million and a decrease of $107.6 million in amounts paid for acquisitions, net of cash acquired, partially offset by $164.9 in additional purchases of available-for-sale securities during the year ended June 30, 2023 as compared to the year ended June 30,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(used in) financing activities was $280.5 million, $2,172.3 million and $(1,434.7) million for the years ended June 30,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2022 and 2023, respectively. The change in net cash provided by (used in) financing activities was primarily the decrease in client fund obligations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$3,590.5 million due to the timing of client funds collected and related remittance of those funds to client employees and taxing authorities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2023 as compared to the year ended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$9.5 million, $18.1 million and $21.9 million for the years ended June 30, 2021, 2022 and 2023, respectively, exclusive of capitalized internal-use software costs of $28.6 million, $34.5 million, and $45.0 million for the same periods,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principal commitments consist of $81.3 million in operating lease obligations, of which $10.1 million is due in the next twelve months. Refer to Note 13 of the Notes to the Consolidated Financial Statements included in Part II, Item 8: “Financial Statements and Supplementary Data” for additional details on our lease activity. We also have $59.0 million in purchase obligations, of which $32.2 million is due in the next twelve months.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As of June 30, 2023, we had cash and cash equivalents of $288.8 million and funds held for clients of $2,621.4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money market funds, commercial paper, corporate debt issuances, asset-backed debt securities, certificates of deposit, U.S. treasury securities, U.S. government agency securities and other securities. Our investment policy is focused on generating higher yields from these investments while preserving liquidity</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and capital. However, as a result of our investing activities, we are exposed to changes in interest rates that may materially affect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credit impairment losses on our portfolio to date.</w:t>
      </w:r>
    </w:p>
    <w:p>
      <w:pPr>
        <w:spacing w:after="0" w:line="16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$5.0 million as of June 30, 2023. An immediate 100-basis point decrease in interest rates would have resulted in an increase in the market value of our available-for-sale securities by $5.0 million as of June 30, 2023. Fluctuations in the value of our available-for-sale securities caused by changes in interest rates are recorded in other comprehensive income and are only realized if we sell the underlying securities.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212529"/>
        </w:rPr>
        <w:t xml:space="preserve">Additionally, as described in </w:t>
      </w:r>
      <w:r>
        <w:rPr>
          <w:rFonts w:ascii="Arial" w:cs="Arial" w:eastAsia="Arial" w:hAnsi="Arial"/>
          <w:sz w:val="18"/>
          <w:szCs w:val="18"/>
          <w:color w:val="000000"/>
        </w:rPr>
        <w:t>Note 12 of the Notes to the Consolidated Financial Statements included in Part II, Item 8: “Financial Statements and</w:t>
      </w:r>
      <w:r>
        <w:rPr>
          <w:rFonts w:ascii="Arial" w:cs="Arial" w:eastAsia="Arial" w:hAnsi="Arial"/>
          <w:sz w:val="18"/>
          <w:szCs w:val="18"/>
          <w:color w:val="212529"/>
        </w:rPr>
        <w:t xml:space="preserve"> </w:t>
      </w:r>
      <w:r>
        <w:rPr>
          <w:rFonts w:ascii="Arial" w:cs="Arial" w:eastAsia="Arial" w:hAnsi="Arial"/>
          <w:sz w:val="18"/>
          <w:szCs w:val="18"/>
          <w:color w:val="000000"/>
        </w:rPr>
        <w:t>Supplementary Data”</w:t>
      </w:r>
      <w:r>
        <w:rPr>
          <w:rFonts w:ascii="Arial" w:cs="Arial" w:eastAsia="Arial" w:hAnsi="Arial"/>
          <w:sz w:val="18"/>
          <w:szCs w:val="18"/>
          <w:color w:val="212529"/>
        </w:rPr>
        <w:t>, we entered into a first amendment to our credit agreement that provides for a revolving credit facility (“credit facility”) in the</w:t>
      </w:r>
      <w:r>
        <w:rPr>
          <w:rFonts w:ascii="Arial" w:cs="Arial" w:eastAsia="Arial" w:hAnsi="Arial"/>
          <w:sz w:val="18"/>
          <w:szCs w:val="18"/>
          <w:color w:val="000000"/>
        </w:rPr>
        <w:t xml:space="preserve"> </w:t>
      </w:r>
      <w:r>
        <w:rPr>
          <w:rFonts w:ascii="Arial" w:cs="Arial" w:eastAsia="Arial" w:hAnsi="Arial"/>
          <w:sz w:val="18"/>
          <w:szCs w:val="18"/>
          <w:color w:val="212529"/>
        </w:rPr>
        <w:t xml:space="preserve">aggregate amount of </w:t>
      </w:r>
      <w:r>
        <w:rPr>
          <w:rFonts w:ascii="Arial" w:cs="Arial" w:eastAsia="Arial" w:hAnsi="Arial"/>
          <w:sz w:val="18"/>
          <w:szCs w:val="18"/>
          <w:color w:val="000000"/>
        </w:rPr>
        <w:t>$550.0</w:t>
      </w:r>
      <w:r>
        <w:rPr>
          <w:rFonts w:ascii="Arial" w:cs="Arial" w:eastAsia="Arial" w:hAnsi="Arial"/>
          <w:sz w:val="18"/>
          <w:szCs w:val="18"/>
          <w:color w:val="212529"/>
        </w:rPr>
        <w:t xml:space="preserve"> million, which may be increased up to </w:t>
      </w:r>
      <w:r>
        <w:rPr>
          <w:rFonts w:ascii="Arial" w:cs="Arial" w:eastAsia="Arial" w:hAnsi="Arial"/>
          <w:sz w:val="18"/>
          <w:szCs w:val="18"/>
          <w:color w:val="000000"/>
        </w:rPr>
        <w:t>$825.0</w:t>
      </w:r>
      <w:r>
        <w:rPr>
          <w:rFonts w:ascii="Arial" w:cs="Arial" w:eastAsia="Arial" w:hAnsi="Arial"/>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Arial" w:cs="Arial" w:eastAsia="Arial" w:hAnsi="Arial"/>
          <w:sz w:val="18"/>
          <w:szCs w:val="18"/>
          <w:color w:val="000000"/>
        </w:rPr>
        <w:t>June 30, 2023</w:t>
      </w:r>
      <w:r>
        <w:rPr>
          <w:rFonts w:ascii="Arial" w:cs="Arial" w:eastAsia="Arial" w:hAnsi="Arial"/>
          <w:sz w:val="18"/>
          <w:szCs w:val="18"/>
          <w:color w:val="212529"/>
        </w:rPr>
        <w:t>,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starting on page F-1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61"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Our management, with the participation of our Co-Chief Executive Officers and Chief Financial Officer, has evaluated the effectiveness of our disclosure controls and procedures as of June 30, 2023, the end of the period covered by this Annual Report on Form 10-K. Based upon such evaluation, our Co-Chief Executive Officers and Chief Financial Officer have concluded that our disclosure controls and procedures were effective as of such date.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Report of the Registered Public Accounting Firm</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management, including our Co-Chief Executive Officers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Co-Chief Executive Officers and Chief Financial Officer, we conducted an evaluation of the effectiveness of our internal control over financial reporting as of June 30, 2023, based on the framework in Internal Control —Integrated Framework issued by the Committee of Sponsoring Organizations of the Treadway Commission (COSO) (2013 framework). Based on this evaluation under the Internal Control—Integrated Framework, our Co-Chief Executive Officers and Chief Financial Officer have concluded that our internal control over financial reporting was effective as of June 30, 2023.</w:t>
      </w:r>
    </w:p>
    <w:p>
      <w:pPr>
        <w:spacing w:after="0" w:line="188"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Our independent registered public accounting firm, which has audited our financial statements, has also audited the effectiveness of our internal control over financial reporting as of June 30, 2023, as stated in their report, which is included in Item 15(a)(1) of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June 30, 2023,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required by Part III, Item 10, will be included in our Proxy Statement relating to our 2024 annual meeting of stockholders to be filed with the SEC within 120 days after the end of our fiscal year ended June 30, 2023,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required by Part III, Item 11, will be included in our Proxy Statement relating to our 2024 annual meeting of stockholders to be filed with the SEC within 120 days after the end of our fiscal year ended June 30, 2023,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required by Part III, Item 12, will be included in our Proxy Statement relating to our 2024 annual meeting of stockholders to be filed with the SEC within 120 days after the end of our fiscal year ended June 30, 2023, and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required by Part III, Item 13, will be included in our Proxy Statement relating to our 2024 annual meeting of stockholders to be filed with the SEC within 120 days after the end of our fiscal year ended June 30, 2023,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independent registered public accounting firm is KPMG LLP, Chicago, IL, Audit Firm ID: 185.</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required by Part III, Item 14, will be included in our Proxy Statement relating to our 2024 annual meeting of stockholders to be filed with the SEC within 120 days after the end of our fiscal year ended June 30, 2023, and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540" w:type="dxa"/>
            <w:vAlign w:val="bottom"/>
            <w:gridSpan w:val="8"/>
          </w:tcPr>
          <w:p>
            <w:pPr>
              <w:spacing w:after="0"/>
              <w:rPr>
                <w:sz w:val="20"/>
                <w:szCs w:val="20"/>
                <w:color w:val="auto"/>
              </w:rPr>
            </w:pPr>
            <w:r>
              <w:rPr>
                <w:rFonts w:ascii="Arial" w:cs="Arial" w:eastAsia="Arial" w:hAnsi="Arial"/>
                <w:sz w:val="18"/>
                <w:szCs w:val="18"/>
                <w:color w:val="0000FF"/>
              </w:rPr>
              <w:t>Table of Contents</w:t>
            </w:r>
          </w:p>
        </w:tc>
        <w:tc>
          <w:tcPr>
            <w:tcW w:w="266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3"/>
          </w:tcPr>
          <w:p>
            <w:pPr>
              <w:ind w:left="1000"/>
              <w:spacing w:after="0"/>
              <w:rPr>
                <w:sz w:val="20"/>
                <w:szCs w:val="20"/>
                <w:color w:val="auto"/>
              </w:rPr>
            </w:pPr>
            <w:r>
              <w:rPr>
                <w:rFonts w:ascii="Arial" w:cs="Arial" w:eastAsia="Arial" w:hAnsi="Arial"/>
                <w:sz w:val="18"/>
                <w:szCs w:val="18"/>
                <w:b w:val="1"/>
                <w:bCs w:val="1"/>
                <w:color w:val="auto"/>
              </w:rPr>
              <w:t>PART IV</w:t>
            </w:r>
          </w:p>
        </w:tc>
        <w:tc>
          <w:tcPr>
            <w:tcW w:w="2660" w:type="dxa"/>
            <w:vAlign w:val="bottom"/>
          </w:tcPr>
          <w:p>
            <w:pPr>
              <w:spacing w:after="0"/>
              <w:rPr>
                <w:sz w:val="24"/>
                <w:szCs w:val="24"/>
                <w:color w:val="auto"/>
              </w:rPr>
            </w:pPr>
          </w:p>
        </w:tc>
      </w:tr>
      <w:tr>
        <w:trPr>
          <w:trHeight w:val="418"/>
        </w:trPr>
        <w:tc>
          <w:tcPr>
            <w:tcW w:w="854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660" w:type="dxa"/>
            <w:vAlign w:val="bottom"/>
          </w:tcPr>
          <w:p>
            <w:pPr>
              <w:spacing w:after="0"/>
              <w:rPr>
                <w:sz w:val="24"/>
                <w:szCs w:val="24"/>
                <w:color w:val="auto"/>
              </w:rPr>
            </w:pPr>
          </w:p>
        </w:tc>
      </w:tr>
      <w:tr>
        <w:trPr>
          <w:trHeight w:val="230"/>
        </w:trPr>
        <w:tc>
          <w:tcPr>
            <w:tcW w:w="8540" w:type="dxa"/>
            <w:vAlign w:val="bottom"/>
            <w:gridSpan w:val="8"/>
          </w:tcPr>
          <w:p>
            <w:pPr>
              <w:spacing w:after="0"/>
              <w:rPr>
                <w:sz w:val="20"/>
                <w:szCs w:val="20"/>
                <w:color w:val="auto"/>
              </w:rPr>
            </w:pPr>
            <w:r>
              <w:rPr>
                <w:rFonts w:ascii="Arial" w:cs="Arial" w:eastAsia="Arial" w:hAnsi="Arial"/>
                <w:sz w:val="18"/>
                <w:szCs w:val="18"/>
                <w:color w:val="auto"/>
              </w:rPr>
              <w:t>(a)  Documents Filed with Report</w:t>
            </w:r>
          </w:p>
        </w:tc>
        <w:tc>
          <w:tcPr>
            <w:tcW w:w="26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520" w:type="dxa"/>
            <w:vAlign w:val="bottom"/>
            <w:gridSpan w:val="7"/>
          </w:tcPr>
          <w:p>
            <w:pPr>
              <w:ind w:left="3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tc>
        <w:tc>
          <w:tcPr>
            <w:tcW w:w="26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4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4300" w:type="dxa"/>
            <w:vAlign w:val="bottom"/>
            <w:gridSpan w:val="4"/>
          </w:tcPr>
          <w:p>
            <w:pPr>
              <w:spacing w:after="0"/>
              <w:rPr>
                <w:sz w:val="24"/>
                <w:szCs w:val="24"/>
                <w:color w:val="auto"/>
              </w:rPr>
            </w:pPr>
          </w:p>
        </w:tc>
        <w:tc>
          <w:tcPr>
            <w:tcW w:w="2660" w:type="dxa"/>
            <w:vAlign w:val="bottom"/>
          </w:tcPr>
          <w:p>
            <w:pPr>
              <w:ind w:left="2420"/>
              <w:spacing w:after="0"/>
              <w:rPr>
                <w:sz w:val="20"/>
                <w:szCs w:val="20"/>
                <w:color w:val="auto"/>
              </w:rPr>
            </w:pPr>
            <w:r>
              <w:rPr>
                <w:rFonts w:ascii="Arial" w:cs="Arial" w:eastAsia="Arial" w:hAnsi="Arial"/>
                <w:sz w:val="18"/>
                <w:szCs w:val="18"/>
                <w:color w:val="auto"/>
                <w:w w:val="81"/>
              </w:rPr>
              <w:t>F-2</w:t>
            </w:r>
          </w:p>
        </w:tc>
      </w:tr>
      <w:tr>
        <w:trPr>
          <w:trHeight w:val="291"/>
        </w:trPr>
        <w:tc>
          <w:tcPr>
            <w:tcW w:w="2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Arial" w:cs="Arial" w:eastAsia="Arial" w:hAnsi="Arial"/>
                <w:sz w:val="18"/>
                <w:szCs w:val="18"/>
                <w:color w:val="0000FF"/>
              </w:rPr>
              <w:t>Consolidated Balance Sheets as of June 30, 2022 and 2023</w:t>
            </w:r>
          </w:p>
        </w:tc>
        <w:tc>
          <w:tcPr>
            <w:tcW w:w="2660" w:type="dxa"/>
            <w:vAlign w:val="bottom"/>
          </w:tcPr>
          <w:p>
            <w:pPr>
              <w:ind w:left="2420"/>
              <w:spacing w:after="0"/>
              <w:rPr>
                <w:sz w:val="20"/>
                <w:szCs w:val="20"/>
                <w:color w:val="auto"/>
              </w:rPr>
            </w:pPr>
            <w:r>
              <w:rPr>
                <w:rFonts w:ascii="Arial" w:cs="Arial" w:eastAsia="Arial" w:hAnsi="Arial"/>
                <w:sz w:val="18"/>
                <w:szCs w:val="18"/>
                <w:color w:val="auto"/>
                <w:w w:val="81"/>
              </w:rPr>
              <w:t>F-4</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5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Consolidated Statements of Operations and Comprehensive Income for the years ended June 30, 2021, 2022 and 2023</w:t>
            </w:r>
          </w:p>
        </w:tc>
        <w:tc>
          <w:tcPr>
            <w:tcW w:w="2660" w:type="dxa"/>
            <w:vAlign w:val="bottom"/>
          </w:tcPr>
          <w:p>
            <w:pPr>
              <w:ind w:left="2420"/>
              <w:spacing w:after="0"/>
              <w:rPr>
                <w:sz w:val="20"/>
                <w:szCs w:val="20"/>
                <w:color w:val="auto"/>
              </w:rPr>
            </w:pPr>
            <w:r>
              <w:rPr>
                <w:rFonts w:ascii="Arial" w:cs="Arial" w:eastAsia="Arial" w:hAnsi="Arial"/>
                <w:sz w:val="18"/>
                <w:szCs w:val="18"/>
                <w:color w:val="auto"/>
                <w:w w:val="81"/>
              </w:rPr>
              <w:t>F-5</w:t>
            </w:r>
          </w:p>
        </w:tc>
      </w:tr>
      <w:tr>
        <w:trPr>
          <w:trHeight w:val="304"/>
        </w:trPr>
        <w:tc>
          <w:tcPr>
            <w:tcW w:w="20" w:type="dxa"/>
            <w:vAlign w:val="bottom"/>
          </w:tcPr>
          <w:p>
            <w:pPr>
              <w:spacing w:after="0"/>
              <w:rPr>
                <w:sz w:val="24"/>
                <w:szCs w:val="24"/>
                <w:color w:val="auto"/>
              </w:rPr>
            </w:pPr>
          </w:p>
        </w:tc>
        <w:tc>
          <w:tcPr>
            <w:tcW w:w="80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Changes in Stockholders’ Equity for the years ended June 30, 2021, 2022 and 2023</w:t>
            </w:r>
          </w:p>
        </w:tc>
        <w:tc>
          <w:tcPr>
            <w:tcW w:w="500" w:type="dxa"/>
            <w:vAlign w:val="bottom"/>
          </w:tcPr>
          <w:p>
            <w:pPr>
              <w:spacing w:after="0"/>
              <w:rPr>
                <w:sz w:val="24"/>
                <w:szCs w:val="24"/>
                <w:color w:val="auto"/>
              </w:rPr>
            </w:pPr>
          </w:p>
        </w:tc>
        <w:tc>
          <w:tcPr>
            <w:tcW w:w="2660" w:type="dxa"/>
            <w:vAlign w:val="bottom"/>
          </w:tcPr>
          <w:p>
            <w:pPr>
              <w:ind w:left="2420"/>
              <w:spacing w:after="0"/>
              <w:rPr>
                <w:sz w:val="20"/>
                <w:szCs w:val="20"/>
                <w:color w:val="auto"/>
              </w:rPr>
            </w:pPr>
            <w:r>
              <w:rPr>
                <w:rFonts w:ascii="Arial" w:cs="Arial" w:eastAsia="Arial" w:hAnsi="Arial"/>
                <w:sz w:val="18"/>
                <w:szCs w:val="18"/>
                <w:color w:val="auto"/>
                <w:w w:val="81"/>
              </w:rPr>
              <w:t>F-6</w:t>
            </w:r>
          </w:p>
        </w:tc>
      </w:tr>
      <w:tr>
        <w:trPr>
          <w:trHeight w:val="371"/>
        </w:trPr>
        <w:tc>
          <w:tcPr>
            <w:tcW w:w="2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 for the years ended June 30, 2021, 2022 and 2023</w:t>
            </w:r>
          </w:p>
        </w:tc>
        <w:tc>
          <w:tcPr>
            <w:tcW w:w="2660" w:type="dxa"/>
            <w:vAlign w:val="bottom"/>
          </w:tcPr>
          <w:p>
            <w:pPr>
              <w:ind w:left="2420"/>
              <w:spacing w:after="0"/>
              <w:rPr>
                <w:sz w:val="20"/>
                <w:szCs w:val="20"/>
                <w:color w:val="auto"/>
              </w:rPr>
            </w:pPr>
            <w:r>
              <w:rPr>
                <w:rFonts w:ascii="Arial" w:cs="Arial" w:eastAsia="Arial" w:hAnsi="Arial"/>
                <w:sz w:val="18"/>
                <w:szCs w:val="18"/>
                <w:color w:val="auto"/>
                <w:w w:val="81"/>
              </w:rPr>
              <w:t>F-7</w:t>
            </w:r>
          </w:p>
        </w:tc>
      </w:tr>
      <w:tr>
        <w:trPr>
          <w:trHeight w:val="304"/>
        </w:trPr>
        <w:tc>
          <w:tcPr>
            <w:tcW w:w="20" w:type="dxa"/>
            <w:vAlign w:val="bottom"/>
          </w:tcPr>
          <w:p>
            <w:pPr>
              <w:spacing w:after="0"/>
              <w:rPr>
                <w:sz w:val="24"/>
                <w:szCs w:val="24"/>
                <w:color w:val="auto"/>
              </w:rPr>
            </w:pPr>
          </w:p>
        </w:tc>
        <w:tc>
          <w:tcPr>
            <w:tcW w:w="34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3080" w:type="dxa"/>
            <w:vAlign w:val="bottom"/>
            <w:tcBorders>
              <w:top w:val="single" w:sz="8" w:color="0000FF"/>
            </w:tcBorders>
            <w:gridSpan w:val="3"/>
          </w:tcPr>
          <w:p>
            <w:pPr>
              <w:spacing w:after="0"/>
              <w:rPr>
                <w:sz w:val="24"/>
                <w:szCs w:val="24"/>
                <w:color w:val="auto"/>
              </w:rPr>
            </w:pPr>
          </w:p>
        </w:tc>
        <w:tc>
          <w:tcPr>
            <w:tcW w:w="2020" w:type="dxa"/>
            <w:vAlign w:val="bottom"/>
            <w:gridSpan w:val="2"/>
          </w:tcPr>
          <w:p>
            <w:pPr>
              <w:spacing w:after="0"/>
              <w:rPr>
                <w:sz w:val="24"/>
                <w:szCs w:val="24"/>
                <w:color w:val="auto"/>
              </w:rPr>
            </w:pPr>
          </w:p>
        </w:tc>
        <w:tc>
          <w:tcPr>
            <w:tcW w:w="2660" w:type="dxa"/>
            <w:vAlign w:val="bottom"/>
          </w:tcPr>
          <w:p>
            <w:pPr>
              <w:ind w:left="2420"/>
              <w:spacing w:after="0"/>
              <w:rPr>
                <w:sz w:val="20"/>
                <w:szCs w:val="20"/>
                <w:color w:val="auto"/>
              </w:rPr>
            </w:pPr>
            <w:r>
              <w:rPr>
                <w:rFonts w:ascii="Arial" w:cs="Arial" w:eastAsia="Arial" w:hAnsi="Arial"/>
                <w:sz w:val="18"/>
                <w:szCs w:val="18"/>
                <w:color w:val="auto"/>
                <w:w w:val="81"/>
              </w:rPr>
              <w:t>F-8</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set forth on the Exhibit Index immediately following this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125" w:right="339" w:bottom="1440" w:gutter="0" w:footer="0" w:header="0"/>
        </w:sect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6"/>
          </w:tcPr>
          <w:p>
            <w:pPr>
              <w:ind w:left="420"/>
              <w:spacing w:after="0"/>
              <w:rPr>
                <w:sz w:val="20"/>
                <w:szCs w:val="20"/>
                <w:color w:val="auto"/>
              </w:rPr>
            </w:pPr>
            <w:r>
              <w:rPr>
                <w:rFonts w:ascii="Arial" w:cs="Arial" w:eastAsia="Arial" w:hAnsi="Arial"/>
                <w:sz w:val="14"/>
                <w:szCs w:val="14"/>
                <w:b w:val="1"/>
                <w:bCs w:val="1"/>
                <w:color w:val="auto"/>
              </w:rPr>
              <w:t>Exhibit Description</w:t>
            </w:r>
          </w:p>
        </w:tc>
      </w:tr>
      <w:tr>
        <w:trPr>
          <w:trHeight w:val="39"/>
        </w:trPr>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96"/>
        </w:trPr>
        <w:tc>
          <w:tcPr>
            <w:tcW w:w="11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Second Amended and Restated Certificate of Incorporation</w:t>
              </w:r>
            </w:hyperlink>
          </w:p>
        </w:tc>
        <w:tc>
          <w:tcPr>
            <w:tcW w:w="1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of the Registrant.</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Second Amended and Restated By-Laws of the Registrant.</w:t>
              </w:r>
            </w:hyperlink>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top w:val="single" w:sz="8" w:color="0000FF"/>
              <w:bottom w:val="single" w:sz="8" w:color="0000FF"/>
            </w:tcBorders>
            <w:gridSpan w:val="25"/>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Amended and Restated Investor Rights Agreement, dated</w:t>
              </w:r>
            </w:hyperlink>
          </w:p>
        </w:tc>
        <w:tc>
          <w:tcPr>
            <w:tcW w:w="60" w:type="dxa"/>
            <w:vAlign w:val="bottom"/>
            <w:tcBorders>
              <w:top w:val="single" w:sz="8" w:color="0000FF"/>
            </w:tcBorders>
          </w:tcPr>
          <w:p>
            <w:pPr>
              <w:spacing w:after="0"/>
              <w:rPr>
                <w:sz w:val="24"/>
                <w:szCs w:val="24"/>
                <w:color w:val="auto"/>
              </w:rPr>
            </w:pPr>
          </w:p>
        </w:tc>
        <w:tc>
          <w:tcPr>
            <w:tcW w:w="20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0000FF"/>
            </w:tcBorders>
            <w:gridSpan w:val="4"/>
          </w:tcPr>
          <w:p>
            <w:pPr>
              <w:spacing w:after="0" w:line="196" w:lineRule="exact"/>
              <w:rPr>
                <w:rFonts w:ascii="Arial" w:cs="Arial" w:eastAsia="Arial" w:hAnsi="Arial"/>
                <w:sz w:val="18"/>
                <w:szCs w:val="18"/>
                <w:color w:val="0000FF"/>
                <w:w w:val="85"/>
              </w:rPr>
            </w:pPr>
            <w:hyperlink r:id="rId65">
              <w:r>
                <w:rPr>
                  <w:rFonts w:ascii="Arial" w:cs="Arial" w:eastAsia="Arial" w:hAnsi="Arial"/>
                  <w:sz w:val="18"/>
                  <w:szCs w:val="18"/>
                  <w:color w:val="0000FF"/>
                  <w:w w:val="85"/>
                </w:rPr>
                <w:t>June 29, 2012.</w:t>
              </w:r>
            </w:hyperlink>
          </w:p>
        </w:tc>
        <w:tc>
          <w:tcPr>
            <w:tcW w:w="3360" w:type="dxa"/>
            <w:vAlign w:val="bottom"/>
            <w:gridSpan w:val="27"/>
          </w:tcPr>
          <w:p>
            <w:pPr>
              <w:spacing w:after="0"/>
              <w:rPr>
                <w:sz w:val="17"/>
                <w:szCs w:val="17"/>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0000FF"/>
            </w:tcBorders>
            <w:gridSpan w:val="6"/>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Description of Securities.</w:t>
              </w:r>
            </w:hyperlink>
          </w:p>
        </w:tc>
        <w:tc>
          <w:tcPr>
            <w:tcW w:w="2580" w:type="dxa"/>
            <w:vAlign w:val="bottom"/>
            <w:gridSpan w:val="25"/>
          </w:tcPr>
          <w:p>
            <w:pPr>
              <w:spacing w:after="0"/>
              <w:rPr>
                <w:sz w:val="24"/>
                <w:szCs w:val="24"/>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FF"/>
            </w:tcBorders>
            <w:gridSpan w:val="16"/>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Indemnification Agreement for directors and</w:t>
              </w:r>
            </w:hyperlink>
          </w:p>
        </w:tc>
        <w:tc>
          <w:tcPr>
            <w:tcW w:w="56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officers.</w:t>
              </w:r>
            </w:hyperlink>
          </w:p>
        </w:tc>
        <w:tc>
          <w:tcPr>
            <w:tcW w:w="3820" w:type="dxa"/>
            <w:vAlign w:val="bottom"/>
            <w:gridSpan w:val="30"/>
          </w:tcPr>
          <w:p>
            <w:pPr>
              <w:spacing w:after="0"/>
              <w:rPr>
                <w:sz w:val="17"/>
                <w:szCs w:val="17"/>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8"/>
                <w:szCs w:val="18"/>
                <w:color w:val="0000FF"/>
              </w:rPr>
            </w:pPr>
            <w:hyperlink r:id="rId68">
              <w:r>
                <w:rPr>
                  <w:rFonts w:ascii="Arial" w:cs="Arial" w:eastAsia="Arial" w:hAnsi="Arial"/>
                  <w:sz w:val="18"/>
                  <w:szCs w:val="18"/>
                  <w:color w:val="0000FF"/>
                </w:rPr>
                <w:t>2014 Equity Incentive Plan and forms of agreement</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thereunder.</w:t>
              </w:r>
            </w:hyperlink>
          </w:p>
        </w:tc>
        <w:tc>
          <w:tcPr>
            <w:tcW w:w="700" w:type="dxa"/>
            <w:vAlign w:val="bottom"/>
            <w:gridSpan w:val="1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1"/>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Form of Market Stock Units Notice of Grant and Award</w:t>
              </w:r>
            </w:hyperlink>
          </w:p>
        </w:tc>
        <w:tc>
          <w:tcPr>
            <w:tcW w:w="3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Agreement under the 2014 Equity Incentive Plan.</w:t>
              </w:r>
            </w:hyperlink>
          </w:p>
        </w:tc>
        <w:tc>
          <w:tcPr>
            <w:tcW w:w="840" w:type="dxa"/>
            <w:vAlign w:val="bottom"/>
            <w:gridSpan w:val="19"/>
          </w:tcPr>
          <w:p>
            <w:pPr>
              <w:spacing w:after="0"/>
              <w:rPr>
                <w:sz w:val="17"/>
                <w:szCs w:val="17"/>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4"/>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Form of Executive Restricted Stock Unit Notice of Grant</w:t>
              </w:r>
            </w:hyperlink>
          </w:p>
        </w:tc>
        <w:tc>
          <w:tcPr>
            <w:tcW w:w="2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and Award Agreement under 2014 Equity Incentive Plan.</w:t>
              </w:r>
            </w:hyperlink>
          </w:p>
        </w:tc>
        <w:tc>
          <w:tcPr>
            <w:tcW w:w="300" w:type="dxa"/>
            <w:vAlign w:val="bottom"/>
            <w:gridSpan w:val="8"/>
          </w:tcPr>
          <w:p>
            <w:pPr>
              <w:spacing w:after="0"/>
              <w:rPr>
                <w:sz w:val="17"/>
                <w:szCs w:val="17"/>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8"/>
                <w:szCs w:val="18"/>
                <w:color w:val="0000FF"/>
              </w:rPr>
            </w:pPr>
            <w:hyperlink r:id="rId71">
              <w:r>
                <w:rPr>
                  <w:rFonts w:ascii="Arial" w:cs="Arial" w:eastAsia="Arial" w:hAnsi="Arial"/>
                  <w:sz w:val="18"/>
                  <w:szCs w:val="18"/>
                  <w:color w:val="0000FF"/>
                </w:rPr>
                <w:t>Third Amended and Restated Executive Employment</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Agreement between Paylocity Corporation and Steven R.</w:t>
              </w:r>
            </w:hyperlink>
          </w:p>
        </w:tc>
        <w:tc>
          <w:tcPr>
            <w:tcW w:w="2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9"/>
          </w:tcPr>
          <w:p>
            <w:pPr>
              <w:spacing w:after="0" w:line="196" w:lineRule="exact"/>
              <w:rPr>
                <w:rFonts w:ascii="Arial" w:cs="Arial" w:eastAsia="Arial" w:hAnsi="Arial"/>
                <w:sz w:val="18"/>
                <w:szCs w:val="18"/>
                <w:color w:val="0000FF"/>
                <w:w w:val="87"/>
              </w:rPr>
            </w:pPr>
            <w:hyperlink r:id="rId71">
              <w:r>
                <w:rPr>
                  <w:rFonts w:ascii="Arial" w:cs="Arial" w:eastAsia="Arial" w:hAnsi="Arial"/>
                  <w:sz w:val="18"/>
                  <w:szCs w:val="18"/>
                  <w:color w:val="0000FF"/>
                  <w:w w:val="87"/>
                </w:rPr>
                <w:t>Beauchamp, dated February 7, 2014.</w:t>
              </w:r>
            </w:hyperlink>
          </w:p>
        </w:tc>
        <w:tc>
          <w:tcPr>
            <w:tcW w:w="1760" w:type="dxa"/>
            <w:vAlign w:val="bottom"/>
            <w:gridSpan w:val="22"/>
          </w:tcPr>
          <w:p>
            <w:pPr>
              <w:spacing w:after="0"/>
              <w:rPr>
                <w:sz w:val="17"/>
                <w:szCs w:val="17"/>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10.4</w:t>
            </w:r>
            <w:r>
              <w:rPr>
                <w:rFonts w:ascii="Arial" w:cs="Arial" w:eastAsia="Arial" w:hAnsi="Arial"/>
                <w:sz w:val="23"/>
                <w:szCs w:val="23"/>
                <w:color w:val="auto"/>
                <w:vertAlign w:val="superscript"/>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rFonts w:ascii="Arial" w:cs="Arial" w:eastAsia="Arial" w:hAnsi="Arial"/>
                <w:sz w:val="18"/>
                <w:szCs w:val="18"/>
                <w:color w:val="0000EE"/>
                <w:w w:val="88"/>
              </w:rPr>
            </w:pPr>
            <w:hyperlink r:id="rId72">
              <w:r>
                <w:rPr>
                  <w:rFonts w:ascii="Arial" w:cs="Arial" w:eastAsia="Arial" w:hAnsi="Arial"/>
                  <w:sz w:val="18"/>
                  <w:szCs w:val="18"/>
                  <w:color w:val="0000EE"/>
                  <w:w w:val="88"/>
                </w:rPr>
                <w:t>2014 Employee Stock Purchase Plan.</w:t>
              </w:r>
            </w:hyperlink>
          </w:p>
        </w:tc>
        <w:tc>
          <w:tcPr>
            <w:tcW w:w="1720" w:type="dxa"/>
            <w:vAlign w:val="bottom"/>
            <w:gridSpan w:val="21"/>
          </w:tcPr>
          <w:p>
            <w:pPr>
              <w:spacing w:after="0"/>
              <w:rPr>
                <w:sz w:val="24"/>
                <w:szCs w:val="24"/>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28"/>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Multi-Tenant Office Lease Agreement, dated June 1, 2016,</w:t>
              </w:r>
            </w:hyperlink>
          </w:p>
        </w:tc>
        <w:tc>
          <w:tcPr>
            <w:tcW w:w="1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by and between Paylocity Corporation and RPAI</w:t>
              </w:r>
            </w:hyperlink>
          </w:p>
        </w:tc>
        <w:tc>
          <w:tcPr>
            <w:tcW w:w="900" w:type="dxa"/>
            <w:vAlign w:val="bottom"/>
            <w:gridSpan w:val="2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31"/>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Schaumburg American Lane, L.L.C.</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Equity Purchase Agreement among Paylocity Corporation,</w:t>
              </w:r>
            </w:hyperlink>
          </w:p>
        </w:tc>
      </w:tr>
      <w:tr>
        <w:trPr>
          <w:trHeight w:val="18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tcBorders>
            <w:gridSpan w:val="27"/>
          </w:tcPr>
          <w:p>
            <w:pPr>
              <w:spacing w:after="0" w:line="18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Blue Marble Payroll, LLC and the Equityholders party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88"/>
              </w:rPr>
            </w:pPr>
            <w:hyperlink r:id="rId74">
              <w:r>
                <w:rPr>
                  <w:rFonts w:ascii="Arial" w:cs="Arial" w:eastAsia="Arial" w:hAnsi="Arial"/>
                  <w:sz w:val="18"/>
                  <w:szCs w:val="18"/>
                  <w:color w:val="0000FF"/>
                  <w:w w:val="88"/>
                </w:rPr>
                <w:t>thereto, dated August 31, 2021.</w:t>
              </w:r>
            </w:hyperlink>
          </w:p>
        </w:tc>
        <w:tc>
          <w:tcPr>
            <w:tcW w:w="1680" w:type="dxa"/>
            <w:vAlign w:val="bottom"/>
            <w:tcBorders>
              <w:top w:val="single" w:sz="8" w:color="0000FF"/>
            </w:tcBorders>
            <w:gridSpan w:val="1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17"/>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Executive Employment Agreement between Paylocity</w:t>
              </w:r>
            </w:hyperlink>
          </w:p>
        </w:tc>
        <w:tc>
          <w:tcPr>
            <w:tcW w:w="520" w:type="dxa"/>
            <w:vAlign w:val="bottom"/>
            <w:gridSpan w:val="14"/>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Borders>
              <w:bottom w:val="single" w:sz="8" w:color="0000FF"/>
            </w:tcBorders>
            <w:gridSpan w:val="29"/>
          </w:tcPr>
          <w:p>
            <w:pPr>
              <w:spacing w:after="0"/>
              <w:rPr>
                <w:rFonts w:ascii="Arial" w:cs="Arial" w:eastAsia="Arial" w:hAnsi="Arial"/>
                <w:sz w:val="18"/>
                <w:szCs w:val="18"/>
                <w:color w:val="0000FF"/>
                <w:w w:val="89"/>
              </w:rPr>
            </w:pPr>
            <w:hyperlink r:id="rId75">
              <w:r>
                <w:rPr>
                  <w:rFonts w:ascii="Arial" w:cs="Arial" w:eastAsia="Arial" w:hAnsi="Arial"/>
                  <w:sz w:val="18"/>
                  <w:szCs w:val="18"/>
                  <w:color w:val="0000FF"/>
                  <w:w w:val="89"/>
                </w:rPr>
                <w:t>Corporation and Rachit Lohani, dated September 27, 2021.</w:t>
              </w:r>
            </w:hyperlink>
          </w:p>
        </w:tc>
        <w:tc>
          <w:tcPr>
            <w:tcW w:w="140" w:type="dxa"/>
            <w:vAlign w:val="bottom"/>
            <w:gridSpan w:val="2"/>
          </w:tcPr>
          <w:p>
            <w:pPr>
              <w:spacing w:after="0"/>
              <w:rPr>
                <w:sz w:val="19"/>
                <w:szCs w:val="19"/>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EE"/>
            </w:tcBorders>
            <w:gridSpan w:val="30"/>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Amendment to Executive Employment Agreement between</w:t>
              </w:r>
            </w:hyperlink>
          </w:p>
        </w:tc>
        <w:tc>
          <w:tcPr>
            <w:tcW w:w="12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bottom w:val="single" w:sz="8" w:color="0000EE"/>
            </w:tcBorders>
            <w:gridSpan w:val="25"/>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Paylocity Corporation and Toby J. Williams, dated March</w:t>
              </w:r>
            </w:hyperlink>
          </w:p>
        </w:tc>
        <w:tc>
          <w:tcPr>
            <w:tcW w:w="260" w:type="dxa"/>
            <w:vAlign w:val="bottom"/>
            <w:gridSpan w:val="6"/>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800" w:type="dxa"/>
            <w:vAlign w:val="bottom"/>
            <w:gridSpan w:val="4"/>
          </w:tcPr>
          <w:p>
            <w:pPr>
              <w:ind w:left="120"/>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11, 2022.</w:t>
              </w:r>
            </w:hyperlink>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EE"/>
            </w:tcBorders>
            <w:gridSpan w:val="28"/>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Amended and Restated Executive Employment Agreement</w:t>
              </w:r>
            </w:hyperlink>
          </w:p>
        </w:tc>
        <w:tc>
          <w:tcPr>
            <w:tcW w:w="160" w:type="dxa"/>
            <w:vAlign w:val="bottom"/>
            <w:gridSpan w:val="3"/>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31"/>
          </w:tcPr>
          <w:p>
            <w:pPr>
              <w:spacing w:after="0"/>
              <w:rPr>
                <w:rFonts w:ascii="Arial" w:cs="Arial" w:eastAsia="Arial" w:hAnsi="Arial"/>
                <w:sz w:val="18"/>
                <w:szCs w:val="18"/>
                <w:color w:val="0000EE"/>
              </w:rPr>
            </w:pPr>
            <w:hyperlink r:id="rId77">
              <w:r>
                <w:rPr>
                  <w:rFonts w:ascii="Arial" w:cs="Arial" w:eastAsia="Arial" w:hAnsi="Arial"/>
                  <w:sz w:val="18"/>
                  <w:szCs w:val="18"/>
                  <w:color w:val="0000EE"/>
                </w:rPr>
                <w:t>between Paylocity Corporation and Ryan Glenn, dated</w:t>
              </w:r>
            </w:hyperlink>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00" w:type="dxa"/>
            <w:vAlign w:val="bottom"/>
            <w:tcBorders>
              <w:top w:val="single" w:sz="8" w:color="0000EE"/>
            </w:tcBorders>
            <w:gridSpan w:val="18"/>
          </w:tcPr>
          <w:p>
            <w:pPr>
              <w:spacing w:after="0"/>
              <w:rPr>
                <w:rFonts w:ascii="Arial" w:cs="Arial" w:eastAsia="Arial" w:hAnsi="Arial"/>
                <w:sz w:val="18"/>
                <w:szCs w:val="18"/>
                <w:color w:val="0000EE"/>
              </w:rPr>
            </w:pPr>
            <w:hyperlink r:id="rId77">
              <w:r>
                <w:rPr>
                  <w:rFonts w:ascii="Arial" w:cs="Arial" w:eastAsia="Arial" w:hAnsi="Arial"/>
                  <w:sz w:val="18"/>
                  <w:szCs w:val="18"/>
                  <w:color w:val="0000EE"/>
                </w:rPr>
                <w:t>March 11, 2022.</w:t>
              </w:r>
            </w:hyperlink>
          </w:p>
        </w:tc>
        <w:tc>
          <w:tcPr>
            <w:tcW w:w="500" w:type="dxa"/>
            <w:vAlign w:val="bottom"/>
            <w:gridSpan w:val="13"/>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22"/>
          </w:tcPr>
          <w:p>
            <w:pPr>
              <w:spacing w:after="0"/>
              <w:rPr>
                <w:rFonts w:ascii="Arial" w:cs="Arial" w:eastAsia="Arial" w:hAnsi="Arial"/>
                <w:sz w:val="18"/>
                <w:szCs w:val="18"/>
                <w:color w:val="0000FF"/>
                <w:w w:val="89"/>
              </w:rPr>
            </w:pPr>
            <w:hyperlink r:id="rId78">
              <w:r>
                <w:rPr>
                  <w:rFonts w:ascii="Arial" w:cs="Arial" w:eastAsia="Arial" w:hAnsi="Arial"/>
                  <w:sz w:val="18"/>
                  <w:szCs w:val="18"/>
                  <w:color w:val="0000FF"/>
                  <w:w w:val="89"/>
                </w:rPr>
                <w:t>Transition and Separation Agreement between Paylocity</w:t>
              </w:r>
            </w:hyperlink>
          </w:p>
        </w:tc>
        <w:tc>
          <w:tcPr>
            <w:tcW w:w="36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Corporation and Michael Haske, dated March 11, 2022.</w:t>
              </w:r>
            </w:hyperlink>
          </w:p>
        </w:tc>
        <w:tc>
          <w:tcPr>
            <w:tcW w:w="400" w:type="dxa"/>
            <w:vAlign w:val="bottom"/>
            <w:gridSpan w:val="11"/>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13"/>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Consulting Services Agreement between Paylocity</w:t>
              </w:r>
            </w:hyperlink>
          </w:p>
        </w:tc>
        <w:tc>
          <w:tcPr>
            <w:tcW w:w="760" w:type="dxa"/>
            <w:vAlign w:val="bottom"/>
            <w:gridSpan w:val="1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Corporation and Michael Haske, dated March 11, 2022.</w:t>
              </w:r>
            </w:hyperlink>
          </w:p>
        </w:tc>
        <w:tc>
          <w:tcPr>
            <w:tcW w:w="400" w:type="dxa"/>
            <w:vAlign w:val="bottom"/>
            <w:gridSpan w:val="11"/>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34721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9"/>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345"/>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333-193661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January 30, 2014</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5, 2022</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333-193661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January 30, 2014</w:t>
            </w:r>
          </w:p>
        </w:tc>
      </w:tr>
      <w:tr>
        <w:trPr>
          <w:trHeight w:val="540"/>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333-193661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14, 2014</w:t>
            </w:r>
          </w:p>
        </w:tc>
      </w:tr>
      <w:tr>
        <w:trPr>
          <w:trHeight w:val="540"/>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18, 2020</w:t>
            </w:r>
          </w:p>
        </w:tc>
      </w:tr>
      <w:tr>
        <w:trPr>
          <w:trHeight w:val="540"/>
        </w:trPr>
        <w:tc>
          <w:tcPr>
            <w:tcW w:w="9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May 6, 2022</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333-193661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14, 2014</w:t>
            </w:r>
          </w:p>
        </w:tc>
      </w:tr>
      <w:tr>
        <w:trPr>
          <w:trHeight w:val="553"/>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333-193661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10.9</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14, 2014</w:t>
            </w:r>
          </w:p>
        </w:tc>
      </w:tr>
      <w:tr>
        <w:trPr>
          <w:trHeight w:val="553"/>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June 2, 2016</w:t>
            </w:r>
          </w:p>
        </w:tc>
      </w:tr>
      <w:tr>
        <w:trPr>
          <w:trHeight w:val="729"/>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right"/>
              <w:ind w:right="208"/>
              <w:spacing w:after="0"/>
              <w:rPr>
                <w:sz w:val="20"/>
                <w:szCs w:val="20"/>
                <w:color w:val="auto"/>
              </w:rPr>
            </w:pPr>
            <w:r>
              <w:rPr>
                <w:rFonts w:ascii="Arial" w:cs="Arial" w:eastAsia="Arial" w:hAnsi="Arial"/>
                <w:sz w:val="18"/>
                <w:szCs w:val="18"/>
                <w:color w:val="auto"/>
              </w:rPr>
              <w:t>001-36348</w:t>
            </w:r>
          </w:p>
        </w:tc>
        <w:tc>
          <w:tcPr>
            <w:tcW w:w="1120" w:type="dxa"/>
            <w:vAlign w:val="bottom"/>
            <w:gridSpan w:val="2"/>
          </w:tcPr>
          <w:p>
            <w:pPr>
              <w:jc w:val="right"/>
              <w:ind w:right="308"/>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September 1, 2021</w:t>
            </w:r>
          </w:p>
        </w:tc>
      </w:tr>
      <w:tr>
        <w:trPr>
          <w:trHeight w:val="662"/>
        </w:trPr>
        <w:tc>
          <w:tcPr>
            <w:tcW w:w="9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5, 2022</w:t>
            </w:r>
          </w:p>
        </w:tc>
      </w:tr>
      <w:tr>
        <w:trPr>
          <w:trHeight w:val="715"/>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14, 2022</w:t>
            </w:r>
          </w:p>
        </w:tc>
      </w:tr>
      <w:tr>
        <w:trPr>
          <w:trHeight w:val="850"/>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14, 2022</w:t>
            </w:r>
          </w:p>
        </w:tc>
      </w:tr>
      <w:tr>
        <w:trPr>
          <w:trHeight w:val="702"/>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14, 2022</w:t>
            </w:r>
          </w:p>
        </w:tc>
      </w:tr>
      <w:tr>
        <w:trPr>
          <w:trHeight w:val="540"/>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14, 2022</w:t>
            </w:r>
          </w:p>
        </w:tc>
      </w:tr>
    </w:tbl>
    <w:p>
      <w:pPr>
        <w:spacing w:after="0" w:line="281" w:lineRule="exact"/>
        <w:rPr>
          <w:sz w:val="20"/>
          <w:szCs w:val="20"/>
          <w:color w:val="auto"/>
        </w:rPr>
      </w:pPr>
    </w:p>
    <w:p>
      <w:pPr>
        <w:sectPr>
          <w:pgSz w:w="11900" w:h="16838" w:orient="portrait"/>
          <w:cols w:equalWidth="0" w:num="2">
            <w:col w:w="5680" w:space="100"/>
            <w:col w:w="5460"/>
          </w:cols>
          <w:pgMar w:left="320" w:top="125" w:right="3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21"/>
          </w:tcPr>
          <w:p>
            <w:pPr>
              <w:ind w:left="320"/>
              <w:spacing w:after="0"/>
              <w:rPr>
                <w:sz w:val="20"/>
                <w:szCs w:val="20"/>
                <w:color w:val="auto"/>
              </w:rPr>
            </w:pPr>
            <w:r>
              <w:rPr>
                <w:rFonts w:ascii="Arial" w:cs="Arial" w:eastAsia="Arial" w:hAnsi="Arial"/>
                <w:sz w:val="14"/>
                <w:szCs w:val="14"/>
                <w:b w:val="1"/>
                <w:bCs w:val="1"/>
                <w:color w:val="auto"/>
              </w:rPr>
              <w:t>Exhibit Description</w:t>
            </w:r>
          </w:p>
        </w:tc>
      </w:tr>
      <w:tr>
        <w:trPr>
          <w:trHeight w:val="39"/>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7"/>
                <w:szCs w:val="17"/>
                <w:color w:val="auto"/>
              </w:rPr>
            </w:pPr>
          </w:p>
        </w:tc>
        <w:tc>
          <w:tcPr>
            <w:tcW w:w="3840" w:type="dxa"/>
            <w:vAlign w:val="bottom"/>
            <w:tcBorders>
              <w:bottom w:val="single" w:sz="8" w:color="0000FF"/>
            </w:tcBorders>
            <w:gridSpan w:val="9"/>
          </w:tcPr>
          <w:p>
            <w:pPr>
              <w:spacing w:after="0" w:line="182" w:lineRule="exact"/>
              <w:rPr>
                <w:rFonts w:ascii="Arial" w:cs="Arial" w:eastAsia="Arial" w:hAnsi="Arial"/>
                <w:sz w:val="18"/>
                <w:szCs w:val="18"/>
                <w:color w:val="0000FF"/>
                <w:w w:val="87"/>
              </w:rPr>
            </w:pPr>
            <w:hyperlink r:id="rId82">
              <w:r>
                <w:rPr>
                  <w:rFonts w:ascii="Arial" w:cs="Arial" w:eastAsia="Arial" w:hAnsi="Arial"/>
                  <w:sz w:val="18"/>
                  <w:szCs w:val="18"/>
                  <w:color w:val="0000FF"/>
                  <w:w w:val="87"/>
                </w:rPr>
                <w:t>Separation and Release agreement between Paylocity</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Corporation and Mark Kinsey, dated June 30, 2022.</w:t>
              </w:r>
            </w:hyperlink>
          </w:p>
        </w:tc>
        <w:tc>
          <w:tcPr>
            <w:tcW w:w="680" w:type="dxa"/>
            <w:vAlign w:val="bottom"/>
            <w:gridSpan w:val="15"/>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3720" w:type="dxa"/>
            <w:vAlign w:val="bottom"/>
            <w:tcBorders>
              <w:bottom w:val="single" w:sz="8" w:color="0000FF"/>
            </w:tcBorders>
            <w:gridSpan w:val="7"/>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Credit Agreement by and among Paylocity Holding</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23"/>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Corporation, the Guarantor party thereto, the Lenders party</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thereto, PNC Bank, National Association, as Administrative</w:t>
              </w:r>
            </w:hyperlink>
          </w:p>
        </w:tc>
        <w:tc>
          <w:tcPr>
            <w:tcW w:w="8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Agent, and PNC Capital Markets, LLC, as sole lead arranger</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and sole bookrunner, dated July 17, 2019.</w:t>
              </w:r>
            </w:hyperlink>
          </w:p>
        </w:tc>
        <w:tc>
          <w:tcPr>
            <w:tcW w:w="1400" w:type="dxa"/>
            <w:vAlign w:val="bottom"/>
            <w:gridSpan w:val="18"/>
          </w:tcPr>
          <w:p>
            <w:pPr>
              <w:spacing w:after="0"/>
              <w:rPr>
                <w:sz w:val="17"/>
                <w:szCs w:val="17"/>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4420" w:type="dxa"/>
            <w:vAlign w:val="bottom"/>
            <w:gridSpan w:val="23"/>
          </w:tcPr>
          <w:p>
            <w:pPr>
              <w:spacing w:after="0"/>
              <w:rPr>
                <w:rFonts w:ascii="Arial" w:cs="Arial" w:eastAsia="Arial" w:hAnsi="Arial"/>
                <w:sz w:val="18"/>
                <w:szCs w:val="18"/>
                <w:color w:val="0000FF"/>
              </w:rPr>
            </w:pPr>
            <w:hyperlink r:id="rId84">
              <w:r>
                <w:rPr>
                  <w:rFonts w:ascii="Arial" w:cs="Arial" w:eastAsia="Arial" w:hAnsi="Arial"/>
                  <w:sz w:val="18"/>
                  <w:szCs w:val="18"/>
                  <w:color w:val="0000FF"/>
                </w:rPr>
                <w:t>First Amendment to Credit Agreement and Security</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Agreement, dated as of August 19, 2022, by and among</w:t>
              </w:r>
            </w:hyperlink>
          </w:p>
        </w:tc>
        <w:tc>
          <w:tcPr>
            <w:tcW w:w="400" w:type="dxa"/>
            <w:vAlign w:val="bottom"/>
            <w:gridSpan w:val="10"/>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Paylocity Holding Corporation, the Guarantor party thereto,</w:t>
              </w:r>
            </w:hyperlink>
          </w:p>
        </w:tc>
        <w:tc>
          <w:tcPr>
            <w:tcW w:w="8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the Lenders party thereto, PNC Bank, National Association,</w:t>
              </w:r>
            </w:hyperlink>
          </w:p>
        </w:tc>
        <w:tc>
          <w:tcPr>
            <w:tcW w:w="10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as Administrative Agent, and PNC Capital Markets, LLC</w:t>
              </w:r>
            </w:hyperlink>
          </w:p>
        </w:tc>
        <w:tc>
          <w:tcPr>
            <w:tcW w:w="28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and JPMorgan Chase Bank, N.A., as joint lead arrangers and</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23"/>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joint bookrunners.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FF"/>
              </w:rPr>
              <w:t>Executive Employment Agreement between Paylocity</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89"/>
              </w:rPr>
              <w:t>Corporation and Joshua Scutt, dated August 16, 2021.</w:t>
            </w:r>
          </w:p>
        </w:tc>
        <w:tc>
          <w:tcPr>
            <w:tcW w:w="520" w:type="dxa"/>
            <w:vAlign w:val="bottom"/>
            <w:gridSpan w:val="1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FF"/>
              </w:rPr>
              <w:t>Executive Employment Agreement between Paylocity</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23"/>
          </w:tcPr>
          <w:p>
            <w:pPr>
              <w:spacing w:after="0" w:line="196" w:lineRule="exact"/>
              <w:rPr>
                <w:sz w:val="20"/>
                <w:szCs w:val="20"/>
                <w:color w:val="auto"/>
              </w:rPr>
            </w:pPr>
            <w:r>
              <w:rPr>
                <w:rFonts w:ascii="Arial" w:cs="Arial" w:eastAsia="Arial" w:hAnsi="Arial"/>
                <w:sz w:val="18"/>
                <w:szCs w:val="18"/>
                <w:color w:val="0000FF"/>
                <w:w w:val="93"/>
              </w:rPr>
              <w:t>Corporation and Katherine Ross, dated December 1, 2022.</w:t>
            </w:r>
          </w:p>
        </w:tc>
      </w:tr>
      <w:tr>
        <w:trPr>
          <w:trHeight w:val="318"/>
        </w:trPr>
        <w:tc>
          <w:tcPr>
            <w:tcW w:w="116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2700" w:type="dxa"/>
            <w:vAlign w:val="bottom"/>
            <w:tcBorders>
              <w:top w:val="single" w:sz="8" w:color="0000FF"/>
              <w:bottom w:val="single" w:sz="8" w:color="0000EE"/>
            </w:tcBorders>
            <w:gridSpan w:val="4"/>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List of Subsidiaries of the Registrant.</w:t>
              </w:r>
            </w:hyperlink>
          </w:p>
        </w:tc>
        <w:tc>
          <w:tcPr>
            <w:tcW w:w="1560" w:type="dxa"/>
            <w:vAlign w:val="bottom"/>
            <w:tcBorders>
              <w:top w:val="single" w:sz="8" w:color="0000FF"/>
            </w:tcBorders>
            <w:gridSpan w:val="13"/>
          </w:tcPr>
          <w:p>
            <w:pPr>
              <w:spacing w:after="0"/>
              <w:rPr>
                <w:sz w:val="24"/>
                <w:szCs w:val="24"/>
                <w:color w:val="auto"/>
              </w:rPr>
            </w:pPr>
          </w:p>
        </w:tc>
        <w:tc>
          <w:tcPr>
            <w:tcW w:w="160" w:type="dxa"/>
            <w:vAlign w:val="bottom"/>
            <w:gridSpan w:val="6"/>
          </w:tcPr>
          <w:p>
            <w:pPr>
              <w:spacing w:after="0"/>
              <w:rPr>
                <w:sz w:val="24"/>
                <w:szCs w:val="24"/>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Consent of KPMG LLP, Independent Registered Public</w:t>
            </w:r>
          </w:p>
        </w:tc>
        <w:tc>
          <w:tcPr>
            <w:tcW w:w="420" w:type="dxa"/>
            <w:vAlign w:val="bottom"/>
            <w:gridSpan w:val="11"/>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rPr>
              <w:t>Accounting Firm.</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1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Power of Attorney (see page 50 to this Annual Report on</w:t>
            </w:r>
          </w:p>
        </w:tc>
        <w:tc>
          <w:tcPr>
            <w:tcW w:w="320" w:type="dxa"/>
            <w:vAlign w:val="bottom"/>
            <w:gridSpan w:val="9"/>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Form 10-K).</w:t>
            </w:r>
          </w:p>
        </w:tc>
        <w:tc>
          <w:tcPr>
            <w:tcW w:w="3500" w:type="dxa"/>
            <w:vAlign w:val="bottom"/>
            <w:gridSpan w:val="22"/>
          </w:tcPr>
          <w:p>
            <w:pPr>
              <w:spacing w:after="0"/>
              <w:rPr>
                <w:sz w:val="20"/>
                <w:szCs w:val="20"/>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w w:val="94"/>
              </w:rPr>
              <w:t>Certification of Co-Chief Executive Officer Required Under</w:t>
            </w: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Rule 13a-14(a) and 15d-14(a) of the Securities Exchange</w:t>
            </w:r>
          </w:p>
        </w:tc>
        <w:tc>
          <w:tcPr>
            <w:tcW w:w="220" w:type="dxa"/>
            <w:vAlign w:val="bottom"/>
            <w:tcBorders>
              <w:top w:val="single" w:sz="8" w:color="0000EE"/>
            </w:tcBorders>
            <w:gridSpan w:val="4"/>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rPr>
              <w:t>Act of 1934, as amended.</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w w:val="94"/>
              </w:rPr>
              <w:t>Certification of Co-Chief Executive Officer Required Under</w:t>
            </w: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Rule 13a-14(a) and 15d-14(a) of the Securities Exchange</w:t>
            </w:r>
          </w:p>
        </w:tc>
        <w:tc>
          <w:tcPr>
            <w:tcW w:w="220" w:type="dxa"/>
            <w:vAlign w:val="bottom"/>
            <w:tcBorders>
              <w:top w:val="single" w:sz="8" w:color="0000EE"/>
            </w:tcBorders>
            <w:gridSpan w:val="4"/>
          </w:tcPr>
          <w:p>
            <w:pPr>
              <w:spacing w:after="0"/>
              <w:rPr>
                <w:sz w:val="19"/>
                <w:szCs w:val="19"/>
                <w:color w:val="auto"/>
              </w:rPr>
            </w:pPr>
          </w:p>
        </w:tc>
        <w:tc>
          <w:tcPr>
            <w:tcW w:w="80" w:type="dxa"/>
            <w:vAlign w:val="bottom"/>
            <w:gridSpan w:val="4"/>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rPr>
              <w:t>Act of 1934, as amended.</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ind w:left="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rPr>
              <w:t>Certification of Chief Financial Officer Required Under</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Rule 13a-14(a) and 15d-14(a) of the Securities Exchange</w:t>
            </w:r>
          </w:p>
        </w:tc>
        <w:tc>
          <w:tcPr>
            <w:tcW w:w="300" w:type="dxa"/>
            <w:vAlign w:val="bottom"/>
            <w:gridSpan w:val="8"/>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rPr>
              <w:t>Act of 1934, as amended.</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4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3"/>
              </w:rPr>
              <w:t>Certification of Co-Chief Executive Officer Under Rule 13a-</w:t>
            </w:r>
          </w:p>
        </w:tc>
        <w:tc>
          <w:tcPr>
            <w:tcW w:w="2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14(a) and 15d-14(a) of the Securities Exchange Act of 1934,</w:t>
            </w:r>
          </w:p>
        </w:tc>
        <w:tc>
          <w:tcPr>
            <w:tcW w:w="60" w:type="dxa"/>
            <w:vAlign w:val="bottom"/>
            <w:gridSpan w:val="3"/>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3"/>
          </w:tcPr>
          <w:p>
            <w:pPr>
              <w:spacing w:after="0"/>
              <w:rPr>
                <w:sz w:val="20"/>
                <w:szCs w:val="20"/>
                <w:color w:val="auto"/>
              </w:rPr>
            </w:pPr>
            <w:r>
              <w:rPr>
                <w:rFonts w:ascii="Arial" w:cs="Arial" w:eastAsia="Arial" w:hAnsi="Arial"/>
                <w:sz w:val="18"/>
                <w:szCs w:val="18"/>
                <w:color w:val="0000EE"/>
                <w:w w:val="94"/>
              </w:rPr>
              <w:t>as amended, and 18 U.S.C. §1350 as adopted pursuant to</w:t>
            </w: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Section 906 of The Sarbanes-Oxley Act of 2002.</w:t>
            </w:r>
          </w:p>
        </w:tc>
        <w:tc>
          <w:tcPr>
            <w:tcW w:w="580" w:type="dxa"/>
            <w:vAlign w:val="bottom"/>
            <w:tcBorders>
              <w:top w:val="single" w:sz="8" w:color="0000EE"/>
            </w:tcBorders>
            <w:gridSpan w:val="8"/>
          </w:tcPr>
          <w:p>
            <w:pPr>
              <w:spacing w:after="0"/>
              <w:rPr>
                <w:sz w:val="19"/>
                <w:szCs w:val="19"/>
                <w:color w:val="auto"/>
              </w:rPr>
            </w:pPr>
          </w:p>
        </w:tc>
        <w:tc>
          <w:tcPr>
            <w:tcW w:w="320" w:type="dxa"/>
            <w:vAlign w:val="bottom"/>
            <w:gridSpan w:val="9"/>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3463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9"/>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July 1, 2022</w:t>
            </w:r>
          </w:p>
        </w:tc>
      </w:tr>
      <w:tr>
        <w:trPr>
          <w:trHeight w:val="864"/>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001-36348</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July 17,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tabs>
          <w:tab w:leader="none" w:pos="1260" w:val="left"/>
          <w:tab w:leader="none" w:pos="2740" w:val="left"/>
          <w:tab w:leader="none" w:pos="38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001-36348</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August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tabs>
          <w:tab w:leader="none" w:pos="1260" w:val="left"/>
          <w:tab w:leader="none" w:pos="2760" w:val="left"/>
          <w:tab w:leader="none" w:pos="39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001-36348</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August 5, 2022</w:t>
      </w:r>
    </w:p>
    <w:p>
      <w:pPr>
        <w:sectPr>
          <w:pgSz w:w="11900" w:h="16838" w:orient="portrait"/>
          <w:cols w:equalWidth="0" w:num="2">
            <w:col w:w="5720" w:space="60"/>
            <w:col w:w="5460"/>
          </w:cols>
          <w:pgMar w:left="320" w:top="12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6"/>
          </w:tcPr>
          <w:p>
            <w:pPr>
              <w:ind w:left="160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320" w:type="dxa"/>
            <w:vAlign w:val="bottom"/>
          </w:tcPr>
          <w:p>
            <w:pPr>
              <w:ind w:left="4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1420" w:type="dxa"/>
            <w:vAlign w:val="bottom"/>
            <w:gridSpan w:val="3"/>
          </w:tcPr>
          <w:p>
            <w:pPr>
              <w:ind w:left="260"/>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9"/>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Co-Chief Executive Officer Required Under</w:t>
            </w:r>
          </w:p>
        </w:tc>
        <w:tc>
          <w:tcPr>
            <w:tcW w:w="1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0000EE"/>
                <w:w w:val="97"/>
              </w:rPr>
              <w:t>Rule 13a-14(a) and 15d-14(a) of the Securities Exchange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Act of 1934, as amended, and 18 U.S.C. §1350 as adopted</w:t>
            </w:r>
          </w:p>
        </w:tc>
        <w:tc>
          <w:tcPr>
            <w:tcW w:w="30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0000EE"/>
                <w:w w:val="93"/>
              </w:rPr>
              <w:t>pursuant to Section 906 of The Sarbanes-Oxley Act of 2002.</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1160" w:type="dxa"/>
            <w:vAlign w:val="bottom"/>
          </w:tcPr>
          <w:p>
            <w:pPr>
              <w:ind w:left="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3"/>
              </w:rPr>
              <w:t>Certification of Chief Financial Officer Required Under</w:t>
            </w:r>
          </w:p>
        </w:tc>
        <w:tc>
          <w:tcPr>
            <w:tcW w:w="320" w:type="dxa"/>
            <w:vAlign w:val="bottom"/>
            <w:tcBorders>
              <w:top w:val="single" w:sz="8" w:color="0000EE"/>
            </w:tcBorders>
            <w:gridSpan w:val="3"/>
          </w:tcPr>
          <w:p>
            <w:pPr>
              <w:spacing w:after="0"/>
              <w:rPr>
                <w:sz w:val="24"/>
                <w:szCs w:val="24"/>
                <w:color w:val="auto"/>
              </w:rPr>
            </w:pPr>
          </w:p>
        </w:tc>
        <w:tc>
          <w:tcPr>
            <w:tcW w:w="1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0000EE"/>
                <w:w w:val="97"/>
              </w:rPr>
              <w:t>Rule 13a-14(a) and 15d-14(a) of the Securities Exchange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Act of 1934, as amended, and 18 U.S.C. §1350 as adopted</w:t>
            </w:r>
          </w:p>
        </w:tc>
        <w:tc>
          <w:tcPr>
            <w:tcW w:w="30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0000EE"/>
                <w:w w:val="93"/>
              </w:rPr>
              <w:t>pursuant to Section 906 of The Sarbanes-Oxley Act of 2002.</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6"/>
              </w:rPr>
              <w:t>Inline XBRL Instance Document (the instance document</w:t>
            </w:r>
          </w:p>
        </w:tc>
        <w:tc>
          <w:tcPr>
            <w:tcW w:w="1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does not appear in the Interactive Data File because its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XBRL tags are embedded within the Inline XBRL</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w w:val="98"/>
              </w:rPr>
              <w:t>Inline XBRL Taxonomy Extension Presentation Linkbase.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w w:val="93"/>
              </w:rPr>
              <w:t>Cover Page Interactive Data File (Formatted as Inline XBRL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gridSpan w:val="6"/>
          </w:tcPr>
          <w:p>
            <w:pPr>
              <w:spacing w:after="0"/>
              <w:rPr>
                <w:sz w:val="20"/>
                <w:szCs w:val="20"/>
                <w:color w:val="auto"/>
              </w:rPr>
            </w:pPr>
            <w:r>
              <w:rPr>
                <w:rFonts w:ascii="Arial" w:cs="Arial" w:eastAsia="Arial" w:hAnsi="Arial"/>
                <w:sz w:val="18"/>
                <w:szCs w:val="18"/>
                <w:color w:val="auto"/>
              </w:rPr>
              <w:t>and contained in Exhibit 101).</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23" w:lineRule="exact"/>
        <w:rPr>
          <w:sz w:val="20"/>
          <w:szCs w:val="20"/>
          <w:color w:val="auto"/>
        </w:rPr>
      </w:pPr>
    </w:p>
    <w:p>
      <w:pPr>
        <w:ind w:right="6760" w:firstLine="8"/>
        <w:spacing w:after="0" w:line="250"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PAYLOCITY HOLDING CORPORATION</w:t>
      </w:r>
    </w:p>
    <w:p>
      <w:pPr>
        <w:spacing w:after="0" w:line="351" w:lineRule="exact"/>
        <w:rPr>
          <w:sz w:val="20"/>
          <w:szCs w:val="20"/>
          <w:color w:val="auto"/>
        </w:rPr>
      </w:pPr>
    </w:p>
    <w:p>
      <w:pPr>
        <w:ind w:left="20"/>
        <w:spacing w:after="0"/>
        <w:tabs>
          <w:tab w:leader="none" w:pos="5380" w:val="left"/>
          <w:tab w:leader="none" w:pos="60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40640</wp:posOffset>
            </wp:positionV>
            <wp:extent cx="3403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8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Steven R. Beauchamp</w:t>
      </w:r>
    </w:p>
    <w:p>
      <w:pPr>
        <w:spacing w:after="0" w:line="90"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Co-Chief Executive Officer (Principal Executive Officer) and Director</w:t>
      </w:r>
    </w:p>
    <w:p>
      <w:pPr>
        <w:spacing w:after="0" w:line="385" w:lineRule="exact"/>
        <w:rPr>
          <w:sz w:val="20"/>
          <w:szCs w:val="20"/>
          <w:color w:val="auto"/>
        </w:rPr>
      </w:pPr>
    </w:p>
    <w:p>
      <w:pPr>
        <w:ind w:left="20"/>
        <w:spacing w:after="0"/>
        <w:tabs>
          <w:tab w:leader="none" w:pos="5380" w:val="left"/>
          <w:tab w:leader="none" w:pos="60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40640</wp:posOffset>
            </wp:positionV>
            <wp:extent cx="3403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8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Toby J. Williams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President, Co-Chief Executive Officer (Principal Executive Officer) and</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229" w:lineRule="exact"/>
        <w:rPr>
          <w:sz w:val="20"/>
          <w:szCs w:val="20"/>
          <w:color w:val="auto"/>
        </w:rPr>
      </w:pPr>
    </w:p>
    <w:p>
      <w:pPr>
        <w:ind w:left="1400"/>
        <w:spacing w:after="0"/>
        <w:tabs>
          <w:tab w:leader="none" w:pos="6240" w:val="left"/>
          <w:tab w:leader="none" w:pos="101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p>
      <w:pPr>
        <w:spacing w:after="0" w:line="374" w:lineRule="exact"/>
        <w:rPr>
          <w:sz w:val="20"/>
          <w:szCs w:val="20"/>
          <w:color w:val="auto"/>
        </w:rPr>
      </w:pPr>
    </w:p>
    <w:p>
      <w:pPr>
        <w:ind w:left="20" w:right="960"/>
        <w:spacing w:after="0" w:line="430" w:lineRule="auto"/>
        <w:rPr>
          <w:sz w:val="20"/>
          <w:szCs w:val="20"/>
          <w:color w:val="auto"/>
        </w:rPr>
      </w:pPr>
      <w:r>
        <w:rPr>
          <w:rFonts w:ascii="Arial" w:cs="Arial" w:eastAsia="Arial" w:hAnsi="Arial"/>
          <w:sz w:val="16"/>
          <w:szCs w:val="16"/>
          <w:color w:val="auto"/>
        </w:rPr>
        <w:t xml:space="preserve">/s/ Steven R. Beauchamp </w:t>
      </w:r>
      <w:r>
        <w:rPr>
          <w:rFonts w:ascii="Arial" w:cs="Arial" w:eastAsia="Arial" w:hAnsi="Arial"/>
          <w:sz w:val="16"/>
          <w:szCs w:val="16"/>
          <w:i w:val="1"/>
          <w:i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143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Toby J. Williams</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Ryan Glenn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Nicholas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Nicholas Rost</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I. Sarowitz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Steven I. Sarowitz</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Virginia G.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Virginia G. Breen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Ellen Carnahan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Ellen Carnahan</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T.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Jeffrey T. Diehl</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Robin L.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Robin L. Pederson</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Andres D. 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Andres D. Reiner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Co-Chief Executive Officer (Principal Executive Officer) and 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President, Co-Chief Executive Officer (Principal Executive Officer) and</w:t>
      </w:r>
      <w:r>
        <w:rPr>
          <w:sz w:val="20"/>
          <w:szCs w:val="20"/>
          <w:color w:val="auto"/>
        </w:rPr>
        <w:tab/>
      </w:r>
      <w:r>
        <w:rPr>
          <w:rFonts w:ascii="Arial" w:cs="Arial" w:eastAsia="Arial" w:hAnsi="Arial"/>
          <w:sz w:val="16"/>
          <w:szCs w:val="16"/>
          <w:color w:val="auto"/>
        </w:rPr>
        <w:t>August 4,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Chief Financial Officer and Treasurer (Principal Financial Officer)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Vice President and Chief Accounting Officer (Principal Accounting Officer)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Chairman of the Board of Directors</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519" w:lineRule="exact"/>
        <w:rPr>
          <w:sz w:val="20"/>
          <w:szCs w:val="20"/>
          <w:color w:val="auto"/>
        </w:rPr>
      </w:pPr>
    </w:p>
    <w:p>
      <w:pPr>
        <w:sectPr>
          <w:pgSz w:w="11900" w:h="16838" w:orient="portrait"/>
          <w:cols w:equalWidth="0" w:num="2">
            <w:col w:w="2800" w:space="720"/>
            <w:col w:w="7640"/>
          </w:cols>
          <w:pgMar w:left="320" w:top="12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right="1000"/>
        <w:spacing w:after="0" w:line="430" w:lineRule="auto"/>
        <w:rPr>
          <w:sz w:val="20"/>
          <w:szCs w:val="20"/>
          <w:color w:val="auto"/>
        </w:rPr>
      </w:pPr>
      <w:r>
        <w:rPr>
          <w:rFonts w:ascii="Arial" w:cs="Arial" w:eastAsia="Arial" w:hAnsi="Arial"/>
          <w:sz w:val="16"/>
          <w:szCs w:val="16"/>
          <w:color w:val="auto"/>
        </w:rPr>
        <w:t xml:space="preserve">/s/ Kenneth B. Robinson </w:t>
      </w:r>
      <w:r>
        <w:rPr>
          <w:rFonts w:ascii="Arial" w:cs="Arial" w:eastAsia="Arial" w:hAnsi="Arial"/>
          <w:sz w:val="16"/>
          <w:szCs w:val="16"/>
          <w:i w:val="1"/>
          <w:iCs w:val="1"/>
          <w:color w:val="auto"/>
        </w:rPr>
        <w:t>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143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43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Ronald V. Waters,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2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800" w:space="720"/>
            <w:col w:w="7360"/>
          </w:cols>
          <w:pgMar w:left="320" w:top="125" w:right="6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Financial Statements: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Report of Independent Registered Public Accounting Firm</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Balance Sheets as of June 30, 2022 and 2023</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Consolidated Statements of Operations and Comprehensive Income for the years ended June 30, 2021, 2022 and 2023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00FF"/>
        </w:rPr>
        <w:t>Consolidated Statements of Changes in Stockholders’ Equity for the years ended June 30, 2021, 2022 and 2023</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Cash Flows for the years ended June 30, 2021, 2022 and 2023</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64135</wp:posOffset>
            </wp:positionV>
            <wp:extent cx="4457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F-4</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F-5</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F-6</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F-7</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F-8</w:t>
      </w:r>
    </w:p>
    <w:p>
      <w:pPr>
        <w:sectPr>
          <w:pgSz w:w="11900" w:h="16838" w:orient="portrait"/>
          <w:cols w:equalWidth="0" w:num="2">
            <w:col w:w="10020" w:space="720"/>
            <w:col w:w="300"/>
          </w:cols>
          <w:pgMar w:left="320" w:top="125" w:right="5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2"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Paylocity Holding Corporation and subsidiaries (the Company) as of June 30, 2023 and 2022, the related consolidated statements of operations and comprehensive income, changes in stockholders’ equity, and cash flows for each of the years in the three-year period ended June 30, 2023, and the related notes (collectively, the consolidated financial statements). We also have audited the Company’s internal control over financial reporting as of June 30,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30, 2023 and 2022, and the results of its operations and its cash flows for each of the years in the three-year period ended June 30, 2023, in conformity with U.S. generally accepted accounting principles. Also in our opinion, the Company maintained, in all material respects, effective internal control over financial reporting as of June 30,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and Attestation Report of the Registered Public Accounting Firm.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Capitalized internal-use software development costs</w:t>
      </w:r>
    </w:p>
    <w:p>
      <w:pPr>
        <w:spacing w:after="0" w:line="252"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As discussed in Notes 2 and 8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$86.1 million as of June 30, 2023. The Company capitalized approximately $55.6 million of internal-use software costs during the year ended June 30, 2023.</w:t>
      </w:r>
    </w:p>
    <w:p>
      <w:pPr>
        <w:spacing w:after="0" w:line="214"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9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spacing w:after="0" w:line="17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6"/>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139,756</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288,767</w:t>
            </w: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25,085</w:t>
            </w: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contract costs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78,109</w:t>
            </w:r>
          </w:p>
        </w:tc>
      </w:tr>
      <w:tr>
        <w:trPr>
          <w:trHeight w:val="256"/>
        </w:trPr>
        <w:tc>
          <w:tcPr>
            <w:tcW w:w="816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35,061</w:t>
            </w:r>
          </w:p>
        </w:tc>
      </w:tr>
      <w:tr>
        <w:trPr>
          <w:trHeight w:val="25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 before funds held for clients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427,022</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Funds held for clients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3,987,776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2,621,415</w:t>
            </w:r>
          </w:p>
        </w:tc>
      </w:tr>
      <w:tr>
        <w:trPr>
          <w:trHeight w:val="25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4,231,683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3,048,437</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Capitalized internal-use software,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86,127</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64,069</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44,067</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34,527</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101,949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102,054</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contract costs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294,222</w:t>
            </w:r>
          </w:p>
        </w:tc>
      </w:tr>
      <w:tr>
        <w:trPr>
          <w:trHeight w:val="250"/>
        </w:trPr>
        <w:tc>
          <w:tcPr>
            <w:tcW w:w="8160" w:type="dxa"/>
            <w:vAlign w:val="bottom"/>
          </w:tcPr>
          <w:p>
            <w:pPr>
              <w:ind w:left="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prepaid expenses and 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6,331</w:t>
            </w:r>
          </w:p>
        </w:tc>
      </w:tr>
      <w:tr>
        <w:trPr>
          <w:trHeight w:val="27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w:t>
            </w:r>
          </w:p>
        </w:tc>
      </w:tr>
      <w:tr>
        <w:trPr>
          <w:trHeight w:val="256"/>
        </w:trPr>
        <w:tc>
          <w:tcPr>
            <w:tcW w:w="81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4,809,014</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3,695,680</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8,374</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6,153</w:t>
            </w:r>
          </w:p>
        </w:tc>
      </w:tr>
      <w:tr>
        <w:trPr>
          <w:trHeight w:val="27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143,287</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Total current liabilities before client fund obligations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149,440</w:t>
            </w: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fund obligations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3,987,776</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2,625,355</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4,120,534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2,774,795</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62,471</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3,731</w:t>
            </w:r>
          </w:p>
        </w:tc>
      </w:tr>
      <w:tr>
        <w:trPr>
          <w:trHeight w:val="27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4,195,551</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2,852,817</w:t>
            </w:r>
          </w:p>
        </w:tc>
      </w:tr>
      <w:tr>
        <w:trPr>
          <w:trHeight w:val="237"/>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5,000 authorized, no shares issued and outstanding at June 30, 2022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June 30, 2023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Common stock, $0.001 par value, 155,000 shares authorized at June 30, 2022 and June 30, 2023; 55,190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and outstanding at June 30, 2022 and 55,912 shares issued and outstanding at June 30, 2023</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289,843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380,632</w:t>
            </w: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466,690</w:t>
            </w: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r>
      <w:tr>
        <w:trPr>
          <w:trHeight w:val="256"/>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842,863</w:t>
            </w:r>
          </w:p>
        </w:tc>
      </w:tr>
      <w:tr>
        <w:trPr>
          <w:trHeight w:val="250"/>
        </w:trPr>
        <w:tc>
          <w:tcPr>
            <w:tcW w:w="816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4,809,014</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3,695,680</w:t>
            </w:r>
          </w:p>
        </w:tc>
      </w:tr>
      <w:tr>
        <w:trPr>
          <w:trHeight w:val="21"/>
        </w:trPr>
        <w:tc>
          <w:tcPr>
            <w:tcW w:w="8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Year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6"/>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580" w:type="dxa"/>
            <w:vAlign w:val="bottom"/>
          </w:tcPr>
          <w:p>
            <w:pPr>
              <w:ind w:left="180"/>
              <w:spacing w:after="0"/>
              <w:rPr>
                <w:sz w:val="20"/>
                <w:szCs w:val="20"/>
                <w:color w:val="auto"/>
              </w:rPr>
            </w:pPr>
            <w:r>
              <w:rPr>
                <w:rFonts w:ascii="Arial" w:cs="Arial" w:eastAsia="Arial" w:hAnsi="Arial"/>
                <w:sz w:val="18"/>
                <w:szCs w:val="18"/>
                <w:color w:val="auto"/>
              </w:rPr>
              <w:t>Recurring and other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631,725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847,694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1,098,036</w:t>
            </w:r>
          </w:p>
        </w:tc>
      </w:tr>
      <w:tr>
        <w:trPr>
          <w:trHeight w:val="263"/>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76,562</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635,627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852,651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1,174,598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219,298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367,039</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416,329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807,559</w:t>
            </w:r>
          </w:p>
        </w:tc>
      </w:tr>
      <w:tr>
        <w:trPr>
          <w:trHeight w:val="23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50"/>
        </w:trPr>
        <w:tc>
          <w:tcPr>
            <w:tcW w:w="65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296,716</w:t>
            </w:r>
          </w:p>
        </w:tc>
      </w:tr>
      <w:tr>
        <w:trPr>
          <w:trHeight w:val="263"/>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163,994</w:t>
            </w:r>
          </w:p>
        </w:tc>
      </w:tr>
      <w:tr>
        <w:trPr>
          <w:trHeight w:val="257"/>
        </w:trPr>
        <w:tc>
          <w:tcPr>
            <w:tcW w:w="6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119,771</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163,692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191,823</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652,533</w:t>
            </w:r>
          </w:p>
        </w:tc>
      </w:tr>
      <w:tr>
        <w:trPr>
          <w:trHeight w:val="237"/>
        </w:trPr>
        <w:tc>
          <w:tcPr>
            <w:tcW w:w="6580" w:type="dxa"/>
            <w:vAlign w:val="bottom"/>
          </w:tcPr>
          <w:p>
            <w:pPr>
              <w:ind w:left="5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84,594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155,026</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r>
      <w:tr>
        <w:trPr>
          <w:trHeight w:val="250"/>
        </w:trPr>
        <w:tc>
          <w:tcPr>
            <w:tcW w:w="6580" w:type="dxa"/>
            <w:vAlign w:val="bottom"/>
          </w:tcPr>
          <w:p>
            <w:pPr>
              <w:ind w:left="5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158,614</w:t>
            </w:r>
          </w:p>
        </w:tc>
      </w:tr>
      <w:tr>
        <w:trPr>
          <w:trHeight w:val="25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17,792</w:t>
            </w:r>
          </w:p>
        </w:tc>
      </w:tr>
      <w:tr>
        <w:trPr>
          <w:trHeight w:val="256"/>
        </w:trPr>
        <w:tc>
          <w:tcPr>
            <w:tcW w:w="6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70,819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90,777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140,822</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r>
      <w:tr>
        <w:trPr>
          <w:trHeight w:val="257"/>
        </w:trPr>
        <w:tc>
          <w:tcPr>
            <w:tcW w:w="65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70,210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88,408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138,610</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3"/>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shares used in computing net income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54,318</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55,036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55,706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80" w:type="dxa"/>
            <w:vAlign w:val="bottom"/>
          </w:tcPr>
          <w:p>
            <w:pPr>
              <w:jc w:val="right"/>
              <w:spacing w:after="0"/>
              <w:rPr>
                <w:sz w:val="20"/>
                <w:szCs w:val="20"/>
                <w:color w:val="auto"/>
              </w:rPr>
            </w:pPr>
            <w:r>
              <w:rPr>
                <w:rFonts w:ascii="Arial" w:cs="Arial" w:eastAsia="Arial" w:hAnsi="Arial"/>
                <w:sz w:val="18"/>
                <w:szCs w:val="18"/>
                <w:color w:val="auto"/>
              </w:rPr>
              <w:t>56,305</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56,445</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56,596</w:t>
            </w:r>
          </w:p>
        </w:tc>
      </w:tr>
      <w:tr>
        <w:trPr>
          <w:trHeight w:val="20"/>
        </w:trPr>
        <w:tc>
          <w:tcPr>
            <w:tcW w:w="65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32385</wp:posOffset>
            </wp:positionV>
            <wp:extent cx="54521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2640" w:type="dxa"/>
            <w:vAlign w:val="bottom"/>
          </w:tcPr>
          <w:p>
            <w:pPr>
              <w:spacing w:after="0"/>
              <w:rPr>
                <w:sz w:val="16"/>
                <w:szCs w:val="16"/>
                <w:color w:val="auto"/>
              </w:rPr>
            </w:pPr>
          </w:p>
        </w:tc>
        <w:tc>
          <w:tcPr>
            <w:tcW w:w="880" w:type="dxa"/>
            <w:vAlign w:val="bottom"/>
          </w:tcPr>
          <w:p>
            <w:pPr>
              <w:ind w:left="460"/>
              <w:spacing w:after="0"/>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Balances at June 30, 2020</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w w:val="83"/>
              </w:rPr>
              <w:t>53,792</w:t>
            </w:r>
          </w:p>
        </w:tc>
        <w:tc>
          <w:tcPr>
            <w:tcW w:w="112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29"/>
        </w:trPr>
        <w:tc>
          <w:tcPr>
            <w:tcW w:w="3520" w:type="dxa"/>
            <w:vAlign w:val="bottom"/>
            <w:gridSpan w:val="2"/>
          </w:tcPr>
          <w:p>
            <w:pPr>
              <w:spacing w:after="0"/>
              <w:rPr>
                <w:sz w:val="20"/>
                <w:szCs w:val="20"/>
                <w:color w:val="auto"/>
              </w:rPr>
            </w:pPr>
            <w:r>
              <w:rPr>
                <w:rFonts w:ascii="Arial" w:cs="Arial" w:eastAsia="Arial" w:hAnsi="Arial"/>
                <w:sz w:val="14"/>
                <w:szCs w:val="14"/>
                <w:color w:val="auto"/>
              </w:rPr>
              <w:t>Stock options exercised</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Issuance of common stock upon vesting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2"/>
        </w:trPr>
        <w:tc>
          <w:tcPr>
            <w:tcW w:w="352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644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Issuance of common stock under employee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4"/>
                <w:szCs w:val="14"/>
                <w:color w:val="auto"/>
              </w:rPr>
              <w:t>stock purchase plan</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Net settlement for taxes and/or exercise price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2"/>
        </w:trPr>
        <w:tc>
          <w:tcPr>
            <w:tcW w:w="3520" w:type="dxa"/>
            <w:vAlign w:val="bottom"/>
            <w:gridSpan w:val="2"/>
          </w:tcPr>
          <w:p>
            <w:pPr>
              <w:spacing w:after="0"/>
              <w:rPr>
                <w:sz w:val="20"/>
                <w:szCs w:val="20"/>
                <w:color w:val="auto"/>
              </w:rPr>
            </w:pPr>
            <w:r>
              <w:rPr>
                <w:rFonts w:ascii="Arial" w:cs="Arial" w:eastAsia="Arial" w:hAnsi="Arial"/>
                <w:sz w:val="14"/>
                <w:szCs w:val="14"/>
                <w:color w:val="auto"/>
              </w:rPr>
              <w:t>related to equity awards</w:t>
            </w:r>
          </w:p>
        </w:tc>
        <w:tc>
          <w:tcPr>
            <w:tcW w:w="460" w:type="dxa"/>
            <w:vAlign w:val="bottom"/>
          </w:tcPr>
          <w:p>
            <w:pPr>
              <w:jc w:val="right"/>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229"/>
        </w:trPr>
        <w:tc>
          <w:tcPr>
            <w:tcW w:w="3520" w:type="dxa"/>
            <w:vAlign w:val="bottom"/>
            <w:gridSpan w:val="2"/>
          </w:tcPr>
          <w:p>
            <w:pPr>
              <w:spacing w:after="0"/>
              <w:rPr>
                <w:sz w:val="20"/>
                <w:szCs w:val="20"/>
                <w:color w:val="auto"/>
              </w:rPr>
            </w:pPr>
            <w:r>
              <w:rPr>
                <w:rFonts w:ascii="Arial" w:cs="Arial" w:eastAsia="Arial" w:hAnsi="Arial"/>
                <w:sz w:val="14"/>
                <w:szCs w:val="14"/>
                <w:color w:val="auto"/>
              </w:rPr>
              <w:t>Unrealized losses on securities, net of tax</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r>
      <w:tr>
        <w:trPr>
          <w:trHeight w:val="26"/>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Balances at June 30, 2021</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w w:val="83"/>
              </w:rPr>
              <w:t>54,594</w:t>
            </w:r>
          </w:p>
        </w:tc>
        <w:tc>
          <w:tcPr>
            <w:tcW w:w="112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Stock options exercised</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Issuance of common stock upon vesting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2"/>
        </w:trPr>
        <w:tc>
          <w:tcPr>
            <w:tcW w:w="352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Issuance of common stock under employee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4"/>
                <w:szCs w:val="14"/>
                <w:color w:val="auto"/>
              </w:rPr>
              <w:t>stock purchase plan</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Net settlement for taxes and/or exercise price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4"/>
                <w:szCs w:val="14"/>
                <w:color w:val="auto"/>
              </w:rPr>
              <w:t>related to equity awards</w:t>
            </w:r>
          </w:p>
        </w:tc>
        <w:tc>
          <w:tcPr>
            <w:tcW w:w="460" w:type="dxa"/>
            <w:vAlign w:val="bottom"/>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Unrealized losses on securities, net of tax</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29"/>
        </w:trPr>
        <w:tc>
          <w:tcPr>
            <w:tcW w:w="3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r>
      <w:tr>
        <w:trPr>
          <w:trHeight w:val="25"/>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Balances at June 30, 2022</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w w:val="83"/>
              </w:rPr>
              <w:t>55,190</w:t>
            </w:r>
          </w:p>
        </w:tc>
        <w:tc>
          <w:tcPr>
            <w:tcW w:w="112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Stock options exercised</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Issuance of common stock upon vesting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7"/>
                <w:szCs w:val="17"/>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Issuance of common stock under employee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2"/>
        </w:trPr>
        <w:tc>
          <w:tcPr>
            <w:tcW w:w="3520" w:type="dxa"/>
            <w:vAlign w:val="bottom"/>
            <w:gridSpan w:val="2"/>
          </w:tcPr>
          <w:p>
            <w:pPr>
              <w:spacing w:after="0"/>
              <w:rPr>
                <w:sz w:val="20"/>
                <w:szCs w:val="20"/>
                <w:color w:val="auto"/>
              </w:rPr>
            </w:pPr>
            <w:r>
              <w:rPr>
                <w:rFonts w:ascii="Arial" w:cs="Arial" w:eastAsia="Arial" w:hAnsi="Arial"/>
                <w:sz w:val="14"/>
                <w:szCs w:val="14"/>
                <w:color w:val="auto"/>
              </w:rPr>
              <w:t>stock purchase plan</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4"/>
                <w:szCs w:val="14"/>
                <w:color w:val="auto"/>
              </w:rPr>
              <w:t>Net settlement for taxes and/or exercise price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4"/>
                <w:szCs w:val="14"/>
                <w:color w:val="auto"/>
              </w:rPr>
              <w:t>related to equity awards</w:t>
            </w:r>
          </w:p>
        </w:tc>
        <w:tc>
          <w:tcPr>
            <w:tcW w:w="460" w:type="dxa"/>
            <w:vAlign w:val="bottom"/>
          </w:tcPr>
          <w:p>
            <w:pPr>
              <w:jc w:val="right"/>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4"/>
                <w:szCs w:val="14"/>
                <w:color w:val="auto"/>
              </w:rPr>
              <w:t>Unrealized losses on securities, net of tax</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35"/>
        </w:trPr>
        <w:tc>
          <w:tcPr>
            <w:tcW w:w="264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r>
      <w:tr>
        <w:trPr>
          <w:trHeight w:val="215"/>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Balances at June 30, 2023</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w w:val="83"/>
              </w:rPr>
              <w:t>55,912</w:t>
            </w:r>
          </w:p>
        </w:tc>
        <w:tc>
          <w:tcPr>
            <w:tcW w:w="112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-4568825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-4285615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-3900170</wp:posOffset>
            </wp:positionV>
            <wp:extent cx="71323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-3385820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-2820035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-2425700</wp:posOffset>
            </wp:positionV>
            <wp:extent cx="713232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248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ind w:right="388"/>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Stockholders’</w:t>
            </w:r>
          </w:p>
        </w:tc>
      </w:tr>
      <w:tr>
        <w:trPr>
          <w:trHeight w:val="186"/>
        </w:trPr>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Retained Earnings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r>
      <w:tr>
        <w:trPr>
          <w:trHeight w:val="26"/>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227,907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164,272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392,908</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65,662</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65,662</w:t>
            </w:r>
          </w:p>
        </w:tc>
      </w:tr>
      <w:tr>
        <w:trPr>
          <w:trHeight w:val="229"/>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3,313</w:t>
            </w:r>
          </w:p>
        </w:tc>
        <w:tc>
          <w:tcPr>
            <w:tcW w:w="8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3,313</w:t>
            </w:r>
          </w:p>
        </w:tc>
      </w:tr>
      <w:tr>
        <w:trPr>
          <w:trHeight w:val="392"/>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05"/>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12,214</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12,214</w:t>
            </w:r>
          </w:p>
        </w:tc>
      </w:tr>
      <w:tr>
        <w:trPr>
          <w:trHeight w:val="392"/>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(67,377)</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(67,377)</w:t>
            </w:r>
          </w:p>
        </w:tc>
      </w:tr>
      <w:tr>
        <w:trPr>
          <w:trHeight w:val="229"/>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70,819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70,819</w:t>
            </w:r>
          </w:p>
        </w:tc>
      </w:tr>
      <w:tr>
        <w:trPr>
          <w:trHeight w:val="39"/>
        </w:trPr>
        <w:tc>
          <w:tcPr>
            <w:tcW w:w="1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241,718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235,091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476,930</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103,733</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103,733</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2,226</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2,226</w:t>
            </w:r>
          </w:p>
        </w:tc>
      </w:tr>
      <w:tr>
        <w:trPr>
          <w:trHeight w:val="392"/>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05"/>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14,103</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14,103</w:t>
            </w:r>
          </w:p>
        </w:tc>
      </w:tr>
      <w:tr>
        <w:trPr>
          <w:trHeight w:val="405"/>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(71,937)</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(71,937)</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(2,369)</w:t>
            </w:r>
          </w:p>
        </w:tc>
      </w:tr>
      <w:tr>
        <w:trPr>
          <w:trHeight w:val="229"/>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90,777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90,777</w:t>
            </w:r>
          </w:p>
        </w:tc>
      </w:tr>
      <w:tr>
        <w:trPr>
          <w:trHeight w:val="25"/>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289,843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325,868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(2,303)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613,463</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162,183</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162,183</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3,265</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3,265</w:t>
            </w:r>
          </w:p>
        </w:tc>
      </w:tr>
      <w:tr>
        <w:trPr>
          <w:trHeight w:val="405"/>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91"/>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16,916</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16,916</w:t>
            </w:r>
          </w:p>
        </w:tc>
      </w:tr>
      <w:tr>
        <w:trPr>
          <w:trHeight w:val="405"/>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(91,575)</w:t>
            </w:r>
          </w:p>
        </w:tc>
        <w:tc>
          <w:tcPr>
            <w:tcW w:w="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(91,575)</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(2,212)</w:t>
            </w:r>
          </w:p>
        </w:tc>
      </w:tr>
      <w:tr>
        <w:trPr>
          <w:trHeight w:val="216"/>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140,822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140,822</w:t>
            </w:r>
          </w:p>
        </w:tc>
      </w:tr>
      <w:tr>
        <w:trPr>
          <w:trHeight w:val="25"/>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00" w:type="dxa"/>
            <w:vAlign w:val="bottom"/>
          </w:tcPr>
          <w:p>
            <w:pPr>
              <w:jc w:val="right"/>
              <w:ind w:right="108"/>
              <w:spacing w:after="0"/>
              <w:rPr>
                <w:sz w:val="20"/>
                <w:szCs w:val="20"/>
                <w:color w:val="auto"/>
              </w:rPr>
            </w:pPr>
            <w:r>
              <w:rPr>
                <w:rFonts w:ascii="Arial" w:cs="Arial" w:eastAsia="Arial" w:hAnsi="Arial"/>
                <w:sz w:val="14"/>
                <w:szCs w:val="14"/>
                <w:color w:val="auto"/>
              </w:rPr>
              <w:t>380,632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466,690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(4,515)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842,863</w:t>
            </w:r>
          </w:p>
        </w:tc>
      </w:tr>
      <w:tr>
        <w:trPr>
          <w:trHeight w:val="25"/>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-4577080</wp:posOffset>
            </wp:positionV>
            <wp:extent cx="8489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-179705</wp:posOffset>
            </wp:positionV>
            <wp:extent cx="8489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-8255</wp:posOffset>
            </wp:positionV>
            <wp:extent cx="8489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60"/>
            <w:col w:w="5360"/>
          </w:cols>
          <w:pgMar w:left="320" w:top="125" w:right="3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Year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70,819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90,777</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140,822</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00" w:type="dxa"/>
            <w:vAlign w:val="bottom"/>
          </w:tcPr>
          <w:p>
            <w:pPr>
              <w:ind w:left="36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63,052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96,202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147,300</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60,866</w:t>
            </w:r>
          </w:p>
        </w:tc>
        <w:tc>
          <w:tcPr>
            <w:tcW w:w="0" w:type="dxa"/>
            <w:vAlign w:val="bottom"/>
          </w:tcPr>
          <w:p>
            <w:pPr>
              <w:spacing w:after="0"/>
              <w:rPr>
                <w:sz w:val="1"/>
                <w:szCs w:val="1"/>
                <w:color w:val="auto"/>
              </w:rPr>
            </w:pPr>
          </w:p>
        </w:tc>
      </w:tr>
      <w:tr>
        <w:trPr>
          <w:trHeight w:val="191"/>
        </w:trPr>
        <w:tc>
          <w:tcPr>
            <w:tcW w:w="6600" w:type="dxa"/>
            <w:vAlign w:val="bottom"/>
          </w:tcPr>
          <w:p>
            <w:pPr>
              <w:ind w:left="360"/>
              <w:spacing w:after="0"/>
              <w:rPr>
                <w:sz w:val="20"/>
                <w:szCs w:val="20"/>
                <w:color w:val="auto"/>
              </w:rPr>
            </w:pPr>
            <w:r>
              <w:rPr>
                <w:rFonts w:ascii="Arial" w:cs="Arial" w:eastAsia="Arial" w:hAnsi="Arial"/>
                <w:sz w:val="14"/>
                <w:szCs w:val="14"/>
                <w:color w:val="auto"/>
              </w:rPr>
              <w:t>Deferred income tax expense (benefit)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13,540</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Provision for credit losses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90"/>
        </w:trPr>
        <w:tc>
          <w:tcPr>
            <w:tcW w:w="6600" w:type="dxa"/>
            <w:vAlign w:val="bottom"/>
          </w:tcPr>
          <w:p>
            <w:pPr>
              <w:ind w:left="360"/>
              <w:spacing w:after="0"/>
              <w:rPr>
                <w:sz w:val="20"/>
                <w:szCs w:val="20"/>
                <w:color w:val="auto"/>
              </w:rPr>
            </w:pPr>
            <w:r>
              <w:rPr>
                <w:rFonts w:ascii="Arial" w:cs="Arial" w:eastAsia="Arial" w:hAnsi="Arial"/>
                <w:sz w:val="14"/>
                <w:szCs w:val="14"/>
                <w:color w:val="auto"/>
              </w:rPr>
              <w:t>Net amortization of premiums (accretion of discounts) on available-for-sale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(5,412)</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90"/>
        </w:trPr>
        <w:tc>
          <w:tcPr>
            <w:tcW w:w="6600" w:type="dxa"/>
            <w:vAlign w:val="bottom"/>
          </w:tcPr>
          <w:p>
            <w:pPr>
              <w:ind w:left="36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600" w:type="dxa"/>
            <w:vAlign w:val="bottom"/>
          </w:tcPr>
          <w:p>
            <w:pPr>
              <w:ind w:left="5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(9,407)</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Deferred contract costs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(73,263)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(80,781)</w:t>
            </w:r>
          </w:p>
        </w:tc>
        <w:tc>
          <w:tcPr>
            <w:tcW w:w="0" w:type="dxa"/>
            <w:vAlign w:val="bottom"/>
          </w:tcPr>
          <w:p>
            <w:pPr>
              <w:spacing w:after="0"/>
              <w:rPr>
                <w:sz w:val="1"/>
                <w:szCs w:val="1"/>
                <w:color w:val="auto"/>
              </w:rPr>
            </w:pPr>
          </w:p>
        </w:tc>
      </w:tr>
      <w:tr>
        <w:trPr>
          <w:trHeight w:val="190"/>
        </w:trPr>
        <w:tc>
          <w:tcPr>
            <w:tcW w:w="6600" w:type="dxa"/>
            <w:vAlign w:val="bottom"/>
          </w:tcPr>
          <w:p>
            <w:pPr>
              <w:ind w:left="520"/>
              <w:spacing w:after="0"/>
              <w:rPr>
                <w:sz w:val="20"/>
                <w:szCs w:val="20"/>
                <w:color w:val="auto"/>
              </w:rPr>
            </w:pPr>
            <w:r>
              <w:rPr>
                <w:rFonts w:ascii="Arial" w:cs="Arial" w:eastAsia="Arial" w:hAnsi="Arial"/>
                <w:sz w:val="14"/>
                <w:szCs w:val="14"/>
                <w:color w:val="auto"/>
              </w:rPr>
              <w:t>Prepaid expenses and other</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(14,767)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(3,994)</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Accounts payable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210"/>
        </w:trPr>
        <w:tc>
          <w:tcPr>
            <w:tcW w:w="6600" w:type="dxa"/>
            <w:vAlign w:val="bottom"/>
          </w:tcPr>
          <w:p>
            <w:pPr>
              <w:ind w:left="520"/>
              <w:spacing w:after="0"/>
              <w:rPr>
                <w:sz w:val="20"/>
                <w:szCs w:val="20"/>
                <w:color w:val="auto"/>
              </w:rPr>
            </w:pPr>
            <w:r>
              <w:rPr>
                <w:rFonts w:ascii="Arial" w:cs="Arial" w:eastAsia="Arial" w:hAnsi="Arial"/>
                <w:sz w:val="14"/>
                <w:szCs w:val="14"/>
                <w:color w:val="auto"/>
              </w:rPr>
              <w:t>Accrued expenses and other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18,416</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282,723</w:t>
            </w:r>
          </w:p>
        </w:tc>
        <w:tc>
          <w:tcPr>
            <w:tcW w:w="0" w:type="dxa"/>
            <w:vAlign w:val="bottom"/>
          </w:tcPr>
          <w:p>
            <w:pPr>
              <w:spacing w:after="0"/>
              <w:rPr>
                <w:sz w:val="1"/>
                <w:szCs w:val="1"/>
                <w:color w:val="auto"/>
              </w:rPr>
            </w:pPr>
          </w:p>
        </w:tc>
      </w:tr>
      <w:tr>
        <w:trPr>
          <w:trHeight w:val="190"/>
        </w:trPr>
        <w:tc>
          <w:tcPr>
            <w:tcW w:w="66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available-for-sale securities and other</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(433,962)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(598,895)</w:t>
            </w:r>
          </w:p>
        </w:tc>
        <w:tc>
          <w:tcPr>
            <w:tcW w:w="0" w:type="dxa"/>
            <w:vAlign w:val="bottom"/>
          </w:tcPr>
          <w:p>
            <w:pPr>
              <w:spacing w:after="0"/>
              <w:rPr>
                <w:sz w:val="1"/>
                <w:szCs w:val="1"/>
                <w:color w:val="auto"/>
              </w:rPr>
            </w:pPr>
          </w:p>
        </w:tc>
      </w:tr>
      <w:tr>
        <w:trPr>
          <w:trHeight w:val="191"/>
        </w:trPr>
        <w:tc>
          <w:tcPr>
            <w:tcW w:w="6600" w:type="dxa"/>
            <w:vAlign w:val="bottom"/>
          </w:tcPr>
          <w:p>
            <w:pPr>
              <w:ind w:left="180"/>
              <w:spacing w:after="0"/>
              <w:rPr>
                <w:sz w:val="20"/>
                <w:szCs w:val="20"/>
                <w:color w:val="auto"/>
              </w:rPr>
            </w:pPr>
            <w:r>
              <w:rPr>
                <w:rFonts w:ascii="Arial" w:cs="Arial" w:eastAsia="Arial" w:hAnsi="Arial"/>
                <w:sz w:val="14"/>
                <w:szCs w:val="14"/>
                <w:color w:val="auto"/>
              </w:rPr>
              <w:t>Proceeds from sales and maturities of available-for-sale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101,467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116,848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446,751</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Capitalized internal-use software costs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(34,515)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(45,004)</w:t>
            </w:r>
          </w:p>
        </w:tc>
        <w:tc>
          <w:tcPr>
            <w:tcW w:w="0" w:type="dxa"/>
            <w:vAlign w:val="bottom"/>
          </w:tcPr>
          <w:p>
            <w:pPr>
              <w:spacing w:after="0"/>
              <w:rPr>
                <w:sz w:val="1"/>
                <w:szCs w:val="1"/>
                <w:color w:val="auto"/>
              </w:rPr>
            </w:pPr>
          </w:p>
        </w:tc>
      </w:tr>
      <w:tr>
        <w:trPr>
          <w:trHeight w:val="191"/>
        </w:trPr>
        <w:tc>
          <w:tcPr>
            <w:tcW w:w="660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(21,910)</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Acquisitions of businesses, net of cash acquired</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(14,992)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660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48,420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(479,774)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(220,162)</w:t>
            </w:r>
          </w:p>
        </w:tc>
        <w:tc>
          <w:tcPr>
            <w:tcW w:w="0" w:type="dxa"/>
            <w:vAlign w:val="bottom"/>
          </w:tcPr>
          <w:p>
            <w:pPr>
              <w:spacing w:after="0"/>
              <w:rPr>
                <w:sz w:val="1"/>
                <w:szCs w:val="1"/>
                <w:color w:val="auto"/>
              </w:rPr>
            </w:pPr>
          </w:p>
        </w:tc>
      </w:tr>
      <w:tr>
        <w:trPr>
          <w:trHeight w:val="190"/>
        </w:trPr>
        <w:tc>
          <w:tcPr>
            <w:tcW w:w="66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change in client fund obligations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432,373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2,228,038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(1,362,421)</w:t>
            </w:r>
          </w:p>
        </w:tc>
        <w:tc>
          <w:tcPr>
            <w:tcW w:w="0" w:type="dxa"/>
            <w:vAlign w:val="bottom"/>
          </w:tcPr>
          <w:p>
            <w:pPr>
              <w:spacing w:after="0"/>
              <w:rPr>
                <w:sz w:val="1"/>
                <w:szCs w:val="1"/>
                <w:color w:val="auto"/>
              </w:rPr>
            </w:pPr>
          </w:p>
        </w:tc>
      </w:tr>
      <w:tr>
        <w:trPr>
          <w:trHeight w:val="191"/>
        </w:trPr>
        <w:tc>
          <w:tcPr>
            <w:tcW w:w="6600" w:type="dxa"/>
            <w:vAlign w:val="bottom"/>
          </w:tcPr>
          <w:p>
            <w:pPr>
              <w:ind w:left="180"/>
              <w:spacing w:after="0"/>
              <w:rPr>
                <w:sz w:val="20"/>
                <w:szCs w:val="20"/>
                <w:color w:val="auto"/>
              </w:rPr>
            </w:pPr>
            <w:r>
              <w:rPr>
                <w:rFonts w:ascii="Arial" w:cs="Arial" w:eastAsia="Arial" w:hAnsi="Arial"/>
                <w:sz w:val="14"/>
                <w:szCs w:val="14"/>
                <w:color w:val="auto"/>
              </w:rPr>
              <w:t>Borrowings under credit facility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 of credit facility</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60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employee stock purchase plan</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16,916</w:t>
            </w:r>
          </w:p>
        </w:tc>
        <w:tc>
          <w:tcPr>
            <w:tcW w:w="0" w:type="dxa"/>
            <w:vAlign w:val="bottom"/>
          </w:tcPr>
          <w:p>
            <w:pPr>
              <w:spacing w:after="0"/>
              <w:rPr>
                <w:sz w:val="1"/>
                <w:szCs w:val="1"/>
                <w:color w:val="auto"/>
              </w:rPr>
            </w:pPr>
          </w:p>
        </w:tc>
      </w:tr>
      <w:tr>
        <w:trPr>
          <w:trHeight w:val="191"/>
        </w:trPr>
        <w:tc>
          <w:tcPr>
            <w:tcW w:w="660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(64,191)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(69,761)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(88,312)</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of debt issuance costs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84"/>
        </w:trPr>
        <w:tc>
          <w:tcPr>
            <w:tcW w:w="6600" w:type="dxa"/>
            <w:vAlign w:val="bottom"/>
          </w:tcPr>
          <w:p>
            <w:pPr>
              <w:ind w:left="68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280,478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2,172,293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(1,434,702)</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funds held for clients' 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453,748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1,847,572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(1,372,141)</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Cash, cash equivalents and funds held for clients' cash and cash equivalents—beginning of year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1,492,133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1,945,881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3,793,453</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funds held for clients' cash and cash equivalents—end of year</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1,945,881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3,793,453</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2,421,312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 and internal-use software, accrued but not paid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180"/>
              <w:spacing w:after="0"/>
              <w:rPr>
                <w:sz w:val="20"/>
                <w:szCs w:val="20"/>
                <w:color w:val="auto"/>
              </w:rPr>
            </w:pPr>
            <w:r>
              <w:rPr>
                <w:rFonts w:ascii="Arial" w:cs="Arial" w:eastAsia="Arial" w:hAnsi="Arial"/>
                <w:sz w:val="14"/>
                <w:szCs w:val="14"/>
                <w:color w:val="auto"/>
              </w:rPr>
              <w:t>Liabilities assumed for acquisitions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4,581</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Supplemental Disclosure of Cash Flow Information</w:t>
            </w: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4"/>
                <w:szCs w:val="14"/>
                <w:color w:val="auto"/>
              </w:rPr>
              <w:t>Cash paid for interest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870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311</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(refunds received) for income taxes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3"/>
              </w:rPr>
              <w:t>Reconciliation of cash, cash equivalents and funds held for clients' cash and cash equivalents to the Consolidated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600" w:type="dxa"/>
            <w:vAlign w:val="bottom"/>
          </w:tcPr>
          <w:p>
            <w:pPr>
              <w:ind w:left="20"/>
              <w:spacing w:after="0"/>
              <w:rPr>
                <w:sz w:val="20"/>
                <w:szCs w:val="20"/>
                <w:color w:val="auto"/>
              </w:rPr>
            </w:pPr>
            <w:r>
              <w:rPr>
                <w:rFonts w:ascii="Arial" w:cs="Arial" w:eastAsia="Arial" w:hAnsi="Arial"/>
                <w:sz w:val="14"/>
                <w:szCs w:val="14"/>
                <w:color w:val="auto"/>
              </w:rPr>
              <w:t>Balance Sheets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202,287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139,756</w:t>
            </w:r>
          </w:p>
        </w:tc>
        <w:tc>
          <w:tcPr>
            <w:tcW w:w="4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288,767</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Funds held for clients' cash and cash equivalents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1,743,594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3,653,697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2,132,545</w:t>
            </w: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funds held for clients' cash and cash equivalents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1,945,881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3,793,453</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2,421,312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83"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900" w:hanging="244"/>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accompanying consolidated financial statements of the Company have been prepared pursuant to the rules and regulations of the United States Securities and Exchange Commission (the “SEC”).</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46"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w:t>
      </w:r>
    </w:p>
    <w:p>
      <w:pPr>
        <w:spacing w:after="0" w:line="248" w:lineRule="exact"/>
        <w:rPr>
          <w:sz w:val="20"/>
          <w:szCs w:val="20"/>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Corporate Investments and Client Fund Obligations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188"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and interest on Corporate investments is reported as Other income (expense) on the Consolidated Statements of Operations and Comprehensive Income,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2021, 2022 or 2023.</w:t>
      </w:r>
    </w:p>
    <w:p>
      <w:pPr>
        <w:spacing w:after="0" w:line="18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84"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Accounts receivable is comprised of trade receivables, accrued interest receivable on funds held for clients and other receivables. Trade receivables are recorded at the invoiced amount and do not bear interest. Amounts collected on accounts receivable are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81"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 Management evaluates deferred contract costs for impairment if changes in circumstances occur that could impact the recoverability of the costs to obtain or fulfill contracts with the Company’s customers.</w:t>
      </w:r>
    </w:p>
    <w:p>
      <w:pPr>
        <w:spacing w:after="0" w:line="195"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9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Capitalized internal-use software costs are amortized on a straight-line basis over their estimated useful lives, which are generally two to three years while certain projects that support the Company’s main processing activities have an estimated useful life of ten years.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92"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engages a valuation specialist to assist in the fair value measurement of assets acquired and liabilities assumed for each acquisition.</w:t>
      </w:r>
    </w:p>
    <w:p>
      <w:pPr>
        <w:spacing w:after="0" w:line="195"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 Net of Accumulated Amortization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78"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7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performs its annual impairment review of goodwill in its fiscal fourth quarter or when a triggering event occurs between annual impairment tests. No impairment was recorded in fiscal 2021, 2022 or 2023 as a result of the Company’s qualitative assessments over its single reporting segment.</w:t>
      </w:r>
    </w:p>
    <w:p>
      <w:pPr>
        <w:spacing w:after="0" w:line="184"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18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lessor, such as insurance, taxes, and common area maintenance, payments based on the usage of the asset, and rental payments adjusted periodically for inflation. Variable payments are expensed as incurred and included within variable rent expense.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lease agreements do not contain material residual value guarantees, restrictions, or covenants.</w:t>
      </w:r>
    </w:p>
    <w:p>
      <w:pPr>
        <w:spacing w:after="0" w:line="225" w:lineRule="exact"/>
        <w:rPr>
          <w:sz w:val="20"/>
          <w:szCs w:val="20"/>
          <w:color w:val="auto"/>
        </w:rPr>
      </w:pPr>
    </w:p>
    <w:p>
      <w:pPr>
        <w:ind w:left="960" w:hanging="30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7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14 for additional information on income taxes.</w:t>
      </w:r>
    </w:p>
    <w:p>
      <w:pPr>
        <w:spacing w:after="0" w:line="225" w:lineRule="exact"/>
        <w:rPr>
          <w:sz w:val="20"/>
          <w:szCs w:val="20"/>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applies Accounting Standards Codification Topic 606, Revenue from Contracts with Customers (“Topic 606”). Topic 606 requires revenue to be recognized when an entity transfers control of goods or services to a customer in an amount that reflects the consideration to which a company also expects to be entitled to for those goods or services. To achieve this core principle, the Company recognizes revenue from contracts with customers based on the following five steps:</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Company derives its revenue from contracts predominantly from recurring and non-recurring service fees. While the majority of its agreements are generally cancellable by the client on 60 days’ notice or less, the Company offers term agreements to its clients, which are generally two years in length. Recurring fees are derived from cloud-based payroll and HCM software solutions as follows:</w:t>
      </w:r>
    </w:p>
    <w:p>
      <w:pPr>
        <w:spacing w:after="0" w:line="184" w:lineRule="exact"/>
        <w:rPr>
          <w:sz w:val="20"/>
          <w:szCs w:val="20"/>
          <w:color w:val="auto"/>
        </w:rPr>
      </w:pPr>
    </w:p>
    <w:p>
      <w:pPr>
        <w:ind w:left="98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 and attendance reporting services, including time clock rentals, are delivered on a monthly basis,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HR-related software solutions, including employee management and benefits enrollment and administration, are delivered on a monthly basis.</w:t>
      </w:r>
    </w:p>
    <w:p>
      <w:pPr>
        <w:spacing w:after="0" w:line="24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HCM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certain optional performance obligations that are satisfied at a point in time including the sales of time clocks and W-2 services.</w:t>
      </w:r>
    </w:p>
    <w:p>
      <w:pPr>
        <w:spacing w:after="0" w:line="24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income earned on funds held for clients is recognized in Interest income on funds held for clients when earned as the collection, holding and remittance of these funds are components of providing services to clients.</w:t>
      </w:r>
    </w:p>
    <w:p>
      <w:pPr>
        <w:spacing w:after="0" w:line="170" w:lineRule="exact"/>
        <w:rPr>
          <w:sz w:val="20"/>
          <w:szCs w:val="20"/>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Cost of revenues consists primarily of costs to provide HCM and payroll solutions relating to the provision of ongoing client support and implementation activities and also includes amortization of capitalized internal-use software and certain acquired intangibles. The Company generally expenses these costs when incurred except for costs related to the implementation of the Company’s proprietary products. These costs are capitalized and amortized over a period of 7 years.</w:t>
      </w:r>
    </w:p>
    <w:p>
      <w:pPr>
        <w:spacing w:after="0" w:line="187" w:lineRule="exact"/>
        <w:rPr>
          <w:sz w:val="20"/>
          <w:szCs w:val="20"/>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$3,189, $8,335 and $15,700 for the years ended June 30, 2021, 2022 and 2023, respectively.</w:t>
      </w:r>
    </w:p>
    <w:p>
      <w:pPr>
        <w:spacing w:after="0" w:line="170"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recognizes all employee stock-based compensation as a cost in the financial statements. Equity-classified awards, comprised of restricted stock units and market share units, are measured at the grant date fair value of each award and expense is recognized, net of assumed forfeitures, on a straight-line basis over the requisite service period for each separately vesting portion of each award. For market share units, the Company estimates grant date fair value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using a discrete model based on multiple stock price-paths developed through the use of Monte Carlo simulation. For estimated shares purchasable under the 2014 Employee Stock Purchase Plan (“ESPP”), the Company estimates grant date fair value using the Black-Scholes option-pricing model and recognizes applicable expense on a straight-line basis over each purchase period. The Company may update the assumed forfeiture rates based on historical experience as appropriate.</w:t>
      </w:r>
    </w:p>
    <w:p>
      <w:pPr>
        <w:spacing w:after="0" w:line="187"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reporting segment. For fiscal 2023, the Company’s chief operation decision maker was the Company’s Co-Chief Executive Officers.</w:t>
      </w:r>
    </w:p>
    <w:p>
      <w:pPr>
        <w:spacing w:after="0" w:line="184"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disaggregates revenue by Recurring fees and Implementation services and other, which the Company believes depicts the nature, amount and timing of its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Year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5"/>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609,658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818,137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1,056,808</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41,228</w:t>
            </w:r>
          </w:p>
        </w:tc>
      </w:tr>
      <w:tr>
        <w:trPr>
          <w:trHeight w:val="27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1,098,036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920" w:type="dxa"/>
            <w:vAlign w:val="bottom"/>
          </w:tcPr>
          <w:p>
            <w:pPr>
              <w:spacing w:after="0"/>
              <w:rPr>
                <w:sz w:val="16"/>
                <w:szCs w:val="16"/>
                <w:color w:val="auto"/>
              </w:rPr>
            </w:pPr>
          </w:p>
        </w:tc>
      </w:tr>
      <w:tr>
        <w:trPr>
          <w:trHeight w:val="25"/>
        </w:trPr>
        <w:tc>
          <w:tcPr>
            <w:tcW w:w="39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39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34"/>
              <w:spacing w:after="0"/>
              <w:rPr>
                <w:sz w:val="20"/>
                <w:szCs w:val="20"/>
                <w:color w:val="auto"/>
              </w:rPr>
            </w:pPr>
            <w:r>
              <w:rPr>
                <w:rFonts w:ascii="Arial" w:cs="Arial" w:eastAsia="Arial" w:hAnsi="Arial"/>
                <w:sz w:val="14"/>
                <w:szCs w:val="14"/>
                <w:b w:val="1"/>
                <w:bCs w:val="1"/>
                <w:color w:val="auto"/>
                <w:w w:val="89"/>
              </w:rPr>
              <w:t>2023</w:t>
            </w:r>
          </w:p>
        </w:tc>
      </w:tr>
      <w:tr>
        <w:trPr>
          <w:trHeight w:val="25"/>
        </w:trPr>
        <w:tc>
          <w:tcPr>
            <w:tcW w:w="39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4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w:t>
            </w: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4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25,109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40,991</w:t>
            </w:r>
          </w:p>
        </w:tc>
      </w:tr>
      <w:tr>
        <w:trPr>
          <w:trHeight w:val="26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4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(30,607)</w:t>
            </w:r>
          </w:p>
        </w:tc>
      </w:tr>
      <w:tr>
        <w:trPr>
          <w:trHeight w:val="264"/>
        </w:trPr>
        <w:tc>
          <w:tcPr>
            <w:tcW w:w="3900" w:type="dxa"/>
            <w:vAlign w:val="bottom"/>
          </w:tcPr>
          <w:p>
            <w:pPr>
              <w:ind w:left="20"/>
              <w:spacing w:after="0"/>
              <w:rPr>
                <w:sz w:val="20"/>
                <w:szCs w:val="20"/>
                <w:color w:val="auto"/>
              </w:rPr>
            </w:pPr>
            <w:r>
              <w:rPr>
                <w:rFonts w:ascii="Arial" w:cs="Arial" w:eastAsia="Arial" w:hAnsi="Arial"/>
                <w:sz w:val="18"/>
                <w:szCs w:val="18"/>
                <w:color w:val="auto"/>
              </w:rPr>
              <w:t>Balance at end of the year</w:t>
            </w:r>
          </w:p>
        </w:tc>
        <w:tc>
          <w:tcPr>
            <w:tcW w:w="42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12,233</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22,617</w:t>
            </w:r>
          </w:p>
        </w:tc>
      </w:tr>
      <w:tr>
        <w:trPr>
          <w:trHeight w:val="21"/>
        </w:trPr>
        <w:tc>
          <w:tcPr>
            <w:tcW w:w="3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4"/>
        </w:trPr>
        <w:tc>
          <w:tcPr>
            <w:tcW w:w="3900" w:type="dxa"/>
            <w:vAlign w:val="bottom"/>
          </w:tcPr>
          <w:p>
            <w:pPr>
              <w:spacing w:after="0"/>
              <w:rPr>
                <w:sz w:val="24"/>
                <w:szCs w:val="24"/>
                <w:color w:val="auto"/>
              </w:rPr>
            </w:pPr>
          </w:p>
        </w:tc>
        <w:tc>
          <w:tcPr>
            <w:tcW w:w="4580" w:type="dxa"/>
            <w:vAlign w:val="bottom"/>
            <w:gridSpan w:val="2"/>
          </w:tcPr>
          <w:p>
            <w:pPr>
              <w:jc w:val="right"/>
              <w:ind w:right="2590"/>
              <w:spacing w:after="0"/>
              <w:rPr>
                <w:sz w:val="20"/>
                <w:szCs w:val="20"/>
                <w:color w:val="auto"/>
              </w:rPr>
            </w:pPr>
            <w:r>
              <w:rPr>
                <w:rFonts w:ascii="Arial" w:cs="Arial" w:eastAsia="Arial" w:hAnsi="Arial"/>
                <w:sz w:val="18"/>
                <w:szCs w:val="18"/>
                <w:color w:val="auto"/>
              </w:rPr>
              <w:t>F-13</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Deferred revenue related to these nonrefundable upfront fees are recorded within Accrued expenses and Other long-term liabilities on the Consolidated Balance Sheets. The Company expects to recognize these deferred revenue balances of $19,108 in fiscal 2024, $3,417 in fiscal 2025, and $92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deferred contract costs balances and the related amortization expense for these deferred contract costs: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Year Ended June 30, 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
        </w:trPr>
        <w:tc>
          <w:tcPr>
            <w:tcW w:w="50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0"/>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79"/>
              <w:spacing w:after="0" w:line="160"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20"/>
              <w:spacing w:after="0" w:line="160" w:lineRule="exact"/>
              <w:rPr>
                <w:sz w:val="20"/>
                <w:szCs w:val="20"/>
                <w:color w:val="auto"/>
              </w:rPr>
            </w:pPr>
            <w:r>
              <w:rPr>
                <w:rFonts w:ascii="Arial" w:cs="Arial" w:eastAsia="Arial" w:hAnsi="Arial"/>
                <w:sz w:val="14"/>
                <w:szCs w:val="14"/>
                <w:b w:val="1"/>
                <w:bCs w:val="1"/>
                <w:color w:val="auto"/>
              </w:rPr>
              <w:t>Ending</w:t>
            </w:r>
          </w:p>
        </w:tc>
      </w:t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9"/>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r>
      <w:tr>
        <w:trPr>
          <w:trHeight w:val="26"/>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182,543</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106,025</w:t>
            </w: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288,568</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88"/>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Year Ended June 30, 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
        </w:trPr>
        <w:tc>
          <w:tcPr>
            <w:tcW w:w="50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0"/>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79"/>
              <w:spacing w:after="0" w:line="160"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20"/>
              <w:spacing w:after="0" w:line="160" w:lineRule="exact"/>
              <w:rPr>
                <w:sz w:val="20"/>
                <w:szCs w:val="20"/>
                <w:color w:val="auto"/>
              </w:rPr>
            </w:pPr>
            <w:r>
              <w:rPr>
                <w:rFonts w:ascii="Arial" w:cs="Arial" w:eastAsia="Arial" w:hAnsi="Arial"/>
                <w:sz w:val="14"/>
                <w:szCs w:val="14"/>
                <w:b w:val="1"/>
                <w:bCs w:val="1"/>
                <w:color w:val="auto"/>
              </w:rPr>
              <w:t>Ending</w:t>
            </w:r>
          </w:p>
        </w:tc>
      </w:t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9"/>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r>
      <w:tr>
        <w:trPr>
          <w:trHeight w:val="26"/>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182,543</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80,999</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218,965</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153,366</w:t>
            </w:r>
          </w:p>
        </w:tc>
      </w:tr>
      <w:tr>
        <w:trPr>
          <w:trHeight w:val="27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372,331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Consolidated Balance Sheets. Amortization of deferred contract costs is primarily recorded in Cost of revenues and Sales and marketing in the Consolidated Statements of Operations and Comprehensive Income. The Company did not record any impairment losses associated with its deferred contract costs during the years ended June 30, 2021, 2022 or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term-based contracts was approximately $62,938 as of June 30, 2023, which will be generally recognized over the next 24 months.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and funds held for clients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4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60"/>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5"/>
              <w:spacing w:after="0" w:line="160"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center"/>
              <w:ind w:right="314"/>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100" w:type="dxa"/>
            <w:vAlign w:val="bottom"/>
          </w:tcPr>
          <w:p>
            <w:pPr>
              <w:jc w:val="center"/>
              <w:ind w:left="305"/>
              <w:spacing w:after="0"/>
              <w:rPr>
                <w:sz w:val="20"/>
                <w:szCs w:val="20"/>
                <w:color w:val="auto"/>
              </w:rPr>
            </w:pPr>
            <w:r>
              <w:rPr>
                <w:rFonts w:ascii="Arial" w:cs="Arial" w:eastAsia="Arial" w:hAnsi="Arial"/>
                <w:sz w:val="14"/>
                <w:szCs w:val="14"/>
                <w:b w:val="1"/>
                <w:bCs w:val="1"/>
                <w:color w:val="auto"/>
                <w:w w:val="92"/>
              </w:rPr>
              <w:t>unrealized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center"/>
              <w:ind w:right="314"/>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6"/>
        </w:trPr>
        <w:tc>
          <w:tcPr>
            <w:tcW w:w="5020" w:type="dxa"/>
            <w:vAlign w:val="bottom"/>
            <w:gridSpan w:val="2"/>
          </w:tcPr>
          <w:p>
            <w:pPr>
              <w:ind w:left="2060"/>
              <w:spacing w:after="0"/>
              <w:rPr>
                <w:sz w:val="20"/>
                <w:szCs w:val="20"/>
                <w:color w:val="auto"/>
              </w:rPr>
            </w:pPr>
            <w:r>
              <w:rPr>
                <w:rFonts w:ascii="Arial" w:cs="Arial" w:eastAsia="Arial" w:hAnsi="Arial"/>
                <w:sz w:val="14"/>
                <w:szCs w:val="14"/>
                <w:b w:val="1"/>
                <w:bCs w:val="1"/>
                <w:color w:val="auto"/>
              </w:rPr>
              <w:t>Type of Issue</w:t>
            </w: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6"/>
                <w:szCs w:val="16"/>
                <w:color w:val="auto"/>
              </w:rPr>
            </w:pPr>
          </w:p>
        </w:tc>
        <w:tc>
          <w:tcPr>
            <w:tcW w:w="1100" w:type="dxa"/>
            <w:vAlign w:val="bottom"/>
          </w:tcPr>
          <w:p>
            <w:pPr>
              <w:jc w:val="center"/>
              <w:ind w:left="305"/>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center"/>
              <w:ind w:right="294"/>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139,756</w:t>
            </w:r>
          </w:p>
        </w:tc>
        <w:tc>
          <w:tcPr>
            <w:tcW w:w="120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139,756</w:t>
            </w:r>
          </w:p>
        </w:tc>
      </w:tr>
      <w:tr>
        <w:trPr>
          <w:trHeight w:val="24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3,653,699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3,653,697</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58,166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58,040</w:t>
            </w:r>
          </w:p>
        </w:tc>
      </w:tr>
      <w:tr>
        <w:trPr>
          <w:trHeight w:val="263"/>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59,568</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57,853</w:t>
            </w:r>
          </w:p>
        </w:tc>
      </w:tr>
      <w:tr>
        <w:trPr>
          <w:trHeight w:val="25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9,704</w:t>
            </w:r>
          </w:p>
        </w:tc>
      </w:tr>
      <w:tr>
        <w:trPr>
          <w:trHeight w:val="257"/>
        </w:trPr>
        <w:tc>
          <w:tcPr>
            <w:tcW w:w="5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31,836</w:t>
            </w:r>
          </w:p>
        </w:tc>
      </w:tr>
      <w:tr>
        <w:trPr>
          <w:trHeight w:val="25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167,566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166,987</w:t>
            </w:r>
          </w:p>
        </w:tc>
      </w:tr>
      <w:tr>
        <w:trPr>
          <w:trHeight w:val="263"/>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r>
      <w:tr>
        <w:trPr>
          <w:trHeight w:val="25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r>
      <w:tr>
        <w:trPr>
          <w:trHeight w:val="2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337,203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334,079</w:t>
            </w:r>
          </w:p>
        </w:tc>
      </w:tr>
      <w:tr>
        <w:trPr>
          <w:trHeight w:val="26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4,130,658</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ind w:right="92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4,127,532</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4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60"/>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5"/>
              <w:spacing w:after="0" w:line="160"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center"/>
              <w:ind w:right="314"/>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100" w:type="dxa"/>
            <w:vAlign w:val="bottom"/>
          </w:tcPr>
          <w:p>
            <w:pPr>
              <w:jc w:val="center"/>
              <w:ind w:left="305"/>
              <w:spacing w:after="0"/>
              <w:rPr>
                <w:sz w:val="20"/>
                <w:szCs w:val="20"/>
                <w:color w:val="auto"/>
              </w:rPr>
            </w:pPr>
            <w:r>
              <w:rPr>
                <w:rFonts w:ascii="Arial" w:cs="Arial" w:eastAsia="Arial" w:hAnsi="Arial"/>
                <w:sz w:val="14"/>
                <w:szCs w:val="14"/>
                <w:b w:val="1"/>
                <w:bCs w:val="1"/>
                <w:color w:val="auto"/>
                <w:w w:val="92"/>
              </w:rPr>
              <w:t>unrealized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center"/>
              <w:ind w:right="314"/>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6"/>
        </w:trPr>
        <w:tc>
          <w:tcPr>
            <w:tcW w:w="5020" w:type="dxa"/>
            <w:vAlign w:val="bottom"/>
            <w:gridSpan w:val="2"/>
          </w:tcPr>
          <w:p>
            <w:pPr>
              <w:ind w:left="2060"/>
              <w:spacing w:after="0"/>
              <w:rPr>
                <w:sz w:val="20"/>
                <w:szCs w:val="20"/>
                <w:color w:val="auto"/>
              </w:rPr>
            </w:pPr>
            <w:r>
              <w:rPr>
                <w:rFonts w:ascii="Arial" w:cs="Arial" w:eastAsia="Arial" w:hAnsi="Arial"/>
                <w:sz w:val="14"/>
                <w:szCs w:val="14"/>
                <w:b w:val="1"/>
                <w:bCs w:val="1"/>
                <w:color w:val="auto"/>
              </w:rPr>
              <w:t>Type of Issue</w:t>
            </w: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6"/>
                <w:szCs w:val="16"/>
                <w:color w:val="auto"/>
              </w:rPr>
            </w:pPr>
          </w:p>
        </w:tc>
        <w:tc>
          <w:tcPr>
            <w:tcW w:w="1100" w:type="dxa"/>
            <w:vAlign w:val="bottom"/>
          </w:tcPr>
          <w:p>
            <w:pPr>
              <w:jc w:val="center"/>
              <w:ind w:left="305"/>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center"/>
              <w:ind w:right="294"/>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4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1200" w:type="dxa"/>
            <w:vAlign w:val="bottom"/>
            <w:tcBorders>
              <w:bottom w:val="single" w:sz="8" w:color="CCEEFF"/>
            </w:tcBorders>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288,767</w:t>
            </w:r>
          </w:p>
        </w:tc>
      </w:tr>
      <w:tr>
        <w:trPr>
          <w:trHeight w:val="25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2,132,545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2,132,545</w:t>
            </w:r>
          </w:p>
        </w:tc>
      </w:tr>
      <w:tr>
        <w:trPr>
          <w:trHeight w:val="263"/>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109,877</w:t>
            </w:r>
          </w:p>
        </w:tc>
      </w:tr>
      <w:tr>
        <w:trPr>
          <w:trHeight w:val="263"/>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110,413</w:t>
            </w:r>
          </w:p>
        </w:tc>
      </w:tr>
      <w:tr>
        <w:trPr>
          <w:trHeight w:val="243"/>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29,734</w:t>
            </w:r>
          </w:p>
        </w:tc>
      </w:tr>
      <w:tr>
        <w:trPr>
          <w:trHeight w:val="27"/>
        </w:trPr>
        <w:tc>
          <w:tcPr>
            <w:tcW w:w="5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68,159</w:t>
            </w:r>
          </w:p>
        </w:tc>
      </w:tr>
      <w:tr>
        <w:trPr>
          <w:trHeight w:val="250"/>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158,839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156,000</w:t>
            </w:r>
          </w:p>
        </w:tc>
      </w:tr>
      <w:tr>
        <w:trPr>
          <w:trHeight w:val="263"/>
        </w:trPr>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r>
      <w:tr>
        <w:trPr>
          <w:trHeight w:val="257"/>
        </w:trPr>
        <w:tc>
          <w:tcPr>
            <w:tcW w:w="50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5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494,741</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488,870</w:t>
            </w:r>
          </w:p>
        </w:tc>
      </w:tr>
      <w:tr>
        <w:trPr>
          <w:trHeight w:val="25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2,916,053</w:t>
            </w: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(5,916)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2,910,182</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available-for-sale securities were included in Funds held for clients at June 30, 2022 and 2023.</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Cash and cash equivalents and funds held for clients’ cash and cash equivalents included demand deposit accounts, money market funds, commercial paper and certificates of deposit as of June 30, 2022 and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consolidated balance sheets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6"/>
                <w:szCs w:val="16"/>
                <w:color w:val="auto"/>
              </w:rPr>
            </w:pPr>
          </w:p>
        </w:tc>
      </w:tr>
      <w:tr>
        <w:trPr>
          <w:trHeight w:val="25"/>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39"/>
        </w:trPr>
        <w:tc>
          <w:tcPr>
            <w:tcW w:w="8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288,767</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Funds held for clients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3,987,776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2,621,415</w:t>
            </w:r>
          </w:p>
        </w:tc>
      </w:tr>
      <w:tr>
        <w:trPr>
          <w:trHeight w:val="27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4,127,532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2,910,182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Available-for-sale securities that have been in an unrealized loss position for a period of less and greater than 12 months as of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had fair market value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5"/>
          </w:tcPr>
          <w:p>
            <w:pPr>
              <w:jc w:val="center"/>
              <w:ind w:left="715"/>
              <w:spacing w:after="0"/>
              <w:rPr>
                <w:sz w:val="20"/>
                <w:szCs w:val="20"/>
                <w:color w:val="auto"/>
              </w:rPr>
            </w:pPr>
            <w:r>
              <w:rPr>
                <w:rFonts w:ascii="Arial" w:cs="Arial" w:eastAsia="Arial" w:hAnsi="Arial"/>
                <w:sz w:val="14"/>
                <w:szCs w:val="14"/>
                <w:b w:val="1"/>
                <w:bCs w:val="1"/>
                <w:color w:val="auto"/>
                <w:w w:val="90"/>
              </w:rPr>
              <w:t>June 30, 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9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60" w:type="dxa"/>
            <w:vAlign w:val="bottom"/>
            <w:gridSpan w:val="4"/>
          </w:tcPr>
          <w:p>
            <w:pPr>
              <w:ind w:left="300"/>
              <w:spacing w:after="0" w:line="160" w:lineRule="exact"/>
              <w:rPr>
                <w:sz w:val="20"/>
                <w:szCs w:val="20"/>
                <w:color w:val="auto"/>
              </w:rPr>
            </w:pPr>
            <w:r>
              <w:rPr>
                <w:rFonts w:ascii="Arial" w:cs="Arial" w:eastAsia="Arial" w:hAnsi="Arial"/>
                <w:sz w:val="14"/>
                <w:szCs w:val="14"/>
                <w:b w:val="1"/>
                <w:bCs w:val="1"/>
                <w:color w:val="auto"/>
              </w:rPr>
              <w:t>Securities in an unrealized loss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60" w:type="dxa"/>
            <w:vAlign w:val="bottom"/>
            <w:gridSpan w:val="6"/>
          </w:tcPr>
          <w:p>
            <w:pPr>
              <w:jc w:val="center"/>
              <w:ind w:right="172"/>
              <w:spacing w:after="0" w:line="160" w:lineRule="exact"/>
              <w:rPr>
                <w:sz w:val="20"/>
                <w:szCs w:val="20"/>
                <w:color w:val="auto"/>
              </w:rPr>
            </w:pPr>
            <w:r>
              <w:rPr>
                <w:rFonts w:ascii="Arial" w:cs="Arial" w:eastAsia="Arial" w:hAnsi="Arial"/>
                <w:sz w:val="14"/>
                <w:szCs w:val="14"/>
                <w:b w:val="1"/>
                <w:bCs w:val="1"/>
                <w:color w:val="auto"/>
                <w:w w:val="91"/>
              </w:rPr>
              <w:t>Securities in an unrealized loss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position for less than 12 months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center"/>
              <w:ind w:right="172"/>
              <w:spacing w:after="0"/>
              <w:rPr>
                <w:sz w:val="20"/>
                <w:szCs w:val="20"/>
                <w:color w:val="auto"/>
              </w:rPr>
            </w:pPr>
            <w:r>
              <w:rPr>
                <w:rFonts w:ascii="Arial" w:cs="Arial" w:eastAsia="Arial" w:hAnsi="Arial"/>
                <w:sz w:val="14"/>
                <w:szCs w:val="14"/>
                <w:b w:val="1"/>
                <w:bCs w:val="1"/>
                <w:color w:val="auto"/>
                <w:w w:val="92"/>
              </w:rPr>
              <w:t>position for greater than 12 months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ind w:left="300"/>
              <w:spacing w:after="0" w:line="160"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17"/>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5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5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Gross unrealized losses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Gross unrealized 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9"/>
        </w:trPr>
        <w:tc>
          <w:tcPr>
            <w:tcW w:w="19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53,756</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57,853</w:t>
            </w:r>
          </w:p>
        </w:tc>
        <w:tc>
          <w:tcPr>
            <w:tcW w:w="0" w:type="dxa"/>
            <w:vAlign w:val="bottom"/>
          </w:tcPr>
          <w:p>
            <w:pPr>
              <w:spacing w:after="0"/>
              <w:rPr>
                <w:sz w:val="1"/>
                <w:szCs w:val="1"/>
                <w:color w:val="auto"/>
              </w:rPr>
            </w:pPr>
          </w:p>
        </w:tc>
      </w:tr>
      <w:tr>
        <w:trPr>
          <w:trHeight w:val="26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5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129,943</w:t>
            </w:r>
          </w:p>
        </w:tc>
        <w:tc>
          <w:tcPr>
            <w:tcW w:w="0" w:type="dxa"/>
            <w:vAlign w:val="bottom"/>
          </w:tcPr>
          <w:p>
            <w:pPr>
              <w:spacing w:after="0"/>
              <w:rPr>
                <w:sz w:val="1"/>
                <w:szCs w:val="1"/>
                <w:color w:val="auto"/>
              </w:rPr>
            </w:pP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w w:val="97"/>
              </w:rPr>
              <w:t>U.S. government agency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7,549</w:t>
            </w:r>
          </w:p>
        </w:tc>
        <w:tc>
          <w:tcPr>
            <w:tcW w:w="0" w:type="dxa"/>
            <w:vAlign w:val="bottom"/>
          </w:tcPr>
          <w:p>
            <w:pPr>
              <w:spacing w:after="0"/>
              <w:rPr>
                <w:sz w:val="1"/>
                <w:szCs w:val="1"/>
                <w:color w:val="auto"/>
              </w:rPr>
            </w:pPr>
          </w:p>
        </w:tc>
      </w:tr>
      <w:tr>
        <w:trPr>
          <w:trHeight w:val="25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rPr>
              <w:t>Total available-for-sale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(3,138)</w:t>
            </w:r>
          </w:p>
        </w:tc>
        <w:tc>
          <w:tcPr>
            <w:tcW w:w="100" w:type="dxa"/>
            <w:vAlign w:val="bottom"/>
            <w:vMerge w:val="restart"/>
          </w:tcPr>
          <w:p>
            <w:pPr>
              <w:spacing w:after="0"/>
              <w:rPr>
                <w:sz w:val="18"/>
                <w:szCs w:val="18"/>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285,651</w:t>
            </w:r>
          </w:p>
        </w:tc>
        <w:tc>
          <w:tcPr>
            <w:tcW w:w="100" w:type="dxa"/>
            <w:vAlign w:val="bottom"/>
            <w:vMerge w:val="restart"/>
          </w:tcPr>
          <w:p>
            <w:pPr>
              <w:spacing w:after="0"/>
              <w:rPr>
                <w:sz w:val="18"/>
                <w:szCs w:val="18"/>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8"/>
                <w:szCs w:val="18"/>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(3,138)</w:t>
            </w:r>
          </w:p>
        </w:tc>
        <w:tc>
          <w:tcPr>
            <w:tcW w:w="100" w:type="dxa"/>
            <w:vAlign w:val="bottom"/>
            <w:vMerge w:val="restart"/>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285,651</w:t>
            </w:r>
          </w:p>
        </w:tc>
        <w:tc>
          <w:tcPr>
            <w:tcW w:w="0" w:type="dxa"/>
            <w:vAlign w:val="bottom"/>
          </w:tcPr>
          <w:p>
            <w:pPr>
              <w:spacing w:after="0"/>
              <w:rPr>
                <w:sz w:val="1"/>
                <w:szCs w:val="1"/>
                <w:color w:val="auto"/>
              </w:rPr>
            </w:pPr>
          </w:p>
        </w:tc>
      </w:tr>
      <w:tr>
        <w:trPr>
          <w:trHeight w:val="222"/>
        </w:trPr>
        <w:tc>
          <w:tcPr>
            <w:tcW w:w="19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1"/>
        </w:trPr>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715"/>
              <w:spacing w:after="0"/>
              <w:rPr>
                <w:sz w:val="20"/>
                <w:szCs w:val="20"/>
                <w:color w:val="auto"/>
              </w:rPr>
            </w:pPr>
            <w:r>
              <w:rPr>
                <w:rFonts w:ascii="Arial" w:cs="Arial" w:eastAsia="Arial" w:hAnsi="Arial"/>
                <w:sz w:val="14"/>
                <w:szCs w:val="14"/>
                <w:b w:val="1"/>
                <w:bCs w:val="1"/>
                <w:color w:val="auto"/>
                <w:w w:val="90"/>
              </w:rPr>
              <w:t>June 30, 2023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4"/>
          </w:tcPr>
          <w:p>
            <w:pPr>
              <w:ind w:left="300"/>
              <w:spacing w:after="0"/>
              <w:rPr>
                <w:sz w:val="20"/>
                <w:szCs w:val="20"/>
                <w:color w:val="auto"/>
              </w:rPr>
            </w:pPr>
            <w:r>
              <w:rPr>
                <w:rFonts w:ascii="Arial" w:cs="Arial" w:eastAsia="Arial" w:hAnsi="Arial"/>
                <w:sz w:val="14"/>
                <w:szCs w:val="14"/>
                <w:b w:val="1"/>
                <w:bCs w:val="1"/>
                <w:color w:val="auto"/>
              </w:rPr>
              <w:t>Securities in an unrealized loss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center"/>
              <w:ind w:right="172"/>
              <w:spacing w:after="0"/>
              <w:rPr>
                <w:sz w:val="20"/>
                <w:szCs w:val="20"/>
                <w:color w:val="auto"/>
              </w:rPr>
            </w:pPr>
            <w:r>
              <w:rPr>
                <w:rFonts w:ascii="Arial" w:cs="Arial" w:eastAsia="Arial" w:hAnsi="Arial"/>
                <w:sz w:val="14"/>
                <w:szCs w:val="14"/>
                <w:b w:val="1"/>
                <w:bCs w:val="1"/>
                <w:color w:val="auto"/>
                <w:w w:val="91"/>
              </w:rPr>
              <w:t>Securities in an unrealized loss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position for less than 12 months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center"/>
              <w:ind w:right="172"/>
              <w:spacing w:after="0"/>
              <w:rPr>
                <w:sz w:val="20"/>
                <w:szCs w:val="20"/>
                <w:color w:val="auto"/>
              </w:rPr>
            </w:pPr>
            <w:r>
              <w:rPr>
                <w:rFonts w:ascii="Arial" w:cs="Arial" w:eastAsia="Arial" w:hAnsi="Arial"/>
                <w:sz w:val="14"/>
                <w:szCs w:val="14"/>
                <w:b w:val="1"/>
                <w:bCs w:val="1"/>
                <w:color w:val="auto"/>
                <w:w w:val="92"/>
              </w:rPr>
              <w:t>position for greater than 12 months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ind w:left="300"/>
              <w:spacing w:after="0" w:line="160"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17"/>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5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5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Gross unrealized losses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w w:val="94"/>
              </w:rPr>
              <w:t>Fair value</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Gross unrealized 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96,665</w:t>
            </w: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103,896</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52,254</w:t>
            </w:r>
          </w:p>
        </w:tc>
        <w:tc>
          <w:tcPr>
            <w:tcW w:w="0" w:type="dxa"/>
            <w:vAlign w:val="bottom"/>
          </w:tcPr>
          <w:p>
            <w:pPr>
              <w:spacing w:after="0"/>
              <w:rPr>
                <w:sz w:val="1"/>
                <w:szCs w:val="1"/>
                <w:color w:val="auto"/>
              </w:rPr>
            </w:pPr>
          </w:p>
        </w:tc>
      </w:tr>
      <w:tr>
        <w:trPr>
          <w:trHeight w:val="26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w w:val="97"/>
              </w:rPr>
              <w:t>U.S. government agency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line="195" w:lineRule="exact"/>
              <w:rPr>
                <w:sz w:val="20"/>
                <w:szCs w:val="20"/>
                <w:color w:val="auto"/>
              </w:rPr>
            </w:pPr>
            <w:r>
              <w:rPr>
                <w:rFonts w:ascii="Arial" w:cs="Arial" w:eastAsia="Arial" w:hAnsi="Arial"/>
                <w:sz w:val="18"/>
                <w:szCs w:val="18"/>
                <w:color w:val="auto"/>
              </w:rPr>
              <w:t>Total available-for-sale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(2,305)</w:t>
            </w:r>
          </w:p>
        </w:tc>
        <w:tc>
          <w:tcPr>
            <w:tcW w:w="44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344,035</w:t>
            </w:r>
          </w:p>
        </w:tc>
        <w:tc>
          <w:tcPr>
            <w:tcW w:w="3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16"/>
                <w:szCs w:val="16"/>
                <w:color w:val="auto"/>
              </w:rPr>
            </w:pPr>
          </w:p>
        </w:tc>
        <w:tc>
          <w:tcPr>
            <w:tcW w:w="480" w:type="dxa"/>
            <w:vAlign w:val="bottom"/>
            <w:gridSpan w:val="3"/>
            <w:vMerge w:val="restart"/>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104,818</w:t>
            </w:r>
          </w:p>
        </w:tc>
        <w:tc>
          <w:tcPr>
            <w:tcW w:w="6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(5,916)</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448,853</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regularly reviews the composition of its portfolio to determine the existence of credit impairment. The Company did not recognize any credit impairment losses during the years ended June 30, 2021, 2022 or 2023. All securities in the Company's portfolio held an A-1 rating or better as of June 30, 2023.</w:t>
      </w:r>
    </w:p>
    <w:p>
      <w:pPr>
        <w:spacing w:after="0" w:line="184"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Company did not make any material reclassification adjustments out of Accumulated other comprehensive income for realized gains and losses on the sale of available-for-sale securities during the years ended June 30, 2021, 2022 or 2023. Gross realized gains and losses on the sale of available-for-sale securities were immaterial for the years ended June 30, 2021, 2022 and 2023.</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June 30, 2023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Fair</w:t>
            </w:r>
          </w:p>
        </w:tc>
      </w:tr>
      <w:tr>
        <w:trPr>
          <w:trHeight w:val="186"/>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value</w:t>
            </w:r>
          </w:p>
        </w:tc>
      </w:tr>
      <w:tr>
        <w:trPr>
          <w:trHeight w:val="26"/>
        </w:trPr>
        <w:tc>
          <w:tcPr>
            <w:tcW w:w="8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257,957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256,166</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One year to two years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144,468</w:t>
            </w: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Two years to three years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86,445</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years to five years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r>
      <w:tr>
        <w:trPr>
          <w:trHeight w:val="27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494,741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49"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70"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measures any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2022 and 2023 based upon the short-term nature of these assets and liabilities.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securities and other.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2022 or 2023.</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level for the Company’s cash and cash equivalents and available-for-sale securities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6"/>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139,756</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3,653,697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3,640,427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4,127,532</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3,780,183</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347,349</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2"/>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288,767</w:t>
            </w:r>
          </w:p>
        </w:tc>
        <w:tc>
          <w:tcPr>
            <w:tcW w:w="5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2,132,545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2,132,545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488,870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488,870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2,910,182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2,421,312</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488,870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Non-Recurring Basis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records assets acquired and liabilities assumed in business combinations at fair value. Refer to Note 7 for further details on the fair value measurements of certain assets and liabilities recorded at fair value on a non-recurring basis.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accounts receivable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39"/>
        </w:trPr>
        <w:tc>
          <w:tcPr>
            <w:tcW w:w="65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7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Accrued interest on funds held for clients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Gross accounts receivable</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15,754</w:t>
            </w:r>
          </w:p>
        </w:tc>
        <w:tc>
          <w:tcPr>
            <w:tcW w:w="120" w:type="dxa"/>
            <w:vAlign w:val="bottom"/>
            <w:gridSpan w:val="2"/>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1"/>
        </w:trPr>
        <w:tc>
          <w:tcPr>
            <w:tcW w:w="7540" w:type="dxa"/>
            <w:vAlign w:val="bottom"/>
            <w:gridSpan w:val="2"/>
            <w:vMerge w:val="restart"/>
          </w:tcPr>
          <w:p>
            <w:pPr>
              <w:ind w:left="660"/>
              <w:spacing w:after="0"/>
              <w:rPr>
                <w:sz w:val="20"/>
                <w:szCs w:val="20"/>
                <w:color w:val="auto"/>
              </w:rPr>
            </w:pPr>
            <w:r>
              <w:rPr>
                <w:rFonts w:ascii="Arial" w:cs="Arial" w:eastAsia="Arial" w:hAnsi="Arial"/>
                <w:sz w:val="18"/>
                <w:szCs w:val="18"/>
                <w:color w:val="auto"/>
                <w:w w:val="99"/>
              </w:rPr>
              <w:t>Activity in the allowance for credit losses related to accounts receivable was as follows: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5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Year Ended 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39"/>
        </w:trPr>
        <w:tc>
          <w:tcPr>
            <w:tcW w:w="65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7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Charged to expense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56"/>
        </w:trPr>
        <w:tc>
          <w:tcPr>
            <w:tcW w:w="65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841</w:t>
            </w:r>
          </w:p>
        </w:tc>
        <w:tc>
          <w:tcPr>
            <w:tcW w:w="7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pacing w:after="0" w:line="18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On November 13, 2020, the Company acquired all of the shares outstanding of Samepage Labs Inc. (“Samepage”) through a merger for purchase price consideration of $15,018, which was paid in cash upon closing. Samepage offers digital collaboration tools including task management, file sharing, real-time collaboration and more. This transaction expands the Company’s product functionality in these areas and demonstrates its commitment to building a modern workforce suite of solutions that meet the needs of HR teams and employees. The allocation of the purchase price for Samepage was approximately $11,995 of goodwill, $3,167 of proprietary technology and other immaterial assets and liabilities.</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August 31, 2021, the Company entered into an Equity Purchase Agreement (the “Purchase Agreement”) with Blue Marble Payroll, LLC (“Blue Marble”) and its equity holders and acquired all of the issued and outstanding equity interests of Blue Marble for cash consideration of $60,961, subject to customary purchase price adjustments. Blue Marble’s payroll platform enables U.S.-based companies to manage payroll for employees outside the U.S. in line with complex local and country-specific requirements across many countries. This acquisition enables the Company to better serve its clients in managing their international workforces through a unified solution to pay employees, automate processes and stay compliant with regulations in other countries.</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 entity affiliated with Steven I. Sarowitz, the Chairman of the Board of Directors and the largest shareholder of the Company, was the largest equity holder of Blue Marble. The Board of Directors of the Company appointed the Audit Committee, which is comprised solely of directors who are independent of the management of Blue Marble, the Blue Marble equity holders and the Company, to evaluate, assess and negotiate on its behalf the terms and conditions in the Purchase Agreement. The Audit Committee and the disinterested directors of the Company’s Board of Directors unanimously approved the Purchase Agreement and transactions specified within 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the purchase price for Blue Marble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August 31, 2021</w:t>
            </w:r>
          </w:p>
        </w:tc>
      </w:tr>
      <w:tr>
        <w:trPr>
          <w:trHeight w:val="39"/>
        </w:trPr>
        <w:tc>
          <w:tcPr>
            <w:tcW w:w="97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9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34,776</w:t>
            </w:r>
          </w:p>
        </w:tc>
      </w:tr>
      <w:tr>
        <w:trPr>
          <w:trHeight w:val="27"/>
        </w:trPr>
        <w:tc>
          <w:tcPr>
            <w:tcW w:w="9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27"/>
        </w:trPr>
        <w:tc>
          <w:tcPr>
            <w:tcW w:w="9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60,961</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the purchase price for Cloudsnap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January 18, 2022</w:t>
            </w:r>
          </w:p>
        </w:tc>
      </w:tr>
      <w:tr>
        <w:trPr>
          <w:trHeight w:val="39"/>
        </w:trPr>
        <w:tc>
          <w:tcPr>
            <w:tcW w:w="9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33,628</w:t>
            </w:r>
          </w:p>
        </w:tc>
      </w:tr>
      <w:tr>
        <w:trPr>
          <w:trHeight w:val="27"/>
        </w:trPr>
        <w:tc>
          <w:tcPr>
            <w:tcW w:w="9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r>
      <w:tr>
        <w:trPr>
          <w:trHeight w:val="263"/>
        </w:trPr>
        <w:tc>
          <w:tcPr>
            <w:tcW w:w="974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r>
      <w:tr>
        <w:trPr>
          <w:trHeight w:val="295"/>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results from these acquisitions have been included in the Company’s consolidated financial statements since the closing of the acquisitions and are not material to the Company. Pro forma information was not presented because the effects of the acquisitions are not material to the Company’s consolidated financial statements. The goodwill related to these transactions is primarily attributable to the assembled workforce and growth opportunities from the expansion and enhancement of the Company’s product offerings. The goodwill associated with the Blue Marble acquisition is deductible for income tax purposes. The goodwill associated with the Samepage and Cloudsnap acquisitions is not deductible for income tax purposes. Direct costs related to these acquisitions were immaterial and expensed as incurred as Cost of revenues and General and administrative in the Consolidated Statements of Operations and Comprehensive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Capitalized Internal-Use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6"/>
                <w:szCs w:val="16"/>
                <w:color w:val="auto"/>
              </w:rPr>
            </w:pPr>
          </w:p>
        </w:tc>
      </w:tr>
      <w:tr>
        <w:trPr>
          <w:trHeight w:val="39"/>
        </w:trPr>
        <w:tc>
          <w:tcPr>
            <w:tcW w:w="8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5"/>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248,738</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(131,171)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(162,611)</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Amortization of capitalized internal-use software amounted to $23,227, $25,267 and $31,440 for the years ended June 30, 2021, 2022 and 2023, respectively and is included in Cost of revenues.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classes of property and equipment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r>
      <w:tr>
        <w:trPr>
          <w:trHeight w:val="26"/>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58,670</w:t>
            </w: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12,958</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11,127</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48,159</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Time clocks rented by clients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w:t>
            </w: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141,955</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(72,829)</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(77,886)</w:t>
            </w:r>
          </w:p>
        </w:tc>
      </w:tr>
      <w:tr>
        <w:trPr>
          <w:trHeight w:val="28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amounted to $15,905, $16,199 and $18,478 for the years ended June 30, 2021, 2022 and 2023,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goodwill during the years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Year Ended June 30,</w:t>
            </w:r>
          </w:p>
        </w:tc>
        <w:tc>
          <w:tcPr>
            <w:tcW w:w="900" w:type="dxa"/>
            <w:vAlign w:val="bottom"/>
          </w:tcPr>
          <w:p>
            <w:pPr>
              <w:spacing w:after="0"/>
              <w:rPr>
                <w:sz w:val="16"/>
                <w:szCs w:val="16"/>
                <w:color w:val="auto"/>
              </w:rPr>
            </w:pPr>
          </w:p>
        </w:tc>
      </w:tr>
      <w:tr>
        <w:trPr>
          <w:trHeight w:val="25"/>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2023</w:t>
            </w:r>
          </w:p>
        </w:tc>
      </w:tr>
      <w:tr>
        <w:trPr>
          <w:trHeight w:val="39"/>
        </w:trPr>
        <w:tc>
          <w:tcPr>
            <w:tcW w:w="8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101,949</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Additions attributable to acquisitions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57"/>
        </w:trPr>
        <w:tc>
          <w:tcPr>
            <w:tcW w:w="81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101,949</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102,054</w:t>
            </w:r>
          </w:p>
        </w:tc>
      </w:tr>
      <w:tr>
        <w:trPr>
          <w:trHeight w:val="20"/>
        </w:trPr>
        <w:tc>
          <w:tcPr>
            <w:tcW w:w="8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7 for further details on acquisition activity during the years ended June 30, 2022 and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and estimated useful lives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87"/>
              </w:rPr>
              <w:t>useful</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3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43,129</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Non-solicitation agreements</w:t>
            </w:r>
          </w:p>
        </w:tc>
        <w:tc>
          <w:tcPr>
            <w:tcW w:w="2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8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28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(34,042)</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60" w:type="dxa"/>
            <w:vAlign w:val="bottom"/>
          </w:tcPr>
          <w:p>
            <w:pPr>
              <w:spacing w:after="0"/>
              <w:rPr>
                <w:sz w:val="24"/>
                <w:szCs w:val="24"/>
                <w:color w:val="auto"/>
              </w:rPr>
            </w:pPr>
          </w:p>
        </w:tc>
        <w:tc>
          <w:tcPr>
            <w:tcW w:w="3180" w:type="dxa"/>
            <w:vAlign w:val="bottom"/>
            <w:gridSpan w:val="2"/>
          </w:tcPr>
          <w:p>
            <w:pPr>
              <w:jc w:val="right"/>
              <w:ind w:right="1050"/>
              <w:spacing w:after="0"/>
              <w:rPr>
                <w:sz w:val="20"/>
                <w:szCs w:val="20"/>
                <w:color w:val="auto"/>
              </w:rPr>
            </w:pPr>
            <w:r>
              <w:rPr>
                <w:rFonts w:ascii="Arial" w:cs="Arial" w:eastAsia="Arial" w:hAnsi="Arial"/>
                <w:sz w:val="18"/>
                <w:szCs w:val="18"/>
                <w:color w:val="auto"/>
              </w:rPr>
              <w:t>F-21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Amortization expense for acquired intangible assets was $3,840, $8,752 and $10,948 for the years ended June 30, 2021, 2022 and 2023, respectively, and is included in Cost of revenues and General and administrative. Future amortization expense for acquired intangible assets was as follows, as of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82"/>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Accrued Expenses</w:t>
            </w: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660"/>
              <w:spacing w:after="0"/>
              <w:rPr>
                <w:sz w:val="20"/>
                <w:szCs w:val="20"/>
                <w:color w:val="auto"/>
              </w:rPr>
            </w:pPr>
            <w:r>
              <w:rPr>
                <w:rFonts w:ascii="Arial" w:cs="Arial" w:eastAsia="Arial" w:hAnsi="Arial"/>
                <w:sz w:val="18"/>
                <w:szCs w:val="18"/>
                <w:color w:val="auto"/>
              </w:rPr>
              <w:t>The components of accrued expenses are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8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85,019</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0" w:type="dxa"/>
            <w:vAlign w:val="bottom"/>
          </w:tcPr>
          <w:p>
            <w:pPr>
              <w:spacing w:after="0"/>
              <w:rPr>
                <w:sz w:val="1"/>
                <w:szCs w:val="1"/>
                <w:color w:val="auto"/>
              </w:rPr>
            </w:pP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25,929</w:t>
            </w:r>
          </w:p>
        </w:tc>
        <w:tc>
          <w:tcPr>
            <w:tcW w:w="0" w:type="dxa"/>
            <w:vAlign w:val="bottom"/>
          </w:tcPr>
          <w:p>
            <w:pPr>
              <w:spacing w:after="0"/>
              <w:rPr>
                <w:sz w:val="1"/>
                <w:szCs w:val="1"/>
                <w:color w:val="auto"/>
              </w:rPr>
            </w:pPr>
          </w:p>
        </w:tc>
      </w:tr>
      <w:tr>
        <w:trPr>
          <w:trHeight w:val="29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124,384</w:t>
            </w:r>
          </w:p>
        </w:tc>
        <w:tc>
          <w:tcPr>
            <w:tcW w:w="1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In the fourth quarter of fiscal 2020, the Company borrowed $100,000 under the credit facility, which it repaid in the third quarter of fiscal 2021. In January 2022, the Company borrowed $50,000 under the credit facility in connection with its acquisition of Cloudsnap, which it repaid during the third quarter of fiscal 2022. The Company had no borrowings at June 30, 2022 or June 30, 2023 and did not borrow any amounts during fiscal 2023. The Company incurred interest expense related to any borrowings at average interest rates of 1.04% and 1.01% during the years ended June 30, 2021 and June 30, 2022, respectively.</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4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a minimum interest coverage ratio of not less than 2.00 to 1.00. As of June 30, 2023, the Company was in compliance with all of the aforementioned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primarily leases office space under non-cancellable operating leases expiring on various dates from March 2024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February 2024 through December 2027.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Year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14,527</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the Company’s operating lease right-of-use assets, operating lease liabilities and other supplemental information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1180" w:type="dxa"/>
            <w:vAlign w:val="bottom"/>
          </w:tcPr>
          <w:p>
            <w:pPr>
              <w:spacing w:after="0"/>
              <w:rPr>
                <w:sz w:val="16"/>
                <w:szCs w:val="16"/>
                <w:color w:val="auto"/>
              </w:rPr>
            </w:pPr>
          </w:p>
        </w:tc>
      </w:tr>
      <w:tr>
        <w:trPr>
          <w:trHeight w:val="26"/>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2023</w:t>
            </w:r>
          </w:p>
        </w:tc>
      </w:tr>
      <w:tr>
        <w:trPr>
          <w:trHeight w:val="39"/>
        </w:trPr>
        <w:tc>
          <w:tcPr>
            <w:tcW w:w="7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44,067</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8,399</w:t>
            </w: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7,800</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62,471</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8.0</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3.52 %</w:t>
            </w:r>
          </w:p>
        </w:tc>
      </w:tr>
      <w:tr>
        <w:trPr>
          <w:trHeight w:val="27"/>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supplemental cash flow information related to the Company’s operating leases: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Year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10,084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931"/>
        </w:trPr>
        <w:tc>
          <w:tcPr>
            <w:tcW w:w="6600" w:type="dxa"/>
            <w:vAlign w:val="bottom"/>
          </w:tcPr>
          <w:p>
            <w:pPr>
              <w:ind w:left="546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undiscounted cash flows for future maturities of the Company’s operating lease liabilities and the reconciliation to the balance of operating lease liabilities reflected on the Company’s balance sheet are as follows as of June 30,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81,293</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ind w:left="660"/>
              <w:spacing w:after="0"/>
              <w:rPr>
                <w:sz w:val="20"/>
                <w:szCs w:val="20"/>
                <w:color w:val="auto"/>
              </w:rPr>
            </w:pPr>
            <w:r>
              <w:rPr>
                <w:rFonts w:ascii="Arial" w:cs="Arial" w:eastAsia="Arial" w:hAnsi="Arial"/>
                <w:sz w:val="18"/>
                <w:szCs w:val="18"/>
                <w:color w:val="auto"/>
                <w:w w:val="95"/>
              </w:rPr>
              <w:t>As of June 30, 2023, the Company had not entered into any leases that had not yet commenced.</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0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Income Taxes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5"/>
          </w:tcPr>
          <w:p>
            <w:pPr>
              <w:ind w:left="660"/>
              <w:spacing w:after="0"/>
              <w:rPr>
                <w:sz w:val="20"/>
                <w:szCs w:val="20"/>
                <w:color w:val="auto"/>
              </w:rPr>
            </w:pPr>
            <w:r>
              <w:rPr>
                <w:rFonts w:ascii="Arial" w:cs="Arial" w:eastAsia="Arial" w:hAnsi="Arial"/>
                <w:sz w:val="18"/>
                <w:szCs w:val="18"/>
                <w:color w:val="auto"/>
                <w:w w:val="90"/>
              </w:rPr>
              <w:t>Income tax expense (benefit) for the years ended June 30, 2021, 2022 and 2023 consists of the following:</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20" w:hanging="26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tax expense (benefit) differed from the amounts computed by applying the U.S. federal income tax rate of 21%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2022 and 2023 to pretax income as a result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
        </w:trPr>
        <w:tc>
          <w:tcPr>
            <w:tcW w:w="6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4"/>
        </w:trPr>
        <w:tc>
          <w:tcPr>
            <w:tcW w:w="632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8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2023</w:t>
            </w:r>
          </w:p>
        </w:tc>
      </w:tr>
      <w:tr>
        <w:trPr>
          <w:trHeight w:val="39"/>
        </w:trPr>
        <w:tc>
          <w:tcPr>
            <w:tcW w:w="6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at statutory federal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 and other credits</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16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(5.3)</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Non-deductible expenses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valuation allowance</w:t>
            </w: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16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0.4</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(35.0)</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(21.9)</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 and local income taxes, net of federal income tax benefit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68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(4.0)</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63"/>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295"/>
        </w:trPr>
        <w:tc>
          <w:tcPr>
            <w:tcW w:w="6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The effective tax rate for the years ended June 30, 2021, 2022 and 2023 was (24.0)%, (8.6)% and 11.2%, respectively, on pre-tax income of $57,104, $83,597 and $158,614, respectively. The increase in the effective tax rate is primarily due to decreased deductions related to stock-based compensation.</w:t>
      </w:r>
    </w:p>
    <w:p>
      <w:pPr>
        <w:spacing w:after="0" w:line="184"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2022 and 2023 are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r>
      <w:tr>
        <w:trPr>
          <w:trHeight w:val="39"/>
        </w:trPr>
        <w:tc>
          <w:tcPr>
            <w:tcW w:w="8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6"/>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19,979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18,238</w:t>
            </w:r>
          </w:p>
        </w:tc>
      </w:tr>
      <w:tr>
        <w:trPr>
          <w:trHeight w:val="277"/>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19,610</w:t>
            </w: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22,857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27,402</w:t>
            </w:r>
          </w:p>
        </w:tc>
      </w:tr>
      <w:tr>
        <w:trPr>
          <w:trHeight w:val="277"/>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Federal and state tax credits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35,016</w:t>
            </w:r>
          </w:p>
        </w:tc>
      </w:tr>
      <w:tr>
        <w:trPr>
          <w:trHeight w:val="277"/>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w:t>
            </w:r>
          </w:p>
        </w:tc>
      </w:tr>
      <w:tr>
        <w:trPr>
          <w:trHeight w:val="263"/>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r>
      <w:tr>
        <w:trPr>
          <w:trHeight w:val="257"/>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127,003</w:t>
            </w:r>
          </w:p>
        </w:tc>
      </w:tr>
      <w:tr>
        <w:trPr>
          <w:trHeight w:val="26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57"/>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125,653</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contract costs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(96,598)</w:t>
            </w: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(11,456)</w:t>
            </w:r>
          </w:p>
        </w:tc>
      </w:tr>
      <w:tr>
        <w:trPr>
          <w:trHeight w:val="277"/>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7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r>
      <w:tr>
        <w:trPr>
          <w:trHeight w:val="250"/>
        </w:trPr>
        <w:tc>
          <w:tcPr>
            <w:tcW w:w="81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(113,422)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(121,627)</w:t>
            </w:r>
          </w:p>
        </w:tc>
      </w:tr>
      <w:tr>
        <w:trPr>
          <w:trHeight w:val="27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 (liability)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June 30, 2023, the Company maintains a valuation allowance of $1,350 for certain state tax benefits which may not be realized. Such assessment may change in the future as further evidence becomes available.</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At June 30, 2023, the Company has gross net operating loss carryforwards for federal income tax purposes of approximately $49,087, all of which can be carried forward indefinitely. The Company has gross net operating loss carryforwards for state income tax purposes of approximately $45,349, of which $35,850 expire from 2023 to 2042, while the remaining $9,499 can be carried forward indefinitely. The Company also has gross federal and state research and development tax credits and other state credit carryforwards of approximately $41,085, which expire between 2023 and 2042.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of June 30, 2022 and 2023, the Company’s liabilities for unrecognized tax benefits, which would impact the Company’s effective tax rate if recognized, are presented below. The Company will include applicable penalties and interest when the benefit is recognized: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Year Ended June 30,</w:t>
            </w:r>
          </w:p>
        </w:tc>
        <w:tc>
          <w:tcPr>
            <w:tcW w:w="900" w:type="dxa"/>
            <w:vAlign w:val="bottom"/>
          </w:tcPr>
          <w:p>
            <w:pPr>
              <w:spacing w:after="0"/>
              <w:rPr>
                <w:sz w:val="16"/>
                <w:szCs w:val="16"/>
                <w:color w:val="auto"/>
              </w:rPr>
            </w:pPr>
          </w:p>
        </w:tc>
      </w:tr>
      <w:tr>
        <w:trPr>
          <w:trHeight w:val="39"/>
        </w:trPr>
        <w:tc>
          <w:tcPr>
            <w:tcW w:w="8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4"/>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2023</w:t>
            </w:r>
          </w:p>
        </w:tc>
      </w:tr>
      <w:tr>
        <w:trPr>
          <w:trHeight w:val="39"/>
        </w:trPr>
        <w:tc>
          <w:tcPr>
            <w:tcW w:w="81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the year</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7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periods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Subtractions for tax positions of prior periods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at end of year</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subsidiaries, files a consolidated federal income tax return. For years before fiscal year ended June 30, 2020, the Company is no longer subject to U.S. federal examination; however, the Internal Revenue Service (IRS) has the ability to review years prior to fiscal year 2020 to the extent the Company utilized tax attributes carried forward from those prior years. The statute of limitations on state filings is generally three to four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66"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rFonts w:ascii="Arial" w:cs="Arial" w:eastAsia="Arial" w:hAnsi="Arial"/>
          <w:sz w:val="18"/>
          <w:szCs w:val="18"/>
          <w:b w:val="1"/>
          <w:bCs w:val="1"/>
          <w:color w:val="auto"/>
        </w:rPr>
      </w:pPr>
    </w:p>
    <w:p>
      <w:pPr>
        <w:ind w:left="900" w:hanging="244"/>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previously maintained a 2008 Equity Incentive Plan (the “2008 Plan”) and currently maintains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(“the Committee”). No new awards have been or will be issued under the 2008 Plan since the effective date of the 2014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7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of June 30, 2023, the Company had 13,699 shares allocated to the plans, of which 1,701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changes in the number of shares available for grant under the Company’s equity incentive plans during the year ended June 30,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40" w:type="dxa"/>
            <w:vAlign w:val="bottom"/>
          </w:tcPr>
          <w:p>
            <w:pPr>
              <w:spacing w:after="0"/>
              <w:rPr>
                <w:sz w:val="15"/>
                <w:szCs w:val="15"/>
                <w:color w:val="auto"/>
              </w:rPr>
            </w:pP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Number of</w:t>
            </w:r>
          </w:p>
        </w:tc>
      </w:tr>
      <w:tr>
        <w:trPr>
          <w:trHeight w:val="186"/>
        </w:trPr>
        <w:tc>
          <w:tcPr>
            <w:tcW w:w="9740" w:type="dxa"/>
            <w:vAlign w:val="bottom"/>
          </w:tcPr>
          <w:p>
            <w:pPr>
              <w:spacing w:after="0"/>
              <w:rPr>
                <w:sz w:val="16"/>
                <w:szCs w:val="16"/>
                <w:color w:val="auto"/>
              </w:rPr>
            </w:pPr>
          </w:p>
        </w:tc>
        <w:tc>
          <w:tcPr>
            <w:tcW w:w="1500" w:type="dxa"/>
            <w:vAlign w:val="bottom"/>
          </w:tcPr>
          <w:p>
            <w:pPr>
              <w:jc w:val="right"/>
              <w:ind w:right="454"/>
              <w:spacing w:after="0"/>
              <w:rPr>
                <w:sz w:val="20"/>
                <w:szCs w:val="20"/>
                <w:color w:val="auto"/>
              </w:rPr>
            </w:pPr>
            <w:r>
              <w:rPr>
                <w:rFonts w:ascii="Arial" w:cs="Arial" w:eastAsia="Arial" w:hAnsi="Arial"/>
                <w:sz w:val="14"/>
                <w:szCs w:val="14"/>
                <w:b w:val="1"/>
                <w:bCs w:val="1"/>
                <w:color w:val="auto"/>
              </w:rPr>
              <w:t>Shares</w:t>
            </w:r>
          </w:p>
        </w:tc>
      </w:tr>
      <w:tr>
        <w:trPr>
          <w:trHeight w:val="39"/>
        </w:trPr>
        <w:tc>
          <w:tcPr>
            <w:tcW w:w="97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for grant at July 1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MSUs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Shares withheld in settlement of taxes and/or exercise price</w:t>
            </w:r>
          </w:p>
        </w:tc>
        <w:tc>
          <w:tcPr>
            <w:tcW w:w="15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Shares removed</w:t>
            </w: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9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for grant at June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 and there were no awards outstanding under the 2008 Plan as of June 30, 2023.</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Stock-based compensation expense related to stock options, restricted stock units (“RSUs”), market share units (“MSUs”) and the Employee Stock Purchase Plan (as described below) was included in the following line items in the accompanying Consolidated Statements of Operations and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Year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39"/>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17,101</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15,658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36,930</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10,192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36,475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29,515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56,794</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63,052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the Company capitalized $2,610, $7,119 and $11,901 of stock-based compensation expense in its capitalized internal-use software costs in the years ended June 30, 2021, 2022 and 2023, respectively.</w:t>
      </w:r>
    </w:p>
    <w:p>
      <w:pPr>
        <w:spacing w:after="0" w:line="170"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August 2020, the Committee approved the modification of the performance targets for vesting of the performance-based restricted stock units granted in fiscal 2020. The Company recorded $6,423 and $6,765 in stock-based compensation expense during the years ended June 30, 2021 and 2022, respectively, related to these modified performance-based restricted stock units.</w:t>
      </w:r>
    </w:p>
    <w:p>
      <w:pPr>
        <w:spacing w:after="0" w:line="14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March 2022, Michael Haske announced his intent to resign from his position effective September 1, 2022. In connection with his resignation, the Company’s board of directors approved a Transition and Separation Agreement and a Consulting Services Agreement. Pursuant to these agreements, the Committee approved the modifications of certain of Mr. Haske's outstanding RSUs and MSUs to allow the awards to continue to vest after the end of his service period. As a result, the Company recorded the cumulative effect of the modifications and accelerated the recognition of the remaining expense associated with certain of Mr. Haske's unmodified outstanding awards over his remaining substantive service period. The modifications of these awards did not have a material impact on the Company’s financial statements during the years ended June 30, 2022 or 2023.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stock option activity during the year ended June 30,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50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0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price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value</w:t>
            </w:r>
          </w:p>
        </w:tc>
      </w:tr>
      <w:tr>
        <w:trPr>
          <w:trHeight w:val="39"/>
        </w:trPr>
        <w:tc>
          <w:tcPr>
            <w:tcW w:w="50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1, 2022</w:t>
            </w:r>
          </w:p>
        </w:tc>
        <w:tc>
          <w:tcPr>
            <w:tcW w:w="1460" w:type="dxa"/>
            <w:vAlign w:val="bottom"/>
            <w:tcBorders>
              <w:bottom w:val="single" w:sz="8" w:color="CCEEFF"/>
            </w:tcBorders>
            <w:shd w:val="clear" w:color="auto" w:fill="CCEEFF"/>
          </w:tcPr>
          <w:p>
            <w:pPr>
              <w:jc w:val="center"/>
              <w:ind w:left="976"/>
              <w:spacing w:after="0"/>
              <w:rPr>
                <w:sz w:val="20"/>
                <w:szCs w:val="20"/>
                <w:color w:val="auto"/>
              </w:rPr>
            </w:pPr>
            <w:r>
              <w:rPr>
                <w:rFonts w:ascii="Arial" w:cs="Arial" w:eastAsia="Arial" w:hAnsi="Arial"/>
                <w:sz w:val="18"/>
                <w:szCs w:val="18"/>
                <w:color w:val="auto"/>
                <w:w w:val="93"/>
              </w:rPr>
              <w:t>548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85,515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Options exercised</w:t>
            </w:r>
          </w:p>
        </w:tc>
        <w:tc>
          <w:tcPr>
            <w:tcW w:w="1460" w:type="dxa"/>
            <w:vAlign w:val="bottom"/>
          </w:tcPr>
          <w:p>
            <w:pPr>
              <w:jc w:val="center"/>
              <w:ind w:left="936"/>
              <w:spacing w:after="0"/>
              <w:rPr>
                <w:sz w:val="20"/>
                <w:szCs w:val="20"/>
                <w:color w:val="auto"/>
              </w:rPr>
            </w:pPr>
            <w:r>
              <w:rPr>
                <w:rFonts w:ascii="Arial" w:cs="Arial" w:eastAsia="Arial" w:hAnsi="Arial"/>
                <w:sz w:val="18"/>
                <w:szCs w:val="18"/>
                <w:color w:val="auto"/>
                <w:w w:val="95"/>
              </w:rPr>
              <w:t>(260)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60" w:type="dxa"/>
            <w:vAlign w:val="bottom"/>
            <w:tcBorders>
              <w:bottom w:val="single" w:sz="8" w:color="auto"/>
            </w:tcBorders>
            <w:shd w:val="clear" w:color="auto" w:fill="CCEEFF"/>
          </w:tcPr>
          <w:p>
            <w:pPr>
              <w:jc w:val="center"/>
              <w:ind w:left="976"/>
              <w:spacing w:after="0"/>
              <w:rPr>
                <w:sz w:val="20"/>
                <w:szCs w:val="20"/>
                <w:color w:val="auto"/>
              </w:rPr>
            </w:pPr>
            <w:r>
              <w:rPr>
                <w:rFonts w:ascii="Arial" w:cs="Arial" w:eastAsia="Arial" w:hAnsi="Arial"/>
                <w:sz w:val="18"/>
                <w:szCs w:val="18"/>
                <w:color w:val="auto"/>
                <w:w w:val="93"/>
              </w:rPr>
              <w:t>288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46,129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44"/>
        </w:trPr>
        <w:tc>
          <w:tcPr>
            <w:tcW w:w="5040" w:type="dxa"/>
            <w:vAlign w:val="bottom"/>
          </w:tcPr>
          <w:p>
            <w:pPr>
              <w:ind w:left="20"/>
              <w:spacing w:after="0"/>
              <w:rPr>
                <w:sz w:val="20"/>
                <w:szCs w:val="20"/>
                <w:color w:val="auto"/>
              </w:rPr>
            </w:pPr>
            <w:r>
              <w:rPr>
                <w:rFonts w:ascii="Arial" w:cs="Arial" w:eastAsia="Arial" w:hAnsi="Arial"/>
                <w:sz w:val="18"/>
                <w:szCs w:val="18"/>
                <w:color w:val="auto"/>
              </w:rPr>
              <w:t>Options vested and exercisable at June 30, 2023</w:t>
            </w:r>
          </w:p>
        </w:tc>
        <w:tc>
          <w:tcPr>
            <w:tcW w:w="1460" w:type="dxa"/>
            <w:vAlign w:val="bottom"/>
            <w:tcBorders>
              <w:bottom w:val="single" w:sz="8" w:color="auto"/>
            </w:tcBorders>
          </w:tcPr>
          <w:p>
            <w:pPr>
              <w:jc w:val="center"/>
              <w:ind w:left="976"/>
              <w:spacing w:after="0"/>
              <w:rPr>
                <w:sz w:val="20"/>
                <w:szCs w:val="20"/>
                <w:color w:val="auto"/>
              </w:rPr>
            </w:pPr>
            <w:r>
              <w:rPr>
                <w:rFonts w:ascii="Arial" w:cs="Arial" w:eastAsia="Arial" w:hAnsi="Arial"/>
                <w:sz w:val="18"/>
                <w:szCs w:val="18"/>
                <w:color w:val="auto"/>
                <w:w w:val="93"/>
              </w:rPr>
              <w:t>288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46,129</w:t>
            </w:r>
          </w:p>
        </w:tc>
      </w:tr>
      <w:tr>
        <w:trPr>
          <w:trHeight w:val="20"/>
        </w:trPr>
        <w:tc>
          <w:tcPr>
            <w:tcW w:w="50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stock options granted during the years ended June 30, 2021, 2022 or 2023. The total intrinsic value of options exercised during the years ended June 30, 2021, 2022 and 2023 was $84,072, $51,457 and $52,985, respectively.</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grants RSUs under the 2014 Plan with terms determined at the discretion of the Committee. RSUs generally vest over four years following the grant date and have time-based vesting conditions. The following table represents restricted stock unit activity during the year ended June 30,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r>
      <w:tr>
        <w:trPr>
          <w:trHeight w:val="175"/>
        </w:trPr>
        <w:tc>
          <w:tcPr>
            <w:tcW w:w="8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8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grant date</w:t>
            </w:r>
          </w:p>
        </w:tc>
      </w:tr>
      <w:tr>
        <w:trPr>
          <w:trHeight w:val="186"/>
        </w:trPr>
        <w:tc>
          <w:tcPr>
            <w:tcW w:w="816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fair value</w:t>
            </w:r>
          </w:p>
        </w:tc>
      </w:tr>
      <w:tr>
        <w:trPr>
          <w:trHeight w:val="39"/>
        </w:trPr>
        <w:tc>
          <w:tcPr>
            <w:tcW w:w="81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 balance at July 1, 2022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1,327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RSUs 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795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254.59</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163.79</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RSUs forfeited</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162.57</w:t>
            </w:r>
          </w:p>
        </w:tc>
      </w:tr>
      <w:tr>
        <w:trPr>
          <w:trHeight w:val="290"/>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 balance at June 30, 2023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30, 2023, there was $116,517 of total unrecognized compensation cost, net of estimated forfeitures, related to unvested restricted stock units granted. That cost is expected to be recognized over a weighted average period of 1.8 years.</w:t>
      </w:r>
    </w:p>
    <w:p>
      <w:pPr>
        <w:spacing w:after="0" w:line="13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also grants MSUs under the 2014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market share unit activity during the year ended June 30,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8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8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grant date</w:t>
            </w:r>
          </w:p>
        </w:tc>
      </w:tr>
      <w:tr>
        <w:trPr>
          <w:trHeight w:val="186"/>
        </w:trPr>
        <w:tc>
          <w:tcPr>
            <w:tcW w:w="8160" w:type="dxa"/>
            <w:vAlign w:val="bottom"/>
          </w:tcPr>
          <w:p>
            <w:pPr>
              <w:spacing w:after="0"/>
              <w:rPr>
                <w:sz w:val="16"/>
                <w:szCs w:val="16"/>
                <w:color w:val="auto"/>
              </w:rPr>
            </w:pPr>
          </w:p>
        </w:tc>
        <w:tc>
          <w:tcPr>
            <w:tcW w:w="104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fair value</w:t>
            </w:r>
          </w:p>
        </w:tc>
      </w:tr>
      <w:tr>
        <w:trPr>
          <w:trHeight w:val="25"/>
        </w:trPr>
        <w:tc>
          <w:tcPr>
            <w:tcW w:w="8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MSU balance at July 1,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263.83</w:t>
            </w:r>
          </w:p>
        </w:tc>
      </w:tr>
      <w:tr>
        <w:trPr>
          <w:trHeight w:val="250"/>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MSUs 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387.67</w:t>
            </w: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MSUs forfeited</w:t>
            </w: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278.08</w:t>
            </w:r>
          </w:p>
        </w:tc>
      </w:tr>
      <w:tr>
        <w:trPr>
          <w:trHeight w:val="264"/>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MSU balance at June 30, 2023</w:t>
            </w: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320.38</w:t>
            </w:r>
          </w:p>
        </w:tc>
      </w:tr>
      <w:tr>
        <w:trPr>
          <w:trHeight w:val="21"/>
        </w:trPr>
        <w:tc>
          <w:tcPr>
            <w:tcW w:w="8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estimated the grant date fair value of the MSUs using a Monte Carlo simulation model that included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6"/>
        </w:trPr>
        <w:tc>
          <w:tcPr>
            <w:tcW w:w="6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4"/>
        </w:trPr>
        <w:tc>
          <w:tcPr>
            <w:tcW w:w="7100" w:type="dxa"/>
            <w:vAlign w:val="bottom"/>
            <w:gridSpan w:val="2"/>
          </w:tcPr>
          <w:p>
            <w:pPr>
              <w:ind w:left="676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68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8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2023</w:t>
            </w:r>
          </w:p>
        </w:tc>
      </w:tr>
      <w:tr>
        <w:trPr>
          <w:trHeight w:val="26"/>
        </w:trPr>
        <w:tc>
          <w:tcPr>
            <w:tcW w:w="6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6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r>
      <w:tr>
        <w:trPr>
          <w:trHeight w:val="27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47.4 - 47.5%</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51.0 - 52.7%</w:t>
            </w:r>
          </w:p>
        </w:tc>
      </w:tr>
      <w:tr>
        <w:trPr>
          <w:trHeight w:val="25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2.92 - 3.04</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2.75 - 3.04</w:t>
            </w:r>
          </w:p>
        </w:tc>
      </w:tr>
      <w:tr>
        <w:trPr>
          <w:trHeight w:val="277"/>
        </w:trPr>
        <w:tc>
          <w:tcPr>
            <w:tcW w:w="71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0.18 %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0.43 - 0.47%</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3.11 - 4.01%</w:t>
            </w:r>
          </w:p>
        </w:tc>
      </w:tr>
    </w:tbl>
    <w:p>
      <w:pPr>
        <w:spacing w:after="0" w:line="29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June 30, 2023, there was $25,009 of total unrecognized compensation cost, net of estimated forfeitures, related to unvested MSUs. That cost is expected to be recognized over a period of 2.0 years.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total of excess income tax benefits for stock-based compensation arrangements was $128,229, $143,046 and $113,903 for the years ended June 30, 2021, 2022 and 2023, respectively, and were recognized through Income tax expense (benefit).</w:t>
      </w:r>
    </w:p>
    <w:p>
      <w:pPr>
        <w:spacing w:after="0" w:line="170" w:lineRule="exact"/>
        <w:rPr>
          <w:sz w:val="20"/>
          <w:szCs w:val="20"/>
          <w:color w:val="auto"/>
        </w:rPr>
      </w:pPr>
    </w:p>
    <w:p>
      <w:pPr>
        <w:ind w:left="920" w:hanging="264"/>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June 30, 2023, a total of 1,773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approved the increase in the number of common shares in reserve for issuance under the ESPP by 400 shares, effective January 1, 2023.</w:t>
      </w:r>
    </w:p>
    <w:p>
      <w:pPr>
        <w:spacing w:after="0" w:line="192"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The Company issued a total of 120 shares upon the completion of its six-month offering periods ending November 15, 2022 and May 15, 2023. The Company recorded compensation expense attributable to the ESPP of $4,570, $4,676 and $6,393 for the years ended June 30, 2021, 2022 and 2023, respectively, which is included in the summary of stock-based compensation expense above. The grant date fair value of the ESPP offering periods was estimated using the following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Year Ended June 30,</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
        </w:trPr>
        <w:tc>
          <w:tcPr>
            <w:tcW w:w="63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4"/>
        </w:trPr>
        <w:tc>
          <w:tcPr>
            <w:tcW w:w="634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2023</w:t>
            </w:r>
          </w:p>
        </w:tc>
      </w:tr>
      <w:tr>
        <w:trPr>
          <w:trHeight w:val="25"/>
        </w:trPr>
        <w:tc>
          <w:tcPr>
            <w:tcW w:w="63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r>
      <w:tr>
        <w:trPr>
          <w:trHeight w:val="27"/>
        </w:trPr>
        <w:tc>
          <w:tcPr>
            <w:tcW w:w="6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42.2 - 72.2%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31.0 - 57.5%</w:t>
            </w: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41.1 - 57.5%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0.5</w:t>
            </w:r>
          </w:p>
        </w:tc>
        <w:tc>
          <w:tcPr>
            <w:tcW w:w="1660" w:type="dxa"/>
            <w:vAlign w:val="bottom"/>
            <w:gridSpan w:val="2"/>
          </w:tcPr>
          <w:p>
            <w:pPr>
              <w:jc w:val="right"/>
              <w:ind w:right="88"/>
              <w:spacing w:after="0"/>
              <w:rPr>
                <w:sz w:val="20"/>
                <w:szCs w:val="20"/>
                <w:color w:val="auto"/>
              </w:rPr>
            </w:pPr>
            <w:r>
              <w:rPr>
                <w:rFonts w:ascii="Arial" w:cs="Arial" w:eastAsia="Arial" w:hAnsi="Arial"/>
                <w:sz w:val="18"/>
                <w:szCs w:val="18"/>
                <w:color w:val="auto"/>
              </w:rPr>
              <w:t>0.5</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r>
      <w:tr>
        <w:trPr>
          <w:trHeight w:val="27"/>
        </w:trPr>
        <w:tc>
          <w:tcPr>
            <w:tcW w:w="6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34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0.04 - 0.15%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0.04 - 1.54%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1.54 - 5.26%</w:t>
            </w:r>
          </w:p>
        </w:tc>
      </w:tr>
      <w:tr>
        <w:trPr>
          <w:trHeight w:val="27"/>
        </w:trPr>
        <w:tc>
          <w:tcPr>
            <w:tcW w:w="63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maintains a 401(k) plan with a matching provision that covers all eligible employees. The Company matches 50% of employees’ contributions up to 8% of their gross pay. Contributions were $2,658, $12,305 and $15,083 for the years ended June 30, 2021, 2022 and 2023, respectively. In response to the uncertainties presented by the COVID-19 pandemic, the Company temporarily suspended 401(k) plan matching contributions during the first three quarters of fiscal 2021. The Company reinstated contributions during the fourth quarter of fiscal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46" w:lineRule="exact"/>
        <w:rPr>
          <w:sz w:val="20"/>
          <w:szCs w:val="20"/>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Income Per Share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271"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40640</wp:posOffset>
            </wp:positionV>
            <wp:extent cx="2948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39"/>
        </w:trPr>
        <w:tc>
          <w:tcPr>
            <w:tcW w:w="534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70,819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90,777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140,822</w:t>
            </w:r>
          </w:p>
        </w:tc>
      </w:tr>
      <w:tr>
        <w:trPr>
          <w:trHeight w:val="27"/>
        </w:trPr>
        <w:tc>
          <w:tcPr>
            <w:tcW w:w="5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Weighted-average shares used in computing net income per share:</w:t>
            </w:r>
          </w:p>
        </w:tc>
        <w:tc>
          <w:tcPr>
            <w:tcW w:w="1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4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54,318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55,706</w:t>
            </w:r>
          </w:p>
        </w:tc>
      </w:tr>
      <w:tr>
        <w:trPr>
          <w:trHeight w:val="27"/>
        </w:trPr>
        <w:tc>
          <w:tcPr>
            <w:tcW w:w="5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effect of potentially dilutive shares:</w:t>
            </w:r>
          </w:p>
        </w:tc>
        <w:tc>
          <w:tcPr>
            <w:tcW w:w="1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63"/>
        </w:trPr>
        <w:tc>
          <w:tcPr>
            <w:tcW w:w="5340" w:type="dxa"/>
            <w:vAlign w:val="bottom"/>
          </w:tcPr>
          <w:p>
            <w:pPr>
              <w:ind w:left="240"/>
              <w:spacing w:after="0"/>
              <w:rPr>
                <w:sz w:val="20"/>
                <w:szCs w:val="20"/>
                <w:color w:val="auto"/>
              </w:rPr>
            </w:pPr>
            <w:r>
              <w:rPr>
                <w:rFonts w:ascii="Arial" w:cs="Arial" w:eastAsia="Arial" w:hAnsi="Arial"/>
                <w:sz w:val="18"/>
                <w:szCs w:val="18"/>
                <w:color w:val="auto"/>
                <w:w w:val="91"/>
              </w:rPr>
              <w:t>Employee stock options, restricted stock units and market share units</w:t>
            </w:r>
          </w:p>
        </w:tc>
        <w:tc>
          <w:tcPr>
            <w:tcW w:w="12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r>
      <w:tr>
        <w:trPr>
          <w:trHeight w:val="250"/>
        </w:trPr>
        <w:tc>
          <w:tcPr>
            <w:tcW w:w="5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56,305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56,596</w:t>
            </w:r>
          </w:p>
        </w:tc>
      </w:tr>
      <w:tr>
        <w:trPr>
          <w:trHeight w:val="270"/>
        </w:trPr>
        <w:tc>
          <w:tcPr>
            <w:tcW w:w="5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40"/>
              <w:spacing w:after="0"/>
              <w:rPr>
                <w:sz w:val="20"/>
                <w:szCs w:val="20"/>
                <w:color w:val="auto"/>
              </w:rPr>
            </w:pPr>
            <w:r>
              <w:rPr>
                <w:rFonts w:ascii="Arial" w:cs="Arial" w:eastAsia="Arial" w:hAnsi="Arial"/>
                <w:sz w:val="18"/>
                <w:szCs w:val="18"/>
                <w:color w:val="auto"/>
              </w:rPr>
              <w:t>Basic</w:t>
            </w:r>
          </w:p>
        </w:tc>
        <w:tc>
          <w:tcPr>
            <w:tcW w:w="2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5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1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904"/>
        </w:trPr>
        <w:tc>
          <w:tcPr>
            <w:tcW w:w="5340" w:type="dxa"/>
            <w:vAlign w:val="bottom"/>
          </w:tcPr>
          <w:p>
            <w:pPr>
              <w:spacing w:after="0"/>
              <w:rPr>
                <w:sz w:val="24"/>
                <w:szCs w:val="24"/>
                <w:color w:val="auto"/>
              </w:rPr>
            </w:pPr>
          </w:p>
        </w:tc>
        <w:tc>
          <w:tcPr>
            <w:tcW w:w="2160" w:type="dxa"/>
            <w:vAlign w:val="bottom"/>
            <w:gridSpan w:val="2"/>
          </w:tcPr>
          <w:p>
            <w:pPr>
              <w:jc w:val="right"/>
              <w:ind w:right="1700"/>
              <w:spacing w:after="0"/>
              <w:rPr>
                <w:sz w:val="20"/>
                <w:szCs w:val="20"/>
                <w:color w:val="auto"/>
              </w:rPr>
            </w:pPr>
            <w:r>
              <w:rPr>
                <w:rFonts w:ascii="Arial" w:cs="Arial" w:eastAsia="Arial" w:hAnsi="Arial"/>
                <w:sz w:val="18"/>
                <w:szCs w:val="18"/>
                <w:color w:val="auto"/>
              </w:rPr>
              <w:t>F-30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outstanding restricted stock units and market share units as of the balance sheet date that were excluded from the diluted per share calculation for the periods presented because to include them would have been anti-dilutive:</w:t>
      </w:r>
    </w:p>
    <w:p>
      <w:pPr>
        <w:spacing w:after="0" w:line="21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40640</wp:posOffset>
            </wp:positionV>
            <wp:extent cx="29489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ind w:left="720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5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2023</w:t>
            </w:r>
          </w:p>
        </w:tc>
      </w:tr>
      <w:tr>
        <w:trPr>
          <w:trHeight w:val="39"/>
        </w:trPr>
        <w:tc>
          <w:tcPr>
            <w:tcW w:w="66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 share units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9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78"/>
        </w:trPr>
        <w:tc>
          <w:tcPr>
            <w:tcW w:w="7660" w:type="dxa"/>
            <w:vAlign w:val="bottom"/>
            <w:gridSpan w:val="2"/>
          </w:tcPr>
          <w:p>
            <w:pPr>
              <w:ind w:left="5460"/>
              <w:spacing w:after="0"/>
              <w:rPr>
                <w:sz w:val="20"/>
                <w:szCs w:val="20"/>
                <w:color w:val="auto"/>
              </w:rPr>
            </w:pPr>
            <w:r>
              <w:rPr>
                <w:rFonts w:ascii="Arial" w:cs="Arial" w:eastAsia="Arial" w:hAnsi="Arial"/>
                <w:sz w:val="18"/>
                <w:szCs w:val="18"/>
                <w:color w:val="auto"/>
              </w:rPr>
              <w:t>F-31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5" w:name="page86"/>
    <w:bookmarkEnd w:id="85"/>
    <w:p>
      <w:pPr>
        <w:spacing w:after="0" w:line="189"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Exhibit 10.15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spacing w:after="0" w:line="27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Paylocity Corporation, an Illinois corporation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Joshua Scutt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effective as of August 16, 2021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agree as follows:</w:t>
      </w:r>
    </w:p>
    <w:p>
      <w:pPr>
        <w:spacing w:after="0" w:line="256" w:lineRule="exact"/>
        <w:rPr>
          <w:sz w:val="20"/>
          <w:szCs w:val="20"/>
          <w:color w:val="auto"/>
        </w:rPr>
      </w:pPr>
    </w:p>
    <w:p>
      <w:pPr>
        <w:ind w:firstLine="656"/>
        <w:spacing w:after="0" w:line="260" w:lineRule="auto"/>
        <w:tabs>
          <w:tab w:leader="none" w:pos="129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Company hereby employs Employee, and Employee hereby accepts such employment, upon the terms and conditions set forth herein.</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Employee is employed as Senior Vice President of Sales and shall have the duties and responsibilities assigned by Company’s President and Chief Operating Officer Officer (“</w:t>
      </w:r>
      <w:r>
        <w:rPr>
          <w:rFonts w:ascii="Arial" w:cs="Arial" w:eastAsia="Arial" w:hAnsi="Arial"/>
          <w:sz w:val="18"/>
          <w:szCs w:val="18"/>
          <w:b w:val="1"/>
          <w:bCs w:val="1"/>
          <w:color w:val="auto"/>
        </w:rPr>
        <w:t>COO</w:t>
      </w:r>
      <w:r>
        <w:rPr>
          <w:rFonts w:ascii="Arial" w:cs="Arial" w:eastAsia="Arial" w:hAnsi="Arial"/>
          <w:sz w:val="18"/>
          <w:szCs w:val="18"/>
          <w:color w:val="auto"/>
        </w:rPr>
        <w:t>”). Employee shall perform faithfully and diligently all duties assigned to Employee. Company reserves the right to modify Employee’s position and duties at any time in its sole and absolute discretion.</w:t>
      </w:r>
    </w:p>
    <w:p>
      <w:pPr>
        <w:spacing w:after="0" w:line="167"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Employee will expend Employee’s best efforts on behalf of Company, and will abide by all policies and decisions made by Company, as well as all applicable federal, state and local laws, regulations or ordinances. Employee will act in the best interest of Company at all times. Employee shall devote Employee’s full business time and efforts to the performance of Employee’s assigned duties for Company, unless Employee notifies the COO in advance of Employee’s intent to engage in other paid work and receives the COO’s express written consent to do so. Notwithstanding the foregoing, Employee will be permitted to serve as an outside director on the board of directors for nonprofit or charitable entities or managing Employee’s personal financial and legal affairs, so long as the foregoing activities, provided such entities are not competitive with Company and subject to the provisions of Section 10 below.</w:t>
      </w:r>
    </w:p>
    <w:p>
      <w:pPr>
        <w:spacing w:after="0" w:line="189" w:lineRule="exact"/>
        <w:rPr>
          <w:sz w:val="20"/>
          <w:szCs w:val="20"/>
          <w:color w:val="auto"/>
        </w:rPr>
      </w:pPr>
    </w:p>
    <w:p>
      <w:pPr>
        <w:jc w:val="both"/>
        <w:ind w:firstLine="656"/>
        <w:spacing w:after="0" w:line="252" w:lineRule="auto"/>
        <w:tabs>
          <w:tab w:leader="none" w:pos="1296"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Employee’s employment with Company is at-will and not for any specified period and may be terminated at any time, with or without cause (as defined below) or advance notice, by either Employee or Company. No representative of Company, other than the CEO or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has the authority to alter the at-will employment relationship. Any change to the at-will employment relationship must be by specific, written agreement signed by Employee and the CEO or a duly-authorized representative of the Board. Nothing in this Agreement is intended to or should be construed to contradict, modify or alter this at-will relationship.</w:t>
      </w:r>
    </w:p>
    <w:p>
      <w:pPr>
        <w:spacing w:after="0" w:line="225" w:lineRule="exact"/>
        <w:rPr>
          <w:rFonts w:ascii="Arial" w:cs="Arial" w:eastAsia="Arial" w:hAnsi="Arial"/>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Base Salary</w:t>
      </w:r>
      <w:r>
        <w:rPr>
          <w:rFonts w:ascii="Arial" w:cs="Arial" w:eastAsia="Arial" w:hAnsi="Arial"/>
          <w:sz w:val="20"/>
          <w:szCs w:val="20"/>
          <w:color w:val="auto"/>
        </w:rPr>
        <w:t>. As compensation for Employee’s performance of Employee’s duties hereunder, Company shall pay to Employee an annual base salary of $350,000, less required deductions for state and federal withholding tax, social security and all other employment taxes and payroll deductions, payable in accordance with the normal payroll practices of Company. Beginning in fiscal year 2022, the Compensation Committee of the Board shall conduct an annual review of Employee’s base salary based on third party comparison data and internal management recommendations. The salary change, if any, will be consistent with the timing of the salary adjustments of other senior Employees of</w:t>
      </w:r>
    </w:p>
    <w:p>
      <w:pPr>
        <w:sectPr>
          <w:pgSz w:w="11900" w:h="16838" w:orient="portrait"/>
          <w:cols w:equalWidth="0" w:num="1">
            <w:col w:w="11240"/>
          </w:cols>
          <w:pgMar w:left="320" w:top="1440" w:right="339" w:bottom="1440" w:gutter="0" w:footer="0" w:header="0"/>
        </w:sectPr>
      </w:pPr>
    </w:p>
    <w:bookmarkStart w:id="86" w:name="page87"/>
    <w:bookmarkEnd w:id="86"/>
    <w:p>
      <w:pPr>
        <w:jc w:val="both"/>
        <w:spacing w:after="0" w:line="274" w:lineRule="auto"/>
        <w:rPr>
          <w:sz w:val="20"/>
          <w:szCs w:val="20"/>
          <w:color w:val="auto"/>
        </w:rPr>
      </w:pPr>
      <w:r>
        <w:rPr>
          <w:rFonts w:ascii="Arial" w:cs="Arial" w:eastAsia="Arial" w:hAnsi="Arial"/>
          <w:sz w:val="20"/>
          <w:szCs w:val="20"/>
          <w:color w:val="auto"/>
        </w:rPr>
        <w:t>Company. In the event Employee’s employment under this Agreement is terminated by either party, for any reason, Employee will earn the base salary prorated to the date of termination.</w:t>
      </w:r>
    </w:p>
    <w:p>
      <w:pPr>
        <w:spacing w:after="0" w:line="19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Employee will be eligible to earn an annual incentive bonus, the target amount of which shall be a percentage as determined by the Company’s Compensation Committee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The target amount of the Annual Bonus for fiscal year 2022 shall be 60% of Employee’s annualized base salary. The Annual Bonus will be based on Employee’s achievement of certain goals, as well as Company metrics which shall be established by the Company’s Board. The Annual Bonus shall be less all required taxes and withholdings and will be paid out within 60 days following the end of the fiscal year in which it is earned.</w:t>
      </w:r>
    </w:p>
    <w:p>
      <w:pPr>
        <w:spacing w:after="0" w:line="18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Equity Incentive Grants</w:t>
      </w:r>
      <w:r>
        <w:rPr>
          <w:rFonts w:ascii="Arial" w:cs="Arial" w:eastAsia="Arial" w:hAnsi="Arial"/>
          <w:sz w:val="20"/>
          <w:szCs w:val="20"/>
          <w:color w:val="auto"/>
        </w:rPr>
        <w:t>. Beginning in fiscal 2022, Employee shall be eligible to receive long-term equity incentives, as determined during the annual review conducted by the Compensation Committee and the Board.</w:t>
      </w:r>
    </w:p>
    <w:p>
      <w:pPr>
        <w:spacing w:after="0" w:line="190" w:lineRule="exact"/>
        <w:rPr>
          <w:sz w:val="20"/>
          <w:szCs w:val="20"/>
          <w:color w:val="auto"/>
        </w:rPr>
      </w:pPr>
    </w:p>
    <w:p>
      <w:pPr>
        <w:jc w:val="both"/>
        <w:ind w:firstLine="1952"/>
        <w:spacing w:after="0" w:line="290" w:lineRule="auto"/>
        <w:tabs>
          <w:tab w:leader="none" w:pos="25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Immediately prior to the consummation of a Change in Control, the vesting of all unvested shares subject to outstanding equity awards with time-based vesting issued to Employee by Parent shall be accelerated in full and, if applicable, such equity awards shall become exercisable or shall be settled in full immediately prior to such Change in Control provided that Employee’s employment with Company or Parent has not terminated prior to such Change in Control. For the purposes of this Agreement, “</w:t>
      </w:r>
      <w:r>
        <w:rPr>
          <w:rFonts w:ascii="Arial" w:cs="Arial" w:eastAsia="Arial" w:hAnsi="Arial"/>
          <w:sz w:val="18"/>
          <w:szCs w:val="18"/>
          <w:b w:val="1"/>
          <w:bCs w:val="1"/>
          <w:i w:val="1"/>
          <w:iCs w:val="1"/>
          <w:color w:val="auto"/>
        </w:rPr>
        <w:t>Change 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shall have the meaning set forth in Company’s 2014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1952"/>
        <w:spacing w:after="0" w:line="282" w:lineRule="auto"/>
        <w:tabs>
          <w:tab w:leader="none" w:pos="25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Employee’s employment with Company terminates due to Employee’s death or Employee’s Disability (as such term is defined in the Plan), (i) the vesting of all unvested shares subject to outstanding equity awards with time-based vesting issued to Employee by Parent shall be accelerated in full and, if applicable, such equity awards shall become exercisable or shall be settled in full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unvested shares subject to outstanding equity awards with performance-based vesting shall remain outstanding, and vest based on</w:t>
      </w:r>
    </w:p>
    <w:p>
      <w:pPr>
        <w:spacing w:after="0" w:line="2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actual achievement of the underlying performance goals, with Employee receiving a pro-rated portion of the performance-based award (based on the number of calendar days in the performance period that Employee was employed over the total number of calendar days in the performance period), and, if applicable, such equity awards shall become exercisable or shall be settled to the extent vested upon such determination.</w:t>
      </w:r>
    </w:p>
    <w:p>
      <w:pPr>
        <w:spacing w:after="0" w:line="230" w:lineRule="exact"/>
        <w:rPr>
          <w:sz w:val="20"/>
          <w:szCs w:val="20"/>
          <w:color w:val="auto"/>
        </w:rPr>
      </w:pPr>
    </w:p>
    <w:p>
      <w:pPr>
        <w:jc w:val="both"/>
        <w:ind w:firstLine="656"/>
        <w:spacing w:after="0" w:line="277"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Customary Fringe Benefits</w:t>
      </w:r>
      <w:r>
        <w:rPr>
          <w:rFonts w:ascii="Arial" w:cs="Arial" w:eastAsia="Arial" w:hAnsi="Arial"/>
          <w:sz w:val="19"/>
          <w:szCs w:val="19"/>
          <w:color w:val="auto"/>
        </w:rPr>
        <w:t>. Employee will be eligible for all customary and usual fringe benefits generally available to Employees of Company subject to the terms and conditions of Company’s benefit plan documents. Company reserves the right to change or eliminate the fringe benefits on a prospective basis, at any time, effective upon notice to Employee.</w:t>
      </w:r>
    </w:p>
    <w:p>
      <w:pPr>
        <w:spacing w:after="0" w:line="201" w:lineRule="exact"/>
        <w:rPr>
          <w:rFonts w:ascii="Arial" w:cs="Arial" w:eastAsia="Arial" w:hAnsi="Arial"/>
          <w:sz w:val="19"/>
          <w:szCs w:val="19"/>
          <w:color w:val="auto"/>
        </w:rPr>
      </w:pPr>
    </w:p>
    <w:p>
      <w:pPr>
        <w:jc w:val="both"/>
        <w:ind w:firstLine="656"/>
        <w:spacing w:after="0" w:line="285"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Employee will be reimbursed for all reasonable, out-of-pocket business expenses incurred in the performance of Employee’s duties on behalf of Company, including reasonable out-of-pocket expenses associated with Employee’s travel as approved by the COO. To obtain reimbursement, expenses must be submitted promptly with appropriate supporting documentation and will be reimbursed in accordance with Company’s policies. Any reimbursement Employee is entitled to receive shall (a) be paid no later than the last day of Employee’s tax year following the tax year in which the expense was incurred, (b) not be affected by any other expenses that are eligible for reimbursement in any tax year and (c) not be subject to liquidation or exchange for another benefit.</w:t>
      </w:r>
    </w:p>
    <w:p>
      <w:pPr>
        <w:sectPr>
          <w:pgSz w:w="11900" w:h="16838" w:orient="portrait"/>
          <w:cols w:equalWidth="0" w:num="1">
            <w:col w:w="11240"/>
          </w:cols>
          <w:pgMar w:left="320" w:top="1419" w:right="339" w:bottom="1440" w:gutter="0" w:footer="0" w:header="0"/>
        </w:sectPr>
      </w:pPr>
    </w:p>
    <w:bookmarkStart w:id="87" w:name="page88"/>
    <w:bookmarkEnd w:id="87"/>
    <w:p>
      <w:pPr>
        <w:ind w:left="1300" w:hanging="644"/>
        <w:spacing w:after="0"/>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Termination of Employee’s Employment</w:t>
      </w:r>
      <w:r>
        <w:rPr>
          <w:rFonts w:ascii="Arial" w:cs="Arial" w:eastAsia="Arial" w:hAnsi="Arial"/>
          <w:sz w:val="20"/>
          <w:szCs w:val="20"/>
          <w:color w:val="auto"/>
        </w:rPr>
        <w:t>.</w:t>
      </w:r>
    </w:p>
    <w:p>
      <w:pPr>
        <w:spacing w:after="0" w:line="256"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Company may terminate Employee’s employment immediately at any time for Cause. 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is defined as: (i) material dishonest or fraudulent behavior, or convictions of a felony; (ii) the material breach of any covenant contained or referred to in this Agreement; (iii) the failure of Employee to meet fair and reasonable performance standards established by Company from time to time; (iv) Employee’s failure or refusal to perform specific directives of COO, which directives are consistent with the scope and nature of Employee’s duties and responsibilities, and which are not remedied by Employee within thirty (30) days after written notice; (v) any violation of the covenant not to disclose confidential information regarding the business of Company and its products as set forth in Section 7 of this Agreement; or (vi) any act of material dishonesty by Employee which adversely affects the business of Company. In the event Employee’s employment is terminated in accordance with this subsection 7.1, Employee shall be entitled to receive only Employee’s base salary then in effect, prorated to the date of termination and all benefits accrued through the date of termination (“</w:t>
      </w:r>
      <w:r>
        <w:rPr>
          <w:rFonts w:ascii="Arial" w:cs="Arial" w:eastAsia="Arial" w:hAnsi="Arial"/>
          <w:sz w:val="16"/>
          <w:szCs w:val="16"/>
          <w:b w:val="1"/>
          <w:bCs w:val="1"/>
          <w:i w:val="1"/>
          <w:iCs w:val="1"/>
          <w:color w:val="auto"/>
        </w:rPr>
        <w:t>Accrued Benefits</w:t>
      </w:r>
      <w:r>
        <w:rPr>
          <w:rFonts w:ascii="Arial" w:cs="Arial" w:eastAsia="Arial" w:hAnsi="Arial"/>
          <w:sz w:val="16"/>
          <w:szCs w:val="16"/>
          <w:color w:val="auto"/>
        </w:rPr>
        <w:t>”). All other Company obligations to Employee pursuant to this Agreement will become automatically terminated and completely extinguished. Employee will not be entitled to receive the Severance Payment described in subsection 7.2 below.</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Without Cause by Company/Severance</w:t>
      </w:r>
      <w:r>
        <w:rPr>
          <w:rFonts w:ascii="Arial" w:cs="Arial" w:eastAsia="Arial" w:hAnsi="Arial"/>
          <w:sz w:val="18"/>
          <w:szCs w:val="18"/>
          <w:color w:val="auto"/>
        </w:rPr>
        <w:t>. Company may terminate Employee’s employment under this Agreement without Cause at any time on thirty (30) days’ advance written notice to Employee. In the event of such termination, Employee will receive Employee’s base salary then in effect, prorated to the date of termination, and Accrued Benefits. In addition, Employee will receive a “</w:t>
      </w:r>
      <w:r>
        <w:rPr>
          <w:rFonts w:ascii="Arial" w:cs="Arial" w:eastAsia="Arial" w:hAnsi="Arial"/>
          <w:sz w:val="18"/>
          <w:szCs w:val="18"/>
          <w:b w:val="1"/>
          <w:bCs w:val="1"/>
          <w:i w:val="1"/>
          <w:iCs w:val="1"/>
          <w:color w:val="auto"/>
        </w:rPr>
        <w:t>Severance Payment</w:t>
      </w:r>
      <w:r>
        <w:rPr>
          <w:rFonts w:ascii="Arial" w:cs="Arial" w:eastAsia="Arial" w:hAnsi="Arial"/>
          <w:sz w:val="18"/>
          <w:szCs w:val="18"/>
          <w:color w:val="auto"/>
        </w:rPr>
        <w:t>” equivalent to twelve (12) months of Employee’s base salary then in effect on the date of termination, payable as salary continuation in equal installments in accordance with Company’s regular payroll cycle over a twelve (12) month period, beginning on the first regular payday occurring 60 days following the termination date. Employee will only receive the Severance Payment if Employee executes a full general release in a form acceptable to Company, releasing all claims, known or unknown, that Employee may have against Company arising out of or any way related to Employee’s employment or termination of employment with Company, and such release has become effective in accordance with its terms prior to the 60th day following the termination date. All other Company obligations to Employee will be automatically terminated and completely extinguished. If Employee’s employment with Company terminates due to Employee’s death or Employee’s inability to perform the essential functions of Employee’s position with or without reasonable accommodation, Employee shall not be entitled to the Severance Payment described above.</w:t>
      </w:r>
    </w:p>
    <w:p>
      <w:pPr>
        <w:spacing w:after="0" w:line="19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Voluntary Resignation by Employee</w:t>
      </w:r>
      <w:r>
        <w:rPr>
          <w:rFonts w:ascii="Arial" w:cs="Arial" w:eastAsia="Arial" w:hAnsi="Arial"/>
          <w:sz w:val="20"/>
          <w:szCs w:val="20"/>
          <w:color w:val="auto"/>
        </w:rPr>
        <w:t>. Employee may voluntarily resign Employee’s position with Company at any time on thirty (30) days’ advance written notice. In the event of Employee’s voluntary resignation, Employee will be entitled to receive only Accrued Benefits for the thirty-day notice period and no other amount. All other Company obligations to Employee pursuant to this Agreement will become automatically terminated and completely extinguished. In addition, Employee will not be entitled to receive the Severance Payment described in subsection 7.2 above.</w:t>
      </w:r>
    </w:p>
    <w:p>
      <w:pPr>
        <w:spacing w:after="0" w:line="209" w:lineRule="exact"/>
        <w:rPr>
          <w:sz w:val="20"/>
          <w:szCs w:val="20"/>
          <w:color w:val="auto"/>
        </w:rPr>
      </w:pPr>
    </w:p>
    <w:p>
      <w:pPr>
        <w:ind w:firstLine="656"/>
        <w:spacing w:after="0" w:line="301"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Resignation of Board or Other Positions</w:t>
      </w:r>
      <w:r>
        <w:rPr>
          <w:rFonts w:ascii="Arial" w:cs="Arial" w:eastAsia="Arial" w:hAnsi="Arial"/>
          <w:sz w:val="19"/>
          <w:szCs w:val="19"/>
          <w:color w:val="auto"/>
        </w:rPr>
        <w:t>. Upon the termination of Employee’s employment for any reason, Employee agrees to immediately resign all other positions (including Board membership) Employee may hold on behalf of Company.</w:t>
      </w:r>
    </w:p>
    <w:p>
      <w:pPr>
        <w:sectPr>
          <w:pgSz w:w="11900" w:h="16838" w:orient="portrait"/>
          <w:cols w:equalWidth="0" w:num="1">
            <w:col w:w="11240"/>
          </w:cols>
          <w:pgMar w:left="320" w:top="1419" w:right="339" w:bottom="1440" w:gutter="0" w:footer="0" w:header="0"/>
        </w:sectPr>
      </w:pPr>
    </w:p>
    <w:bookmarkStart w:id="88" w:name="page89"/>
    <w:bookmarkEnd w:id="88"/>
    <w:p>
      <w:pPr>
        <w:spacing w:after="0" w:line="222" w:lineRule="exact"/>
        <w:rPr>
          <w:sz w:val="20"/>
          <w:szCs w:val="20"/>
          <w:color w:val="auto"/>
        </w:rPr>
      </w:pPr>
    </w:p>
    <w:p>
      <w:pPr>
        <w:ind w:left="644" w:hanging="644"/>
        <w:spacing w:after="0"/>
        <w:tabs>
          <w:tab w:leader="none" w:pos="644"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Application of Section 409A</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56" w:firstLine="1952"/>
        <w:spacing w:after="0" w:line="263" w:lineRule="auto"/>
        <w:tabs>
          <w:tab w:leader="none" w:pos="1936"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9"/>
          <w:szCs w:val="19"/>
          <w:b w:val="1"/>
          <w:bCs w:val="1"/>
          <w:i w:val="1"/>
          <w:iCs w:val="1"/>
          <w:color w:val="auto"/>
        </w:rPr>
        <w:t>Section 409A Regulations</w:t>
      </w:r>
      <w:r>
        <w:rPr>
          <w:rFonts w:ascii="Arial" w:cs="Arial" w:eastAsia="Arial" w:hAnsi="Arial"/>
          <w:sz w:val="19"/>
          <w:szCs w:val="19"/>
          <w:color w:val="auto"/>
        </w:rPr>
        <w:t>”) shall be paid unless and until Employee has incurred a “separation from service” within the meaning of the Section 409A Regulations.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Arial" w:cs="Arial" w:eastAsia="Arial" w:hAnsi="Arial"/>
          <w:sz w:val="19"/>
          <w:szCs w:val="19"/>
          <w:b w:val="1"/>
          <w:bCs w:val="1"/>
          <w:i w:val="1"/>
          <w:iCs w:val="1"/>
          <w:color w:val="auto"/>
        </w:rPr>
        <w:t>Delayed Payment Date</w:t>
      </w:r>
      <w:r>
        <w:rPr>
          <w:rFonts w:ascii="Arial" w:cs="Arial" w:eastAsia="Arial" w:hAnsi="Arial"/>
          <w:sz w:val="19"/>
          <w:szCs w:val="19"/>
          <w:color w:val="auto"/>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spacing w:after="0" w:line="221" w:lineRule="exact"/>
        <w:rPr>
          <w:rFonts w:ascii="Arial" w:cs="Arial" w:eastAsia="Arial" w:hAnsi="Arial"/>
          <w:sz w:val="19"/>
          <w:szCs w:val="19"/>
          <w:color w:val="auto"/>
        </w:rPr>
      </w:pPr>
    </w:p>
    <w:p>
      <w:pPr>
        <w:jc w:val="both"/>
        <w:ind w:left="-656" w:firstLine="1952"/>
        <w:spacing w:after="0" w:line="267" w:lineRule="auto"/>
        <w:tabs>
          <w:tab w:leader="none" w:pos="1936"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9"/>
          <w:szCs w:val="19"/>
          <w:b w:val="1"/>
          <w:bCs w:val="1"/>
          <w:color w:val="auto"/>
        </w:rPr>
        <w:t>However, Company does not guarantee any particular tax effect for income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provided to Employee pursuant to this Agreement. </w:t>
      </w:r>
      <w:r>
        <w:rPr>
          <w:rFonts w:ascii="Arial" w:cs="Arial" w:eastAsia="Arial" w:hAnsi="Arial"/>
          <w:sz w:val="19"/>
          <w:szCs w:val="19"/>
          <w:color w:val="auto"/>
        </w:rPr>
        <w:t>In any event, except for Company’s responsibility to withhold applicable income and</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taxes from compensation paid or provided to Employee, Company shall not be responsible for the payment of any applicable taxes on compensation paid or provided to Employee pursuant to this Agreement.</w:t>
      </w:r>
    </w:p>
    <w:p>
      <w:pPr>
        <w:spacing w:after="0" w:line="215" w:lineRule="exact"/>
        <w:rPr>
          <w:rFonts w:ascii="Arial" w:cs="Arial" w:eastAsia="Arial" w:hAnsi="Arial"/>
          <w:sz w:val="19"/>
          <w:szCs w:val="19"/>
          <w:color w:val="auto"/>
        </w:rPr>
      </w:pPr>
    </w:p>
    <w:p>
      <w:pPr>
        <w:jc w:val="both"/>
        <w:ind w:left="-656" w:firstLine="1952"/>
        <w:spacing w:after="0" w:line="265" w:lineRule="auto"/>
        <w:tabs>
          <w:tab w:leader="none" w:pos="1936"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Arial" w:cs="Arial" w:eastAsia="Arial" w:hAnsi="Arial"/>
          <w:sz w:val="19"/>
          <w:szCs w:val="19"/>
          <w:b w:val="1"/>
          <w:bCs w:val="1"/>
          <w:color w:val="auto"/>
        </w:rPr>
        <w:t>.</w:t>
      </w:r>
    </w:p>
    <w:p>
      <w:pPr>
        <w:spacing w:after="0" w:line="213" w:lineRule="exact"/>
        <w:rPr>
          <w:rFonts w:ascii="Arial" w:cs="Arial" w:eastAsia="Arial" w:hAnsi="Arial"/>
          <w:sz w:val="19"/>
          <w:szCs w:val="19"/>
          <w:color w:val="auto"/>
        </w:rPr>
      </w:pPr>
    </w:p>
    <w:p>
      <w:pPr>
        <w:ind w:left="-656" w:firstLine="1952"/>
        <w:spacing w:after="0" w:line="274" w:lineRule="auto"/>
        <w:tabs>
          <w:tab w:leader="none" w:pos="1936" w:val="left"/>
        </w:tabs>
        <w:numPr>
          <w:ilvl w:val="1"/>
          <w:numId w:val="54"/>
        </w:numPr>
        <w:rPr>
          <w:rFonts w:ascii="Arial" w:cs="Arial" w:eastAsia="Arial" w:hAnsi="Arial"/>
          <w:sz w:val="20"/>
          <w:szCs w:val="20"/>
          <w:color w:val="auto"/>
        </w:rPr>
      </w:pPr>
      <w:r>
        <w:rPr>
          <w:rFonts w:ascii="Arial" w:cs="Arial" w:eastAsia="Arial" w:hAnsi="Arial"/>
          <w:sz w:val="20"/>
          <w:szCs w:val="20"/>
          <w:color w:val="auto"/>
        </w:rPr>
        <w:t>For purposes of Section 409A of the Code, the right to a series of installment payments under this Agreement shall be treated as a right to a series of separate payments.</w:t>
      </w:r>
    </w:p>
    <w:p>
      <w:pPr>
        <w:spacing w:after="0" w:line="190" w:lineRule="exact"/>
        <w:rPr>
          <w:rFonts w:ascii="Arial" w:cs="Arial" w:eastAsia="Arial" w:hAnsi="Arial"/>
          <w:sz w:val="20"/>
          <w:szCs w:val="20"/>
          <w:color w:val="auto"/>
        </w:rPr>
      </w:pPr>
    </w:p>
    <w:p>
      <w:pPr>
        <w:jc w:val="both"/>
        <w:ind w:left="-656" w:firstLine="656"/>
        <w:spacing w:after="0" w:line="284"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Conflict of Interest</w:t>
      </w:r>
      <w:r>
        <w:rPr>
          <w:rFonts w:ascii="Arial" w:cs="Arial" w:eastAsia="Arial" w:hAnsi="Arial"/>
          <w:sz w:val="18"/>
          <w:szCs w:val="18"/>
          <w:color w:val="auto"/>
        </w:rPr>
        <w:t>. During the term of Employee’s employment with Company, Employee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Employee’s employment with Company, as may be determined by Company in its sole discretion. If Company believes such a conflict exists during the term of this Agreement, Company may ask Employee to, and Employee shall, discontinue the other work and/or activities or resign employment with Company.</w:t>
      </w:r>
    </w:p>
    <w:p>
      <w:pPr>
        <w:sectPr>
          <w:pgSz w:w="11900" w:h="16838" w:orient="portrait"/>
          <w:cols w:equalWidth="0" w:num="1">
            <w:col w:w="10584"/>
          </w:cols>
          <w:pgMar w:left="976" w:top="1440" w:right="339" w:bottom="1440" w:gutter="0" w:footer="0" w:header="0"/>
        </w:sectPr>
      </w:pPr>
    </w:p>
    <w:bookmarkStart w:id="89" w:name="page90"/>
    <w:bookmarkEnd w:id="89"/>
    <w:p>
      <w:pPr>
        <w:jc w:val="both"/>
        <w:ind w:firstLine="656"/>
        <w:spacing w:after="0" w:line="284" w:lineRule="auto"/>
        <w:tabs>
          <w:tab w:leader="none" w:pos="128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Employee agrees that during Employee’s employment with Company and for a period of twelve (12) months immediately following termination of such employment for any reason (the “</w:t>
      </w:r>
      <w:r>
        <w:rPr>
          <w:rFonts w:ascii="Arial" w:cs="Arial" w:eastAsia="Arial" w:hAnsi="Arial"/>
          <w:sz w:val="18"/>
          <w:szCs w:val="18"/>
          <w:b w:val="1"/>
          <w:bCs w:val="1"/>
          <w:i w:val="1"/>
          <w:iCs w:val="1"/>
          <w:color w:val="auto"/>
        </w:rPr>
        <w:t>Non-competition Period</w:t>
      </w:r>
      <w:r>
        <w:rPr>
          <w:rFonts w:ascii="Arial" w:cs="Arial" w:eastAsia="Arial" w:hAnsi="Arial"/>
          <w:sz w:val="18"/>
          <w:szCs w:val="18"/>
          <w:color w:val="auto"/>
        </w:rPr>
        <w:t>”), Employee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Employee was involved or had knowledge, being conducted by, or contemplated by, Company or any of its subsidiaries as of the termination of Employee’s employment in any geographic area in which Company or any of its subsidiaries is then conducting such business.</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Employee acknowledges that Company’s relationship with its clients, employees, vendors, suppliers and other persons with whom Company has a business relationship (hereinafter referred to as “</w:t>
      </w:r>
      <w:r>
        <w:rPr>
          <w:rFonts w:ascii="Arial" w:cs="Arial" w:eastAsia="Arial" w:hAnsi="Arial"/>
          <w:sz w:val="20"/>
          <w:szCs w:val="20"/>
          <w:b w:val="1"/>
          <w:bCs w:val="1"/>
          <w:i w:val="1"/>
          <w:iCs w:val="1"/>
          <w:color w:val="auto"/>
        </w:rPr>
        <w:t>Prohibited Persons</w:t>
      </w:r>
      <w:r>
        <w:rPr>
          <w:rFonts w:ascii="Arial" w:cs="Arial" w:eastAsia="Arial" w:hAnsi="Arial"/>
          <w:sz w:val="20"/>
          <w:szCs w:val="20"/>
          <w:color w:val="auto"/>
        </w:rPr>
        <w:t>”), are special and unique, and that Company’s relationship with the Prohibited Persons may not be able to be replaced by Company. Employee further acknowledges that the protection of Company’s Prohibited Persons is essential.</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Therefore, Employee expressly covenants and agrees that during Employee’s employment with Company and for a period of twelve (12) months immediately following termination of Employee’s employment for any reason (the “</w:t>
      </w:r>
      <w:r>
        <w:rPr>
          <w:rFonts w:ascii="Arial" w:cs="Arial" w:eastAsia="Arial" w:hAnsi="Arial"/>
          <w:sz w:val="20"/>
          <w:szCs w:val="20"/>
          <w:b w:val="1"/>
          <w:bCs w:val="1"/>
          <w:i w:val="1"/>
          <w:iCs w:val="1"/>
          <w:color w:val="auto"/>
        </w:rPr>
        <w:t>Non-solicitation Period</w:t>
      </w:r>
      <w:r>
        <w:rPr>
          <w:rFonts w:ascii="Arial" w:cs="Arial" w:eastAsia="Arial" w:hAnsi="Arial"/>
          <w:sz w:val="20"/>
          <w:szCs w:val="20"/>
          <w:color w:val="auto"/>
        </w:rPr>
        <w:t>”), Employee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228"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Nondisclosure of Confidential Information</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9"/>
          <w:szCs w:val="19"/>
          <w:color w:val="auto"/>
        </w:rPr>
        <w:t>13.1 Employee recognizes that the knowledge and information about, and relationships with business associates, customers, clients and agents of Company and its affiliated companies, and the business methods, systems, plans, and policies of Company and of its affiliated companies, which Employee may receive, obtain, or establish as an employee of Company are valuable and unique assets of Company or its affiliates. Employee agrees that, during any Employment Period and thereafter, Employee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Employee acknowledges and agrees that all memoranda, notes, records, clients lists, client information and other documents, computer software, data or material in any form made or compiled by Employee or made available to Employee concerning Company’s business is and shall be Company’s exclusive property and shall be delivered by</w:t>
      </w:r>
    </w:p>
    <w:p>
      <w:pPr>
        <w:sectPr>
          <w:pgSz w:w="11900" w:h="16838" w:orient="portrait"/>
          <w:cols w:equalWidth="0" w:num="1">
            <w:col w:w="11240"/>
          </w:cols>
          <w:pgMar w:left="320" w:top="1419"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Employee to Company upon termination of Employee’s employment or at any other time upon the request of Company.</w:t>
      </w:r>
    </w:p>
    <w:p>
      <w:pPr>
        <w:spacing w:after="0" w:line="25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13.2 The restrictions in the above paragraph shall not apply to: (1) information that at the time of disclosure is in the public domain through no fault of Employee’s;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Employee shall provide Company notice of any such required disclosure once Employee has knowledge of it and will help Company to the extent reasonable to obtain an appropriate protective order.</w:t>
      </w:r>
    </w:p>
    <w:p>
      <w:pPr>
        <w:spacing w:after="0" w:line="212" w:lineRule="exact"/>
        <w:rPr>
          <w:sz w:val="20"/>
          <w:szCs w:val="20"/>
          <w:color w:val="auto"/>
        </w:rPr>
      </w:pPr>
    </w:p>
    <w:p>
      <w:pPr>
        <w:jc w:val="both"/>
        <w:ind w:firstLine="1296"/>
        <w:spacing w:after="0" w:line="332" w:lineRule="auto"/>
        <w:rPr>
          <w:sz w:val="20"/>
          <w:szCs w:val="20"/>
          <w:color w:val="auto"/>
        </w:rPr>
      </w:pPr>
      <w:r>
        <w:rPr>
          <w:rFonts w:ascii="Arial" w:cs="Arial" w:eastAsia="Arial" w:hAnsi="Arial"/>
          <w:sz w:val="18"/>
          <w:szCs w:val="18"/>
          <w:color w:val="auto"/>
        </w:rPr>
        <w:t>13.3 Company acknowledges that Employee has had significant prior work experience in the industry in which Company is engaged, and that Employee enters into this Agreement with significant prior knowledge, information and relationships in such industry.</w:t>
      </w:r>
    </w:p>
    <w:p>
      <w:pPr>
        <w:spacing w:after="0" w:line="143"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Enforcement: Remedies, Construction</w:t>
      </w:r>
      <w:r>
        <w:rPr>
          <w:rFonts w:ascii="Arial" w:cs="Arial" w:eastAsia="Arial" w:hAnsi="Arial"/>
          <w:sz w:val="20"/>
          <w:szCs w:val="20"/>
          <w:color w:val="auto"/>
        </w:rPr>
        <w:t>.</w:t>
      </w:r>
    </w:p>
    <w:p>
      <w:pPr>
        <w:spacing w:after="0" w:line="256"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color w:val="auto"/>
        </w:rPr>
        <w:t>14.1 Employee covenants, agrees, and recognizes the breach or threatened breach of the covenants, or any of them, contained in Sections 11, 12 and 13 will result in immediate and irreparable injury to Company and that Company shall be entitled to an injunction restraining Employee or any of his affiliates from any violation of Sections 11, 12 and 13 to the fullest extent allowed by law. Employee further covenants and agrees that in the event of a violation of any of his respective covenants and agreements contained in Sections 11, 12 and 13 hereof, Company shall be entitled to an accounting of all profits, compensation, commissions, remunerations or benefits which Employee directly or indirectly has realized and/or may realize as a result of, growing out of or in connection with any such violation and shall be entitled to receive all such amounts to which Company would be entitled as damages under law or at equity. Nothing herein shall be construed as prohibiting Company from pursuing any other legal or equitable remedies that may be available to it for any such breach or threatened breach.</w:t>
      </w:r>
    </w:p>
    <w:p>
      <w:pPr>
        <w:spacing w:after="0" w:line="20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14.2 Employee agrees that in the event he breaches the covenants, or any of them, contained in Sections 11 and 12, then the Non-competition Period or Non-solicitation Period, as applicable, shall be automatically extended by the length of time any such breach remains continuing.</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Employee hereby expressly acknowledges and agrees as follows:</w:t>
      </w:r>
    </w:p>
    <w:p>
      <w:pPr>
        <w:spacing w:after="0" w:line="256" w:lineRule="exact"/>
        <w:rPr>
          <w:sz w:val="20"/>
          <w:szCs w:val="20"/>
          <w:color w:val="auto"/>
        </w:rPr>
      </w:pPr>
    </w:p>
    <w:p>
      <w:pPr>
        <w:jc w:val="both"/>
        <w:ind w:firstLine="1952"/>
        <w:spacing w:after="0" w:line="257" w:lineRule="auto"/>
        <w:tabs>
          <w:tab w:leader="none" w:pos="2592"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206" w:lineRule="exact"/>
        <w:rPr>
          <w:rFonts w:ascii="Arial" w:cs="Arial" w:eastAsia="Arial" w:hAnsi="Arial"/>
          <w:sz w:val="20"/>
          <w:szCs w:val="20"/>
          <w:color w:val="auto"/>
        </w:rPr>
      </w:pPr>
    </w:p>
    <w:p>
      <w:pPr>
        <w:jc w:val="both"/>
        <w:ind w:firstLine="1952"/>
        <w:spacing w:after="0" w:line="267" w:lineRule="auto"/>
        <w:tabs>
          <w:tab w:leader="none" w:pos="259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w:t>
      </w:r>
    </w:p>
    <w:p>
      <w:pPr>
        <w:sectPr>
          <w:pgSz w:w="11900" w:h="16838" w:orient="portrait"/>
          <w:cols w:equalWidth="0" w:num="1">
            <w:col w:w="11240"/>
          </w:cols>
          <w:pgMar w:left="320" w:top="1419" w:right="339" w:bottom="1440" w:gutter="0" w:footer="0" w:header="0"/>
        </w:sectPr>
      </w:pPr>
    </w:p>
    <w:bookmarkStart w:id="91" w:name="page92"/>
    <w:bookmarkEnd w:id="91"/>
    <w:p>
      <w:pPr>
        <w:jc w:val="both"/>
        <w:spacing w:after="0" w:line="257" w:lineRule="auto"/>
        <w:rPr>
          <w:sz w:val="20"/>
          <w:szCs w:val="20"/>
          <w:color w:val="auto"/>
        </w:rPr>
      </w:pPr>
      <w:r>
        <w:rPr>
          <w:rFonts w:ascii="Arial" w:cs="Arial" w:eastAsia="Arial" w:hAnsi="Arial"/>
          <w:sz w:val="20"/>
          <w:szCs w:val="20"/>
          <w:color w:val="auto"/>
        </w:rPr>
        <w:t>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22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14.4 Nothing in Sections 10 and 11 shall prohibit Employee from being (i) a stockholder in a mutual fund or a diversified investment company or (ii) an owner of not more than two percent of the outstanding stock of any class of a corporation, any securities of which are publicly traded, so long as Employee has no active participation in the business of such corporation.</w:t>
      </w:r>
    </w:p>
    <w:p>
      <w:pPr>
        <w:spacing w:after="0" w:line="202"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rights and obligations of Company under this Agreement shall inure to the benefit of and shall be binding upon the successors and assigns of Company. Employee shall not be entitled to assign any of Employee’s rights or obligations under this Agreement.</w:t>
      </w:r>
    </w:p>
    <w:p>
      <w:pPr>
        <w:spacing w:after="0" w:line="22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Waiver</w:t>
      </w:r>
      <w:r>
        <w:rPr>
          <w:rFonts w:ascii="Arial" w:cs="Arial" w:eastAsia="Arial" w:hAnsi="Arial"/>
          <w:sz w:val="19"/>
          <w:szCs w:val="19"/>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6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Attorneys’ Fees</w:t>
      </w:r>
      <w:r>
        <w:rPr>
          <w:rFonts w:ascii="Arial" w:cs="Arial" w:eastAsia="Arial" w:hAnsi="Arial"/>
          <w:sz w:val="20"/>
          <w:szCs w:val="20"/>
          <w:color w:val="auto"/>
        </w:rPr>
        <w:t>. Each side will bear its own attorneys’ fees in any dispute unless a statutory section at issue, if any, authorizes the award of attorneys’ fees to the prevailing party.</w:t>
      </w:r>
    </w:p>
    <w:p>
      <w:pPr>
        <w:spacing w:after="0" w:line="19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20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 The headings set forth in this Agreement are for convenience only and shall not be used in interpreting this Agreement. This Agreement has been drafted by legal counsel representing Company, but Employee has participated in the negotiation of its terms.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ectPr>
          <w:pgSz w:w="11900" w:h="16838" w:orient="portrait"/>
          <w:cols w:equalWidth="0" w:num="1">
            <w:col w:w="11240"/>
          </w:cols>
          <w:pgMar w:left="320" w:top="1419" w:right="339" w:bottom="1440" w:gutter="0" w:footer="0" w:header="0"/>
        </w:sectPr>
      </w:pPr>
    </w:p>
    <w:bookmarkStart w:id="92" w:name="page93"/>
    <w:bookmarkEnd w:id="92"/>
    <w:p>
      <w:pPr>
        <w:spacing w:after="0" w:line="22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15.6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Agreement.</w:t>
      </w:r>
    </w:p>
    <w:p>
      <w:pPr>
        <w:spacing w:after="0" w:line="22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EMPLOYEE: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Joshua Scutt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Paylocity Corporation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1400 American LN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Schaumburg, IL 60173</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Attention: Amber Livingston, General Counsel</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or at such changed addresses as the parties may designate in writing.</w:t>
      </w:r>
    </w:p>
    <w:p>
      <w:pPr>
        <w:spacing w:after="0" w:line="24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Survival</w:t>
      </w:r>
      <w:r>
        <w:rPr>
          <w:rFonts w:ascii="Arial" w:cs="Arial" w:eastAsia="Arial" w:hAnsi="Arial"/>
          <w:sz w:val="20"/>
          <w:szCs w:val="20"/>
          <w:color w:val="auto"/>
        </w:rPr>
        <w:t>. Sections 7.2 (Termination Without Cause by Company/Severance), 9 (Application of Section 409A), 10 (“No Conflict of Interest”), 11 (“Non-Competition”), 12 (“Non- Solicitation”), 13 (“Nondisclosure of Confidential Information”), 14 (“Enforcement, Remedies and Construction”), 15 (“General Provisions”) and 16 (“Entire Agreement”) of this Agreement shall survive Employee’s employment by Company.</w:t>
      </w:r>
    </w:p>
    <w:p>
      <w:pPr>
        <w:spacing w:after="0" w:line="211" w:lineRule="exact"/>
        <w:rPr>
          <w:sz w:val="20"/>
          <w:szCs w:val="20"/>
          <w:color w:val="auto"/>
        </w:rPr>
      </w:pPr>
    </w:p>
    <w:p>
      <w:pPr>
        <w:jc w:val="both"/>
        <w:ind w:firstLine="656"/>
        <w:spacing w:after="0" w:line="255" w:lineRule="auto"/>
        <w:tabs>
          <w:tab w:leader="none" w:pos="129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appear on following page</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93" w:name="page94"/>
    <w:bookmarkEnd w:id="93"/>
    <w:p>
      <w:pPr>
        <w:jc w:val="both"/>
        <w:spacing w:after="0" w:line="257" w:lineRule="auto"/>
        <w:rPr>
          <w:sz w:val="20"/>
          <w:szCs w:val="20"/>
          <w:color w:val="auto"/>
        </w:rPr>
      </w:pPr>
      <w:r>
        <w:rPr>
          <w:rFonts w:ascii="Arial" w:cs="Arial" w:eastAsia="Arial" w:hAnsi="Arial"/>
          <w:sz w:val="20"/>
          <w:szCs w:val="20"/>
          <w:color w:val="auto"/>
        </w:rPr>
        <w:t>THE PARTIES TO THIS AGREEMENT HAVE READ THE FOREGOING AGREEMENT AND FULLY UNDERSTAND EACH AND EVERY PROVISION CONTAINED HEREIN. WHEREFORE, THE PARTIES HAVE EXECUTED THIS AGREEMENT ON THE DATES SHOWN BELOW.</w:t>
      </w:r>
    </w:p>
    <w:p>
      <w:pPr>
        <w:spacing w:after="0" w:line="200" w:lineRule="exact"/>
        <w:rPr>
          <w:sz w:val="20"/>
          <w:szCs w:val="20"/>
          <w:color w:val="auto"/>
        </w:rPr>
      </w:pPr>
    </w:p>
    <w:p>
      <w:pPr>
        <w:spacing w:after="0" w:line="303" w:lineRule="exact"/>
        <w:rPr>
          <w:sz w:val="20"/>
          <w:szCs w:val="20"/>
          <w:color w:val="auto"/>
        </w:rPr>
      </w:pPr>
    </w:p>
    <w:tbl>
      <w:tblPr>
        <w:tblLayout w:type="fixed"/>
        <w:tblInd w:w="5380" w:type="dxa"/>
        <w:tblCellMar>
          <w:top w:w="0" w:type="dxa"/>
          <w:left w:w="0" w:type="dxa"/>
          <w:bottom w:w="0" w:type="dxa"/>
          <w:right w:w="0" w:type="dxa"/>
        </w:tblCellMar>
      </w:tblPr>
      <w:tr>
        <w:trPr>
          <w:trHeight w:val="250"/>
        </w:trPr>
        <w:tc>
          <w:tcPr>
            <w:tcW w:w="50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20"/>
                <w:szCs w:val="20"/>
                <w:color w:val="auto"/>
              </w:rPr>
              <w:t>Joshua Scutt</w:t>
            </w:r>
          </w:p>
        </w:tc>
      </w:tr>
      <w:tr>
        <w:trPr>
          <w:trHeight w:val="261"/>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Joshua Scutt</w:t>
            </w:r>
          </w:p>
        </w:tc>
      </w:tr>
      <w:tr>
        <w:trPr>
          <w:trHeight w:val="502"/>
        </w:trPr>
        <w:tc>
          <w:tcPr>
            <w:tcW w:w="50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20"/>
                <w:szCs w:val="20"/>
                <w:color w:val="auto"/>
              </w:rPr>
              <w:t>Paylocity Corporation</w:t>
            </w:r>
          </w:p>
        </w:tc>
      </w:tr>
      <w:tr>
        <w:trPr>
          <w:trHeight w:val="252"/>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Steven R. Beauchamp</w:t>
            </w:r>
          </w:p>
        </w:tc>
      </w:tr>
      <w:tr>
        <w:trPr>
          <w:trHeight w:val="244"/>
        </w:trPr>
        <w:tc>
          <w:tcPr>
            <w:tcW w:w="500" w:type="dxa"/>
            <w:vAlign w:val="bottom"/>
          </w:tcPr>
          <w:p>
            <w:pPr>
              <w:spacing w:after="0"/>
              <w:rPr>
                <w:sz w:val="21"/>
                <w:szCs w:val="21"/>
                <w:color w:val="auto"/>
              </w:rPr>
            </w:pPr>
          </w:p>
        </w:tc>
        <w:tc>
          <w:tcPr>
            <w:tcW w:w="5360" w:type="dxa"/>
            <w:vAlign w:val="bottom"/>
          </w:tcPr>
          <w:p>
            <w:pPr>
              <w:ind w:left="140"/>
              <w:spacing w:after="0"/>
              <w:rPr>
                <w:sz w:val="20"/>
                <w:szCs w:val="20"/>
                <w:color w:val="auto"/>
              </w:rPr>
            </w:pPr>
            <w:r>
              <w:rPr>
                <w:rFonts w:ascii="Arial" w:cs="Arial" w:eastAsia="Arial" w:hAnsi="Arial"/>
                <w:sz w:val="20"/>
                <w:szCs w:val="20"/>
                <w:color w:val="auto"/>
              </w:rPr>
              <w:t>Steven R. Beauchamp</w:t>
            </w:r>
          </w:p>
        </w:tc>
      </w:tr>
      <w:tr>
        <w:trPr>
          <w:trHeight w:val="253"/>
        </w:trPr>
        <w:tc>
          <w:tcPr>
            <w:tcW w:w="500" w:type="dxa"/>
            <w:vAlign w:val="bottom"/>
          </w:tcPr>
          <w:p>
            <w:pPr>
              <w:spacing w:after="0"/>
              <w:rPr>
                <w:sz w:val="22"/>
                <w:szCs w:val="22"/>
                <w:color w:val="auto"/>
              </w:rPr>
            </w:pPr>
          </w:p>
        </w:tc>
        <w:tc>
          <w:tcPr>
            <w:tcW w:w="536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19" w:right="339" w:bottom="1440" w:gutter="0" w:footer="0" w:header="0"/>
        </w:sectPr>
      </w:pPr>
    </w:p>
    <w:bookmarkStart w:id="94" w:name="page95"/>
    <w:bookmarkEnd w:id="94"/>
    <w:p>
      <w:pPr>
        <w:ind w:left="10120"/>
        <w:spacing w:after="0"/>
        <w:rPr>
          <w:sz w:val="20"/>
          <w:szCs w:val="20"/>
          <w:color w:val="auto"/>
        </w:rPr>
      </w:pPr>
      <w:r>
        <w:rPr>
          <w:rFonts w:ascii="Arial" w:cs="Arial" w:eastAsia="Arial" w:hAnsi="Arial"/>
          <w:sz w:val="18"/>
          <w:szCs w:val="18"/>
          <w:b w:val="1"/>
          <w:bCs w:val="1"/>
          <w:color w:val="auto"/>
        </w:rPr>
        <w:t>Exhibit 10.16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spacing w:after="0" w:line="27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Paylocity Corporation, an Illinois corporation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Katherine Ross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effective as of 12/1/2022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agree as follows:</w:t>
      </w:r>
    </w:p>
    <w:p>
      <w:pPr>
        <w:spacing w:after="0" w:line="256" w:lineRule="exact"/>
        <w:rPr>
          <w:sz w:val="20"/>
          <w:szCs w:val="20"/>
          <w:color w:val="auto"/>
        </w:rPr>
      </w:pPr>
    </w:p>
    <w:p>
      <w:pPr>
        <w:ind w:firstLine="656"/>
        <w:spacing w:after="0" w:line="260" w:lineRule="auto"/>
        <w:tabs>
          <w:tab w:leader="none" w:pos="1296"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Company hereby employs Employee, and Employee hereby accepts such employment, upon the terms and conditions set forth herein.</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Employee is employed as Senior Vice President, Operations and shall have the duties and responsibilities assigned by Company’s Co-Chief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Employee shall perform faithfully and diligently all duties assigned to Employee. Company reserves the right to modify Employee’s position and duties at any time in its sole and absolute discretion.</w:t>
      </w:r>
    </w:p>
    <w:p>
      <w:pPr>
        <w:spacing w:after="0" w:line="167"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Employee will expend Employee’s best efforts on behalf of Company, and will abide by all policies and decisions made by Company, as well as all applicable federal, state and local laws, regulations or ordinances. Employee will act in the best interest of Company at all times. Employee shall devote Employee’s full business time and efforts to the performance of Employee’s assigned duties for Company, unless Employee notifies the CEO in advance of Employee’s intent to engage in other paid work and receives the CEO’s express written consent to do so. Notwithstanding the foregoing, Employee will be permitted to serve as an outside director on the board of directors for nonprofit or charitable entities or managing Employee’s personal financial and legal affairs, so long as the foregoing activities, provided such entities are not competitive with Company and subject to the provisions of Section 10 below.</w:t>
      </w:r>
    </w:p>
    <w:p>
      <w:pPr>
        <w:spacing w:after="0" w:line="189" w:lineRule="exact"/>
        <w:rPr>
          <w:sz w:val="20"/>
          <w:szCs w:val="20"/>
          <w:color w:val="auto"/>
        </w:rPr>
      </w:pPr>
    </w:p>
    <w:p>
      <w:pPr>
        <w:jc w:val="both"/>
        <w:ind w:firstLine="656"/>
        <w:spacing w:after="0" w:line="252" w:lineRule="auto"/>
        <w:tabs>
          <w:tab w:leader="none" w:pos="129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Employee’s employment with Company is at-will and not for any specified period and may be terminated at any time, with or without cause (as defined below) or advance notice, by either Employee or Company. No representative of Company, other than the CEO or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has the authority to alter the at-will employment relationship. Any change to the at-will employment relationship must be by specific, written agreement signed by Employee and the CEO or a duly-authorized representative of the Board. Nothing in this Agreement is intended to or should be construed to contradict, modify or alter this at-will relationship.</w:t>
      </w:r>
    </w:p>
    <w:p>
      <w:pPr>
        <w:spacing w:after="0" w:line="225" w:lineRule="exact"/>
        <w:rPr>
          <w:rFonts w:ascii="Arial" w:cs="Arial" w:eastAsia="Arial" w:hAnsi="Arial"/>
          <w:sz w:val="20"/>
          <w:szCs w:val="20"/>
          <w:color w:val="auto"/>
        </w:rPr>
      </w:pPr>
    </w:p>
    <w:p>
      <w:pPr>
        <w:ind w:left="1300" w:hanging="644"/>
        <w:spacing w:after="0"/>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As compensation for Employee’s performance of Employee’s duties hereunder, Company shall pay to Employee an annual base salary of $400,000, less required deductions for state and federal withholding tax, social security and all other employment taxes and payroll deductions, payable in accordance with the normal payroll practices of Company. Beginning in fiscal year 2023, the Compensation Committee of the Board shall conduct an annual review of Employee’s base salary based on third party comparison data and internal management recommendations. The salary change, if any, will be consistent with the timing of the salary adjustments of other senior Employees of Company. In the event Employee’s employment under this Agreement is terminated by either party, for any reason, Employee will earn the base salary prorated to the date of termination.</w:t>
      </w:r>
    </w:p>
    <w:p>
      <w:pPr>
        <w:sectPr>
          <w:pgSz w:w="11900" w:h="16838" w:orient="portrait"/>
          <w:cols w:equalWidth="0" w:num="1">
            <w:col w:w="11240"/>
          </w:cols>
          <w:pgMar w:left="320" w:top="1143" w:right="339" w:bottom="1440" w:gutter="0" w:footer="0" w:header="0"/>
        </w:sectPr>
      </w:pPr>
    </w:p>
    <w:bookmarkStart w:id="95" w:name="page96"/>
    <w:bookmarkEnd w:id="95"/>
    <w:p>
      <w:pPr>
        <w:jc w:val="both"/>
        <w:ind w:firstLine="1296"/>
        <w:spacing w:after="0" w:line="28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Employee will be eligible to earn an annual incentive bonus, the target amount of which shall be a percentage as determined by the Company’s Compensation Committee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The target amount of the Annual Bonus for fiscal year 2023 shall be 55% of Employee’s annualized base salary. The Annual Bonus will be based on Employee’s achievement of certain goals, as well as Company metrics which shall be established by the Company’s Board. The Annual Bonus shall be less all required taxes and withholdings and will be paid out within 60 days following the end of the fiscal year in which it is earned.</w:t>
      </w:r>
    </w:p>
    <w:p>
      <w:pPr>
        <w:spacing w:after="0" w:line="19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Equity Incentive Grants</w:t>
      </w:r>
      <w:r>
        <w:rPr>
          <w:rFonts w:ascii="Arial" w:cs="Arial" w:eastAsia="Arial" w:hAnsi="Arial"/>
          <w:sz w:val="20"/>
          <w:szCs w:val="20"/>
          <w:color w:val="auto"/>
        </w:rPr>
        <w:t>. Beginning in fiscal 2023, Employee shall be eligible to receive long-term equity incentives, as determined during the annual review conducted by the Compensation Committee and the Board.</w:t>
      </w:r>
    </w:p>
    <w:p>
      <w:pPr>
        <w:spacing w:after="0" w:line="190" w:lineRule="exact"/>
        <w:rPr>
          <w:sz w:val="20"/>
          <w:szCs w:val="20"/>
          <w:color w:val="auto"/>
        </w:rPr>
      </w:pPr>
    </w:p>
    <w:p>
      <w:pPr>
        <w:jc w:val="both"/>
        <w:ind w:firstLine="1952"/>
        <w:spacing w:after="0" w:line="290" w:lineRule="auto"/>
        <w:tabs>
          <w:tab w:leader="none" w:pos="2592" w:val="left"/>
        </w:tabs>
        <w:numPr>
          <w:ilvl w:val="2"/>
          <w:numId w:val="63"/>
        </w:numPr>
        <w:rPr>
          <w:rFonts w:ascii="Arial" w:cs="Arial" w:eastAsia="Arial" w:hAnsi="Arial"/>
          <w:sz w:val="18"/>
          <w:szCs w:val="18"/>
          <w:color w:val="auto"/>
        </w:rPr>
      </w:pPr>
      <w:r>
        <w:rPr>
          <w:rFonts w:ascii="Arial" w:cs="Arial" w:eastAsia="Arial" w:hAnsi="Arial"/>
          <w:sz w:val="18"/>
          <w:szCs w:val="18"/>
          <w:color w:val="auto"/>
        </w:rPr>
        <w:t>Immediately prior to the consummation of a Change in Control, the vesting of all unvested shares subject to outstanding equity awards with time-based vesting issued to Employee by Parent shall be accelerated in full and, if applicable, such equity awards shall become exercisable or shall be settled in full immediately prior to such Change in Control provided that Employee’s employment with Company or Parent has not terminated prior to such Change in Control. For the purposes of this Agreement, “</w:t>
      </w:r>
      <w:r>
        <w:rPr>
          <w:rFonts w:ascii="Arial" w:cs="Arial" w:eastAsia="Arial" w:hAnsi="Arial"/>
          <w:sz w:val="18"/>
          <w:szCs w:val="18"/>
          <w:b w:val="1"/>
          <w:bCs w:val="1"/>
          <w:i w:val="1"/>
          <w:iCs w:val="1"/>
          <w:color w:val="auto"/>
        </w:rPr>
        <w:t>Change 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shall have the meaning set forth in Company’s 2014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1952"/>
        <w:spacing w:after="0" w:line="279" w:lineRule="auto"/>
        <w:tabs>
          <w:tab w:leader="none" w:pos="2592"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Employee’s employment with Company terminates due to Employee’s death or Employee’s Disability (as such term is defined in the Plan), (i) the vesting of all unvested shares subject to outstanding equity awards with time-based vesting issued to Employee by Parent shall be accelerated in full and, if applicable, such equity awards shall become exercisable or shall be settled in full and</w:t>
      </w:r>
    </w:p>
    <w:p>
      <w:pPr>
        <w:jc w:val="both"/>
        <w:ind w:firstLine="8"/>
        <w:spacing w:after="0" w:line="249" w:lineRule="auto"/>
        <w:tabs>
          <w:tab w:leader="none" w:pos="312"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unvested shares subject to outstanding equity awards with performance-based vesting shall remain outstanding, and vest based on actual achievement of the underlying performance goals, with Employee receiving a pro-rated portion of the performance-based award (based on the number of calendar days in the performance period that Employee was employed over the total number of calendar days in the performance period), and, if applicable, such equity awards shall become exercisable or shall be settled to the extent vested upon such determination.</w:t>
      </w:r>
    </w:p>
    <w:p>
      <w:pPr>
        <w:spacing w:after="0" w:line="230" w:lineRule="exact"/>
        <w:rPr>
          <w:rFonts w:ascii="Arial" w:cs="Arial" w:eastAsia="Arial" w:hAnsi="Arial"/>
          <w:sz w:val="20"/>
          <w:szCs w:val="20"/>
          <w:color w:val="auto"/>
        </w:rPr>
      </w:pPr>
    </w:p>
    <w:p>
      <w:pPr>
        <w:jc w:val="both"/>
        <w:ind w:firstLine="656"/>
        <w:spacing w:after="0" w:line="277" w:lineRule="auto"/>
        <w:tabs>
          <w:tab w:leader="none" w:pos="1296"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Customary Fringe Benefits</w:t>
      </w:r>
      <w:r>
        <w:rPr>
          <w:rFonts w:ascii="Arial" w:cs="Arial" w:eastAsia="Arial" w:hAnsi="Arial"/>
          <w:sz w:val="19"/>
          <w:szCs w:val="19"/>
          <w:color w:val="auto"/>
        </w:rPr>
        <w:t>. Employee will be eligible for all customary and usual fringe benefits generally available to Employees of Company subject to the terms and conditions of Company’s benefit plan documents. Company reserves the right to change or eliminate the fringe benefits on a prospective basis, at any time, effective upon notice to Employee.</w:t>
      </w:r>
    </w:p>
    <w:p>
      <w:pPr>
        <w:spacing w:after="0" w:line="201" w:lineRule="exact"/>
        <w:rPr>
          <w:rFonts w:ascii="Arial" w:cs="Arial" w:eastAsia="Arial" w:hAnsi="Arial"/>
          <w:sz w:val="19"/>
          <w:szCs w:val="19"/>
          <w:color w:val="auto"/>
        </w:rPr>
      </w:pPr>
    </w:p>
    <w:p>
      <w:pPr>
        <w:jc w:val="both"/>
        <w:ind w:firstLine="656"/>
        <w:spacing w:after="0" w:line="285" w:lineRule="auto"/>
        <w:tabs>
          <w:tab w:leader="none" w:pos="129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Employee will be reimbursed for all reasonable, out-of-pocket business expenses incurred in the performance of Employee’s duties on behalf of Company, including reasonable out-of-pocket expenses associated with Employee’s travel as approved by the CEO. To obtain reimbursement, expenses must be submitted promptly with appropriate supporting documentation and will be reimbursed in accordance with Company’s policies. Any reimbursement Employee is entitled to receive shall (a) be paid no later than the last day of Employee’s tax year following the tax year in which the expense was incurred, (b) not be affected by any other expenses that are eligible for reimbursement in any tax year and (c) not be subject to liquidation or exchange for another benefit.</w:t>
      </w:r>
    </w:p>
    <w:p>
      <w:pPr>
        <w:sectPr>
          <w:pgSz w:w="11900" w:h="16838" w:orient="portrait"/>
          <w:cols w:equalWidth="0" w:num="1">
            <w:col w:w="11240"/>
          </w:cols>
          <w:pgMar w:left="320" w:top="933" w:right="339" w:bottom="1440" w:gutter="0" w:footer="0" w:header="0"/>
        </w:sectPr>
      </w:pPr>
    </w:p>
    <w:bookmarkStart w:id="96" w:name="page97"/>
    <w:bookmarkEnd w:id="96"/>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Termination of Employee’s Employment</w:t>
      </w:r>
      <w:r>
        <w:rPr>
          <w:rFonts w:ascii="Arial" w:cs="Arial" w:eastAsia="Arial" w:hAnsi="Arial"/>
          <w:sz w:val="20"/>
          <w:szCs w:val="20"/>
          <w:color w:val="auto"/>
        </w:rPr>
        <w:t>.</w:t>
      </w:r>
    </w:p>
    <w:p>
      <w:pPr>
        <w:spacing w:after="0" w:line="256"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Company may terminate Employee’s employment immediately at any time for Cause. 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is defined as: (i) material dishonest or fraudulent behavior, or convictions of a felony; (ii) the material breach of any covenant contained or referred to in this Agreement; (iii) the failure of Employee to meet fair and reasonable performance standards established by Company from time to time; (iv) Employee’s failure or refusal to perform specific directives of CEO, which directives are consistent with the scope and nature of Employee’s duties and responsibilities, and which are not remedied by Employee within thirty (30) days after written notice; (v) any violation of the covenant not to disclose confidential information regarding the business of Company and its products as set forth in Section 7 of this Agreement; or (vi) any act of material dishonesty by Employee which adversely affects the business of Company. In the event Employee’s employment is terminated in accordance with this subsection 7.1, Employee shall be entitled to receive only Employee’s base salary then in effect, prorated to the date of termination and all benefits accrued through the date of termination (“</w:t>
      </w:r>
      <w:r>
        <w:rPr>
          <w:rFonts w:ascii="Arial" w:cs="Arial" w:eastAsia="Arial" w:hAnsi="Arial"/>
          <w:sz w:val="16"/>
          <w:szCs w:val="16"/>
          <w:b w:val="1"/>
          <w:bCs w:val="1"/>
          <w:i w:val="1"/>
          <w:iCs w:val="1"/>
          <w:color w:val="auto"/>
        </w:rPr>
        <w:t>Accrued Benefits</w:t>
      </w:r>
      <w:r>
        <w:rPr>
          <w:rFonts w:ascii="Arial" w:cs="Arial" w:eastAsia="Arial" w:hAnsi="Arial"/>
          <w:sz w:val="16"/>
          <w:szCs w:val="16"/>
          <w:color w:val="auto"/>
        </w:rPr>
        <w:t>”). All other Company obligations to Employee pursuant to this Agreement will become automatically terminated and completely extinguished. Employee will not be entitled to receive the Severance Payment described in subsection 7.2 below.</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Without Cause by Company/Severance</w:t>
      </w:r>
      <w:r>
        <w:rPr>
          <w:rFonts w:ascii="Arial" w:cs="Arial" w:eastAsia="Arial" w:hAnsi="Arial"/>
          <w:sz w:val="18"/>
          <w:szCs w:val="18"/>
          <w:color w:val="auto"/>
        </w:rPr>
        <w:t>. Company may terminate Employee’s employment under this Agreement without Cause at any time on thirty (30) days’ advance written notice to Employee. In the event of such termination, Employee will receive Employee’s base salary then in effect, prorated to the date of termination, and Accrued Benefits. In addition, Employee will receive a “</w:t>
      </w:r>
      <w:r>
        <w:rPr>
          <w:rFonts w:ascii="Arial" w:cs="Arial" w:eastAsia="Arial" w:hAnsi="Arial"/>
          <w:sz w:val="18"/>
          <w:szCs w:val="18"/>
          <w:b w:val="1"/>
          <w:bCs w:val="1"/>
          <w:i w:val="1"/>
          <w:iCs w:val="1"/>
          <w:color w:val="auto"/>
        </w:rPr>
        <w:t>Severance Payment</w:t>
      </w:r>
      <w:r>
        <w:rPr>
          <w:rFonts w:ascii="Arial" w:cs="Arial" w:eastAsia="Arial" w:hAnsi="Arial"/>
          <w:sz w:val="18"/>
          <w:szCs w:val="18"/>
          <w:color w:val="auto"/>
        </w:rPr>
        <w:t>” equivalent to twelve (12) months of Employee’s base salary then in effect on the date of termination, payable as salary continuation in equal installments in accordance with Company’s regular payroll cycle over a twelve (12) month period, beginning on the first regular payday occurring 60 days following the termination date. Employee will only receive the Severance Payment if Employee executes a full general release in a form acceptable to Company, releasing all claims, known or unknown, that Employee may have against Company arising out of or any way related to Employee’s employment or termination of employment with Company, and such release has become effective in accordance with its terms prior to the 60th day following the termination date. All other Company obligations to Employee will be automatically terminated and completely extinguished. If Employee’s employment with Company terminates due to Employee’s death or Employee’s inability to perform the essential functions of Employee’s position with or without reasonable accommodation, Employee shall not be entitled to the Severance Payment described above.</w:t>
      </w:r>
    </w:p>
    <w:p>
      <w:pPr>
        <w:spacing w:after="0" w:line="19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Voluntary Resignation by Employee</w:t>
      </w:r>
      <w:r>
        <w:rPr>
          <w:rFonts w:ascii="Arial" w:cs="Arial" w:eastAsia="Arial" w:hAnsi="Arial"/>
          <w:sz w:val="20"/>
          <w:szCs w:val="20"/>
          <w:color w:val="auto"/>
        </w:rPr>
        <w:t>. Employee may voluntarily resign Employee’s position with Company at any time on thirty (30) days’ advance written notice. In the event of Employee’s voluntary resignation, Employee will be entitled to receive only Accrued Benefits for the thirty-day notice period and no other amount. All other Company obligations to Employee pursuant to this Agreement will become automatically terminated and completely extinguished. In addition, Employee will not be entitled to receive the Severance Payment described in subsection 7.2 above.</w:t>
      </w:r>
    </w:p>
    <w:p>
      <w:pPr>
        <w:spacing w:after="0" w:line="209" w:lineRule="exact"/>
        <w:rPr>
          <w:sz w:val="20"/>
          <w:szCs w:val="20"/>
          <w:color w:val="auto"/>
        </w:rPr>
      </w:pPr>
    </w:p>
    <w:p>
      <w:pPr>
        <w:ind w:firstLine="656"/>
        <w:spacing w:after="0" w:line="301"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Resignation of Board or Other Positions</w:t>
      </w:r>
      <w:r>
        <w:rPr>
          <w:rFonts w:ascii="Arial" w:cs="Arial" w:eastAsia="Arial" w:hAnsi="Arial"/>
          <w:sz w:val="19"/>
          <w:szCs w:val="19"/>
          <w:color w:val="auto"/>
        </w:rPr>
        <w:t>. Upon the termination of Employee’s employment for any reason, Employee agrees to immediately resign all other positions (including Board membership) Employee may hold on behalf of Company.</w:t>
      </w:r>
    </w:p>
    <w:p>
      <w:pPr>
        <w:sectPr>
          <w:pgSz w:w="11900" w:h="16838" w:orient="portrait"/>
          <w:cols w:equalWidth="0" w:num="1">
            <w:col w:w="11240"/>
          </w:cols>
          <w:pgMar w:left="320" w:top="933" w:right="339" w:bottom="1440" w:gutter="0" w:footer="0" w:header="0"/>
        </w:sectPr>
      </w:pPr>
    </w:p>
    <w:bookmarkStart w:id="97" w:name="page98"/>
    <w:bookmarkEnd w:id="97"/>
    <w:p>
      <w:pPr>
        <w:ind w:left="644" w:hanging="644"/>
        <w:spacing w:after="0"/>
        <w:tabs>
          <w:tab w:leader="none" w:pos="644"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Application of Section 409A</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56" w:firstLine="1952"/>
        <w:spacing w:after="0" w:line="263" w:lineRule="auto"/>
        <w:tabs>
          <w:tab w:leader="none" w:pos="1936"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9"/>
          <w:szCs w:val="19"/>
          <w:b w:val="1"/>
          <w:bCs w:val="1"/>
          <w:i w:val="1"/>
          <w:iCs w:val="1"/>
          <w:color w:val="auto"/>
        </w:rPr>
        <w:t>Section 409A Regulations</w:t>
      </w:r>
      <w:r>
        <w:rPr>
          <w:rFonts w:ascii="Arial" w:cs="Arial" w:eastAsia="Arial" w:hAnsi="Arial"/>
          <w:sz w:val="19"/>
          <w:szCs w:val="19"/>
          <w:color w:val="auto"/>
        </w:rPr>
        <w:t>”) shall be paid unless and until Employee has incurred a “separation from service” within the meaning of the Section 409A Regulations.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Arial" w:cs="Arial" w:eastAsia="Arial" w:hAnsi="Arial"/>
          <w:sz w:val="19"/>
          <w:szCs w:val="19"/>
          <w:b w:val="1"/>
          <w:bCs w:val="1"/>
          <w:i w:val="1"/>
          <w:iCs w:val="1"/>
          <w:color w:val="auto"/>
        </w:rPr>
        <w:t>Delayed Payment Date</w:t>
      </w:r>
      <w:r>
        <w:rPr>
          <w:rFonts w:ascii="Arial" w:cs="Arial" w:eastAsia="Arial" w:hAnsi="Arial"/>
          <w:sz w:val="19"/>
          <w:szCs w:val="19"/>
          <w:color w:val="auto"/>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spacing w:after="0" w:line="221" w:lineRule="exact"/>
        <w:rPr>
          <w:rFonts w:ascii="Arial" w:cs="Arial" w:eastAsia="Arial" w:hAnsi="Arial"/>
          <w:sz w:val="19"/>
          <w:szCs w:val="19"/>
          <w:color w:val="auto"/>
        </w:rPr>
      </w:pPr>
    </w:p>
    <w:p>
      <w:pPr>
        <w:jc w:val="both"/>
        <w:ind w:left="-656" w:firstLine="1952"/>
        <w:spacing w:after="0" w:line="267" w:lineRule="auto"/>
        <w:tabs>
          <w:tab w:leader="none" w:pos="1936"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9"/>
          <w:szCs w:val="19"/>
          <w:b w:val="1"/>
          <w:bCs w:val="1"/>
          <w:color w:val="auto"/>
        </w:rPr>
        <w:t>However, Company does not guarantee any particular tax effect for income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provided to Employee pursuant to this Agreement. </w:t>
      </w:r>
      <w:r>
        <w:rPr>
          <w:rFonts w:ascii="Arial" w:cs="Arial" w:eastAsia="Arial" w:hAnsi="Arial"/>
          <w:sz w:val="19"/>
          <w:szCs w:val="19"/>
          <w:color w:val="auto"/>
        </w:rPr>
        <w:t>In any event, except for Company’s responsibility to withhold applicable income and</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taxes from compensation paid or provided to Employee, Company shall not be responsible for the payment of any applicable taxes on compensation paid or provided to Employee pursuant to this Agreement.</w:t>
      </w:r>
    </w:p>
    <w:p>
      <w:pPr>
        <w:spacing w:after="0" w:line="215" w:lineRule="exact"/>
        <w:rPr>
          <w:rFonts w:ascii="Arial" w:cs="Arial" w:eastAsia="Arial" w:hAnsi="Arial"/>
          <w:sz w:val="19"/>
          <w:szCs w:val="19"/>
          <w:color w:val="auto"/>
        </w:rPr>
      </w:pPr>
    </w:p>
    <w:p>
      <w:pPr>
        <w:jc w:val="both"/>
        <w:ind w:left="-656" w:firstLine="1952"/>
        <w:spacing w:after="0" w:line="265" w:lineRule="auto"/>
        <w:tabs>
          <w:tab w:leader="none" w:pos="1936"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Arial" w:cs="Arial" w:eastAsia="Arial" w:hAnsi="Arial"/>
          <w:sz w:val="19"/>
          <w:szCs w:val="19"/>
          <w:b w:val="1"/>
          <w:bCs w:val="1"/>
          <w:color w:val="auto"/>
        </w:rPr>
        <w:t>.</w:t>
      </w:r>
    </w:p>
    <w:p>
      <w:pPr>
        <w:spacing w:after="0" w:line="213" w:lineRule="exact"/>
        <w:rPr>
          <w:rFonts w:ascii="Arial" w:cs="Arial" w:eastAsia="Arial" w:hAnsi="Arial"/>
          <w:sz w:val="19"/>
          <w:szCs w:val="19"/>
          <w:color w:val="auto"/>
        </w:rPr>
      </w:pPr>
    </w:p>
    <w:p>
      <w:pPr>
        <w:ind w:left="-656" w:firstLine="1952"/>
        <w:spacing w:after="0" w:line="274" w:lineRule="auto"/>
        <w:tabs>
          <w:tab w:leader="none" w:pos="1936" w:val="left"/>
        </w:tabs>
        <w:numPr>
          <w:ilvl w:val="1"/>
          <w:numId w:val="67"/>
        </w:numPr>
        <w:rPr>
          <w:rFonts w:ascii="Arial" w:cs="Arial" w:eastAsia="Arial" w:hAnsi="Arial"/>
          <w:sz w:val="20"/>
          <w:szCs w:val="20"/>
          <w:color w:val="auto"/>
        </w:rPr>
      </w:pPr>
      <w:r>
        <w:rPr>
          <w:rFonts w:ascii="Arial" w:cs="Arial" w:eastAsia="Arial" w:hAnsi="Arial"/>
          <w:sz w:val="20"/>
          <w:szCs w:val="20"/>
          <w:color w:val="auto"/>
        </w:rPr>
        <w:t>For purposes of Section 409A of the Code, the right to a series of installment payments under this Agreement shall be treated as a right to a series of separate payments.</w:t>
      </w:r>
    </w:p>
    <w:p>
      <w:pPr>
        <w:spacing w:after="0" w:line="190" w:lineRule="exact"/>
        <w:rPr>
          <w:rFonts w:ascii="Arial" w:cs="Arial" w:eastAsia="Arial" w:hAnsi="Arial"/>
          <w:sz w:val="20"/>
          <w:szCs w:val="20"/>
          <w:color w:val="auto"/>
        </w:rPr>
      </w:pPr>
    </w:p>
    <w:p>
      <w:pPr>
        <w:jc w:val="both"/>
        <w:ind w:left="-656" w:firstLine="656"/>
        <w:spacing w:after="0" w:line="284"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Conflict of Interest</w:t>
      </w:r>
      <w:r>
        <w:rPr>
          <w:rFonts w:ascii="Arial" w:cs="Arial" w:eastAsia="Arial" w:hAnsi="Arial"/>
          <w:sz w:val="18"/>
          <w:szCs w:val="18"/>
          <w:color w:val="auto"/>
        </w:rPr>
        <w:t>. During the term of Employee’s employment with Company, Employee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Employee’s employment with Company, as may be determined by Company in its sole discretion. If Company believes such a conflict exists during the term of this Agreement, Company may ask Employee to, and Employee shall, discontinue the other work and/or activities or resign employment with Company.</w:t>
      </w:r>
    </w:p>
    <w:p>
      <w:pPr>
        <w:spacing w:after="0" w:line="188" w:lineRule="exact"/>
        <w:rPr>
          <w:rFonts w:ascii="Arial" w:cs="Arial" w:eastAsia="Arial" w:hAnsi="Arial"/>
          <w:sz w:val="18"/>
          <w:szCs w:val="18"/>
          <w:color w:val="auto"/>
        </w:rPr>
      </w:pPr>
    </w:p>
    <w:p>
      <w:pPr>
        <w:jc w:val="both"/>
        <w:ind w:left="-656" w:firstLine="656"/>
        <w:spacing w:after="0" w:line="284"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Employee agrees that during Employee’s employment with Company and for a period of twelve (12) months immediately following termination of such employment for any reason (the “</w:t>
      </w:r>
      <w:r>
        <w:rPr>
          <w:rFonts w:ascii="Arial" w:cs="Arial" w:eastAsia="Arial" w:hAnsi="Arial"/>
          <w:sz w:val="18"/>
          <w:szCs w:val="18"/>
          <w:b w:val="1"/>
          <w:bCs w:val="1"/>
          <w:i w:val="1"/>
          <w:iCs w:val="1"/>
          <w:color w:val="auto"/>
        </w:rPr>
        <w:t>Non-competition Period</w:t>
      </w:r>
      <w:r>
        <w:rPr>
          <w:rFonts w:ascii="Arial" w:cs="Arial" w:eastAsia="Arial" w:hAnsi="Arial"/>
          <w:sz w:val="18"/>
          <w:szCs w:val="18"/>
          <w:color w:val="auto"/>
        </w:rPr>
        <w:t>”), Employee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Employee was involved or had knowledge, being conducted by, or contemplated by, Company or any of its subsidiaries as of the termination of Employee’s employment in any geographic area in which Company or any of its subsidiaries is then conducting such business.</w:t>
      </w:r>
    </w:p>
    <w:p>
      <w:pPr>
        <w:sectPr>
          <w:pgSz w:w="11900" w:h="16838" w:orient="portrait"/>
          <w:cols w:equalWidth="0" w:num="1">
            <w:col w:w="10584"/>
          </w:cols>
          <w:pgMar w:left="976" w:top="933" w:right="339" w:bottom="1440" w:gutter="0" w:footer="0" w:header="0"/>
        </w:sectPr>
      </w:pPr>
    </w:p>
    <w:bookmarkStart w:id="98" w:name="page99"/>
    <w:bookmarkEnd w:id="98"/>
    <w:p>
      <w:pPr>
        <w:jc w:val="both"/>
        <w:ind w:firstLine="656"/>
        <w:spacing w:after="0" w:line="255" w:lineRule="auto"/>
        <w:tabs>
          <w:tab w:leader="none" w:pos="1296"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Employee acknowledges that Company’s relationship with its clients, employees, vendors, suppliers and other persons with whom Company has a business relationship (hereinafter referred to as “</w:t>
      </w:r>
      <w:r>
        <w:rPr>
          <w:rFonts w:ascii="Arial" w:cs="Arial" w:eastAsia="Arial" w:hAnsi="Arial"/>
          <w:sz w:val="20"/>
          <w:szCs w:val="20"/>
          <w:b w:val="1"/>
          <w:bCs w:val="1"/>
          <w:i w:val="1"/>
          <w:iCs w:val="1"/>
          <w:color w:val="auto"/>
        </w:rPr>
        <w:t>Prohibited Persons</w:t>
      </w:r>
      <w:r>
        <w:rPr>
          <w:rFonts w:ascii="Arial" w:cs="Arial" w:eastAsia="Arial" w:hAnsi="Arial"/>
          <w:sz w:val="20"/>
          <w:szCs w:val="20"/>
          <w:color w:val="auto"/>
        </w:rPr>
        <w:t>”), are special and unique, and that Company’s relationship with the Prohibited Persons may not be able to be replaced by Company. Employee further acknowledges that the protection of Company’s Prohibited Persons is essential.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Therefore, Employee expressly covenants and agrees that during Employee’s employment with Company and for a period of twenty-four</w:t>
      </w:r>
    </w:p>
    <w:p>
      <w:pPr>
        <w:spacing w:after="0" w:line="43" w:lineRule="exact"/>
        <w:rPr>
          <w:sz w:val="20"/>
          <w:szCs w:val="20"/>
          <w:color w:val="auto"/>
        </w:rPr>
      </w:pPr>
    </w:p>
    <w:p>
      <w:pPr>
        <w:jc w:val="both"/>
        <w:ind w:firstLine="8"/>
        <w:spacing w:after="0" w:line="253" w:lineRule="auto"/>
        <w:tabs>
          <w:tab w:leader="none" w:pos="394" w:val="left"/>
        </w:tabs>
        <w:numPr>
          <w:ilvl w:val="0"/>
          <w:numId w:val="69"/>
        </w:numPr>
        <w:rPr>
          <w:rFonts w:ascii="Arial" w:cs="Arial" w:eastAsia="Arial" w:hAnsi="Arial"/>
          <w:sz w:val="20"/>
          <w:szCs w:val="20"/>
          <w:color w:val="auto"/>
        </w:rPr>
      </w:pPr>
      <w:r>
        <w:rPr>
          <w:rFonts w:ascii="Arial" w:cs="Arial" w:eastAsia="Arial" w:hAnsi="Arial"/>
          <w:sz w:val="20"/>
          <w:szCs w:val="20"/>
          <w:color w:val="auto"/>
        </w:rPr>
        <w:t>months immediately following termination of Employee’s employment for any reason (the “</w:t>
      </w:r>
      <w:r>
        <w:rPr>
          <w:rFonts w:ascii="Arial" w:cs="Arial" w:eastAsia="Arial" w:hAnsi="Arial"/>
          <w:sz w:val="20"/>
          <w:szCs w:val="20"/>
          <w:b w:val="1"/>
          <w:bCs w:val="1"/>
          <w:i w:val="1"/>
          <w:iCs w:val="1"/>
          <w:color w:val="auto"/>
        </w:rPr>
        <w:t>Non-solicitation Period</w:t>
      </w:r>
      <w:r>
        <w:rPr>
          <w:rFonts w:ascii="Arial" w:cs="Arial" w:eastAsia="Arial" w:hAnsi="Arial"/>
          <w:sz w:val="20"/>
          <w:szCs w:val="20"/>
          <w:color w:val="auto"/>
        </w:rPr>
        <w:t>”), Employee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210" w:lineRule="exact"/>
        <w:rPr>
          <w:rFonts w:ascii="Arial" w:cs="Arial" w:eastAsia="Arial" w:hAnsi="Arial"/>
          <w:sz w:val="20"/>
          <w:szCs w:val="20"/>
          <w:color w:val="auto"/>
        </w:rPr>
      </w:pPr>
    </w:p>
    <w:p>
      <w:pPr>
        <w:ind w:left="1300" w:hanging="644"/>
        <w:spacing w:after="0"/>
        <w:tabs>
          <w:tab w:leader="none" w:pos="1300"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Nondisclosure of Confidential Information</w:t>
      </w:r>
      <w:r>
        <w:rPr>
          <w:rFonts w:ascii="Arial" w:cs="Arial" w:eastAsia="Arial" w:hAnsi="Arial"/>
          <w:sz w:val="20"/>
          <w:szCs w:val="20"/>
          <w:color w:val="auto"/>
        </w:rPr>
        <w:t>.</w:t>
      </w:r>
    </w:p>
    <w:p>
      <w:pPr>
        <w:spacing w:after="0" w:line="25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13.1 Employee recognizes that the knowledge and information about, and relationships with business associates, customers, clients and agents of Company and its affiliated companies, and the business methods, systems, plans, and policies of Company and of its affiliated companies, which Employee may receive, obtain, or establish as an employee of Company are valuable and unique assets of Company or its affiliates. Employee agrees that, during any Employment Period and thereafter, Employee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Employee acknowledges and agrees that all memoranda, notes, records, clients lists, client information and other documents, computer software, data or material in any form made or compiled by Employee or made available to Employee concerning Company’s business is and shall be Company’s exclusive property and shall be delivered by Employee to Company upon termination of Employee’s employment or at any other time upon the request of Company.</w:t>
      </w:r>
    </w:p>
    <w:p>
      <w:pPr>
        <w:spacing w:after="0" w:line="21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13.2 The restrictions in the above paragraph shall not apply to: (1) information that at the time of disclosure is in the public domain through no fault of Employee’s;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Employee shall provide Company notice of any such required disclosure once Employee has knowledge of it and will help Company to the extent reasonable to obtain an appropriate protective order.</w:t>
      </w:r>
    </w:p>
    <w:p>
      <w:pPr>
        <w:spacing w:after="0" w:line="225"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13.3 Company acknowledges that Employee has had significant prior work experience in the industry in which Company is engaged, and that Employee enters into this Agreement with significant prior knowledge, information and relationships in such industry.</w:t>
      </w:r>
    </w:p>
    <w:p>
      <w:pPr>
        <w:spacing w:after="0" w:line="170"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Enforcement: Remedies, Construction</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14.1 Employee covenants, agrees, and recognizes the breach or threatened breach of the covenants, or any of them, contained in Sections 11, 12 and 13 will result in immediate and irreparable injury to Company and that Company shall be entitled to an injunction restraining Employee or any of his affiliates from any violation of Sections 11, 12 and 13 to the fullest extent allowed by law. Employee further covenants and agrees that in the event of a violation of any of his respective covenants and agreements contained in Sections 11, 12 and 13 hereof, Company shall be entitled to an accounting of all profits, compensation, commissions, remunerations or benefits which Employee directly or indirectly has realized and/or may realize as a result of, growing out of or in connection with any such violation and shall be entitled to receive all such amounts to</w:t>
      </w:r>
    </w:p>
    <w:p>
      <w:pPr>
        <w:sectPr>
          <w:pgSz w:w="11900" w:h="16838" w:orient="portrait"/>
          <w:cols w:equalWidth="0" w:num="1">
            <w:col w:w="11240"/>
          </w:cols>
          <w:pgMar w:left="320" w:top="933" w:right="339" w:bottom="1440" w:gutter="0" w:footer="0" w:header="0"/>
        </w:sectPr>
      </w:pPr>
    </w:p>
    <w:bookmarkStart w:id="99" w:name="page100"/>
    <w:bookmarkEnd w:id="99"/>
    <w:p>
      <w:pPr>
        <w:jc w:val="both"/>
        <w:spacing w:after="0" w:line="301" w:lineRule="auto"/>
        <w:rPr>
          <w:sz w:val="20"/>
          <w:szCs w:val="20"/>
          <w:color w:val="auto"/>
        </w:rPr>
      </w:pPr>
      <w:r>
        <w:rPr>
          <w:rFonts w:ascii="Arial" w:cs="Arial" w:eastAsia="Arial" w:hAnsi="Arial"/>
          <w:sz w:val="19"/>
          <w:szCs w:val="19"/>
          <w:color w:val="auto"/>
        </w:rPr>
        <w:t>which Company would be entitled as damages under law or at equity. Nothing herein shall be construed as prohibiting Company from pursuing any other legal or equitable remedies that may be available to it for any such breach or threatened breach.</w:t>
      </w:r>
    </w:p>
    <w:p>
      <w:pPr>
        <w:spacing w:after="0" w:line="16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14.2 Employee agrees that in the event he breaches the covenants, or any of them, contained in Sections 11 and 12, then the Non-competition Period or Non-solicitation Period, as applicable, shall be automatically extended by the length of time any such breach remains continuing.</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Employee hereby expressly acknowledges and agrees as follows:</w:t>
      </w:r>
    </w:p>
    <w:p>
      <w:pPr>
        <w:spacing w:after="0" w:line="256" w:lineRule="exact"/>
        <w:rPr>
          <w:sz w:val="20"/>
          <w:szCs w:val="20"/>
          <w:color w:val="auto"/>
        </w:rPr>
      </w:pPr>
    </w:p>
    <w:p>
      <w:pPr>
        <w:jc w:val="both"/>
        <w:ind w:firstLine="1952"/>
        <w:spacing w:after="0" w:line="257" w:lineRule="auto"/>
        <w:tabs>
          <w:tab w:leader="none" w:pos="2592"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206" w:lineRule="exact"/>
        <w:rPr>
          <w:rFonts w:ascii="Arial" w:cs="Arial" w:eastAsia="Arial" w:hAnsi="Arial"/>
          <w:sz w:val="20"/>
          <w:szCs w:val="20"/>
          <w:color w:val="auto"/>
        </w:rPr>
      </w:pPr>
    </w:p>
    <w:p>
      <w:pPr>
        <w:jc w:val="both"/>
        <w:ind w:firstLine="1952"/>
        <w:spacing w:after="0" w:line="264" w:lineRule="auto"/>
        <w:tabs>
          <w:tab w:leader="none" w:pos="259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21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14.4 Nothing in Sections 10 and 11 shall prohibit Employee from being (i) a stockholder in a mutual fund or a diversified investment company or (ii) an owner of not more than two percent of the outstanding stock of any class of a corporation, any securities of which are publicly traded, so long as Employee has no active participation in the business of such corporation.</w:t>
      </w:r>
    </w:p>
    <w:p>
      <w:pPr>
        <w:spacing w:after="0" w:line="202"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4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rights and obligations of Company under this Agreement shall inure to the benefit of and shall be binding upon the successors and assigns of Company. Employee shall not be entitled to assign any of Employee’s rights or obligations under this Agreement.</w:t>
      </w:r>
    </w:p>
    <w:p>
      <w:pPr>
        <w:spacing w:after="0" w:line="22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Waiver</w:t>
      </w:r>
      <w:r>
        <w:rPr>
          <w:rFonts w:ascii="Arial" w:cs="Arial" w:eastAsia="Arial" w:hAnsi="Arial"/>
          <w:sz w:val="19"/>
          <w:szCs w:val="19"/>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6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Attorneys’ Fees</w:t>
      </w:r>
      <w:r>
        <w:rPr>
          <w:rFonts w:ascii="Arial" w:cs="Arial" w:eastAsia="Arial" w:hAnsi="Arial"/>
          <w:sz w:val="20"/>
          <w:szCs w:val="20"/>
          <w:color w:val="auto"/>
        </w:rPr>
        <w:t>. Each side will bear its own attorneys’ fees in any dispute unless a statutory section at issue, if any, authorizes the award of attorneys’ fees to the prevailing party.</w:t>
      </w:r>
    </w:p>
    <w:p>
      <w:pPr>
        <w:spacing w:after="0" w:line="19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ectPr>
          <w:pgSz w:w="11900" w:h="16838" w:orient="portrait"/>
          <w:cols w:equalWidth="0" w:num="1">
            <w:col w:w="11240"/>
          </w:cols>
          <w:pgMar w:left="320" w:top="933" w:right="339" w:bottom="1440" w:gutter="0" w:footer="0" w:header="0"/>
        </w:sectPr>
      </w:pPr>
    </w:p>
    <w:bookmarkStart w:id="100" w:name="page101"/>
    <w:bookmarkEnd w:id="100"/>
    <w:p>
      <w:pPr>
        <w:jc w:val="both"/>
        <w:ind w:firstLine="1296"/>
        <w:spacing w:after="0" w:line="268"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 The headings set forth in this Agreement are for convenience only and shall not be used in interpreting this Agreement. This Agreement has been drafted by legal counsel representing Company, but Employee has participated in the negotiation of its terms.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15.6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Agreement.</w:t>
      </w:r>
    </w:p>
    <w:p>
      <w:pPr>
        <w:spacing w:after="0" w:line="22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EMPLOYEE: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Katherine 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Paylocity Corporation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1400 American LN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Schaumburg, IL 60173</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Attention: Amber Livingston, General Counsel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or at such changed addresses as the parties may designate in writing.</w:t>
      </w:r>
    </w:p>
    <w:p>
      <w:pPr>
        <w:spacing w:after="0" w:line="25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Survival</w:t>
      </w:r>
      <w:r>
        <w:rPr>
          <w:rFonts w:ascii="Arial" w:cs="Arial" w:eastAsia="Arial" w:hAnsi="Arial"/>
          <w:sz w:val="20"/>
          <w:szCs w:val="20"/>
          <w:color w:val="auto"/>
        </w:rPr>
        <w:t>. Sections 7.2 (Termination Without Cause by Company/Severance), 9 (Application of Section 409A), 10 (“No Conflict of Interest”), 11 (“Non-Competition”), 12 (“Non- Solicitation”), 13 (“Nondisclosure of Confidential Information”), 14 (“Enforcement, Remedies and Construction”), 15 (“General Provisions”) and 16 (“Entire Agreement”) of this Agreement shall survive Employee’s employment by Company.</w:t>
      </w:r>
    </w:p>
    <w:p>
      <w:pPr>
        <w:spacing w:after="0" w:line="200" w:lineRule="exact"/>
        <w:rPr>
          <w:sz w:val="20"/>
          <w:szCs w:val="20"/>
          <w:color w:val="auto"/>
        </w:rPr>
      </w:pPr>
    </w:p>
    <w:p>
      <w:pPr>
        <w:spacing w:after="0" w:line="254" w:lineRule="exact"/>
        <w:rPr>
          <w:sz w:val="20"/>
          <w:szCs w:val="20"/>
          <w:color w:val="auto"/>
        </w:rPr>
      </w:pPr>
    </w:p>
    <w:p>
      <w:pPr>
        <w:jc w:val="both"/>
        <w:ind w:firstLine="656"/>
        <w:spacing w:after="0" w:line="255" w:lineRule="auto"/>
        <w:tabs>
          <w:tab w:leader="none" w:pos="129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appear on following page</w:t>
      </w:r>
      <w:r>
        <w:rPr>
          <w:rFonts w:ascii="Arial" w:cs="Arial" w:eastAsia="Arial" w:hAnsi="Arial"/>
          <w:sz w:val="20"/>
          <w:szCs w:val="20"/>
          <w:color w:val="auto"/>
        </w:rPr>
        <w:t>]</w:t>
      </w:r>
    </w:p>
    <w:p>
      <w:pPr>
        <w:sectPr>
          <w:pgSz w:w="11900" w:h="16838" w:orient="portrait"/>
          <w:cols w:equalWidth="0" w:num="1">
            <w:col w:w="11240"/>
          </w:cols>
          <w:pgMar w:left="320" w:top="933" w:right="339" w:bottom="1440"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both"/>
        <w:spacing w:after="0" w:line="257" w:lineRule="auto"/>
        <w:rPr>
          <w:sz w:val="20"/>
          <w:szCs w:val="20"/>
          <w:color w:val="auto"/>
        </w:rPr>
      </w:pPr>
      <w:r>
        <w:rPr>
          <w:rFonts w:ascii="Arial" w:cs="Arial" w:eastAsia="Arial" w:hAnsi="Arial"/>
          <w:sz w:val="20"/>
          <w:szCs w:val="20"/>
          <w:color w:val="auto"/>
        </w:rPr>
        <w:t>THE PARTIES TO THIS AGREEMENT HAVE READ THE FOREGOING AGREEMENT AND FULLY UNDERSTAND EACH AND EVERY PROVISION CONTAINED HEREIN. WHEREFORE, THE PARTIES HAVE EXECUTED THIS AGREEMENT ON THE DATES SHOWN BELOW.</w:t>
      </w:r>
    </w:p>
    <w:p>
      <w:pPr>
        <w:spacing w:after="0" w:line="200" w:lineRule="exact"/>
        <w:rPr>
          <w:sz w:val="20"/>
          <w:szCs w:val="20"/>
          <w:color w:val="auto"/>
        </w:rPr>
      </w:pPr>
    </w:p>
    <w:p>
      <w:pPr>
        <w:spacing w:after="0" w:line="303" w:lineRule="exact"/>
        <w:rPr>
          <w:sz w:val="20"/>
          <w:szCs w:val="20"/>
          <w:color w:val="auto"/>
        </w:rPr>
      </w:pPr>
    </w:p>
    <w:tbl>
      <w:tblPr>
        <w:tblLayout w:type="fixed"/>
        <w:tblInd w:w="5400" w:type="dxa"/>
        <w:tblCellMar>
          <w:top w:w="0" w:type="dxa"/>
          <w:left w:w="0" w:type="dxa"/>
          <w:bottom w:w="0" w:type="dxa"/>
          <w:right w:w="0" w:type="dxa"/>
        </w:tblCellMar>
      </w:tblPr>
      <w:tr>
        <w:trPr>
          <w:trHeight w:val="250"/>
        </w:trPr>
        <w:tc>
          <w:tcPr>
            <w:tcW w:w="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20"/>
                <w:szCs w:val="20"/>
                <w:color w:val="auto"/>
              </w:rPr>
              <w:t>Katherine Ross</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Katherine E. Ross</w:t>
            </w:r>
          </w:p>
        </w:tc>
      </w:tr>
      <w:tr>
        <w:trPr>
          <w:trHeight w:val="502"/>
        </w:trPr>
        <w:tc>
          <w:tcPr>
            <w:tcW w:w="4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20"/>
                <w:szCs w:val="20"/>
                <w:color w:val="auto"/>
              </w:rPr>
              <w:t>Paylocity Corporation</w:t>
            </w:r>
          </w:p>
        </w:tc>
      </w:tr>
      <w:tr>
        <w:trPr>
          <w:trHeight w:val="253"/>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Toby J. Williams</w:t>
            </w:r>
          </w:p>
        </w:tc>
      </w:tr>
      <w:tr>
        <w:trPr>
          <w:trHeight w:val="244"/>
        </w:trPr>
        <w:tc>
          <w:tcPr>
            <w:tcW w:w="480" w:type="dxa"/>
            <w:vAlign w:val="bottom"/>
          </w:tcPr>
          <w:p>
            <w:pPr>
              <w:spacing w:after="0"/>
              <w:rPr>
                <w:sz w:val="21"/>
                <w:szCs w:val="21"/>
                <w:color w:val="auto"/>
              </w:rPr>
            </w:pPr>
          </w:p>
        </w:tc>
        <w:tc>
          <w:tcPr>
            <w:tcW w:w="5360" w:type="dxa"/>
            <w:vAlign w:val="bottom"/>
          </w:tcPr>
          <w:p>
            <w:pPr>
              <w:ind w:left="140"/>
              <w:spacing w:after="0"/>
              <w:rPr>
                <w:sz w:val="20"/>
                <w:szCs w:val="20"/>
                <w:color w:val="auto"/>
              </w:rPr>
            </w:pPr>
            <w:r>
              <w:rPr>
                <w:rFonts w:ascii="Arial" w:cs="Arial" w:eastAsia="Arial" w:hAnsi="Arial"/>
                <w:sz w:val="20"/>
                <w:szCs w:val="20"/>
                <w:color w:val="auto"/>
              </w:rPr>
              <w:t>Toby J. Williams</w:t>
            </w:r>
          </w:p>
        </w:tc>
      </w:tr>
      <w:tr>
        <w:trPr>
          <w:trHeight w:val="253"/>
        </w:trPr>
        <w:tc>
          <w:tcPr>
            <w:tcW w:w="480" w:type="dxa"/>
            <w:vAlign w:val="bottom"/>
          </w:tcPr>
          <w:p>
            <w:pPr>
              <w:spacing w:after="0"/>
              <w:rPr>
                <w:sz w:val="22"/>
                <w:szCs w:val="22"/>
                <w:color w:val="auto"/>
              </w:rPr>
            </w:pPr>
          </w:p>
        </w:tc>
        <w:tc>
          <w:tcPr>
            <w:tcW w:w="5360" w:type="dxa"/>
            <w:vAlign w:val="bottom"/>
          </w:tcPr>
          <w:p>
            <w:pPr>
              <w:ind w:left="140"/>
              <w:spacing w:after="0"/>
              <w:rPr>
                <w:sz w:val="20"/>
                <w:szCs w:val="20"/>
                <w:color w:val="auto"/>
              </w:rPr>
            </w:pPr>
            <w:r>
              <w:rPr>
                <w:rFonts w:ascii="Arial" w:cs="Arial" w:eastAsia="Arial" w:hAnsi="Arial"/>
                <w:sz w:val="20"/>
                <w:szCs w:val="20"/>
                <w:color w:val="auto"/>
              </w:rPr>
              <w:t>President and Co-Chief Executive Officer</w:t>
            </w:r>
          </w:p>
        </w:tc>
      </w:tr>
    </w:tbl>
    <w:p>
      <w:pPr>
        <w:sectPr>
          <w:pgSz w:w="11900" w:h="16838" w:orient="portrait"/>
          <w:cols w:equalWidth="0" w:num="1">
            <w:col w:w="11240"/>
          </w:cols>
          <w:pgMar w:left="320" w:top="933"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statements (No. 333-194840, No. 333-201983, No. 333-209520, No. 333-216001, No. 333-222959, No. 333-252779, No. 333-262514, and No. 333-269548) on Form S-8 of our report dated August 4, 2023, with respect to the consolidated financial statements of Paylocity Holding Corporation and the effectiveness of internal control over financial reporting.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August 4, 2023</w:t>
      </w:r>
    </w:p>
    <w:p>
      <w:pPr>
        <w:sectPr>
          <w:pgSz w:w="11900" w:h="16838" w:orient="portrait"/>
          <w:cols w:equalWidth="0" w:num="1">
            <w:col w:w="11240"/>
          </w:cols>
          <w:pgMar w:left="320" w:top="108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225"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Paylocity Holding Corporation (the “Company”) for the year ended June 30, 2023;</w:t>
      </w:r>
    </w:p>
    <w:p>
      <w:pPr>
        <w:spacing w:after="0" w:line="236" w:lineRule="exact"/>
        <w:rPr>
          <w:rFonts w:ascii="Arial" w:cs="Arial" w:eastAsia="Arial" w:hAnsi="Arial"/>
          <w:sz w:val="17"/>
          <w:szCs w:val="17"/>
          <w:color w:val="auto"/>
        </w:rPr>
      </w:pPr>
    </w:p>
    <w:p>
      <w:pPr>
        <w:ind w:right="60" w:firstLine="656"/>
        <w:spacing w:after="0" w:line="263" w:lineRule="auto"/>
        <w:tabs>
          <w:tab w:leader="none" w:pos="9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0" w:firstLine="656"/>
        <w:spacing w:after="0" w:line="308" w:lineRule="auto"/>
        <w:tabs>
          <w:tab w:leader="none" w:pos="963"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656"/>
        <w:spacing w:after="0" w:line="263" w:lineRule="auto"/>
        <w:tabs>
          <w:tab w:leader="none" w:pos="9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firstLine="644"/>
        <w:spacing w:after="0" w:line="286" w:lineRule="auto"/>
        <w:tabs>
          <w:tab w:leader="none" w:pos="1613"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00" w:firstLine="644"/>
        <w:spacing w:after="0" w:line="263" w:lineRule="auto"/>
        <w:tabs>
          <w:tab w:leader="none" w:pos="162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0" w:firstLine="644"/>
        <w:spacing w:after="0" w:line="342" w:lineRule="auto"/>
        <w:tabs>
          <w:tab w:leader="none" w:pos="1613"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firstLine="644"/>
        <w:spacing w:after="0" w:line="263" w:lineRule="auto"/>
        <w:tabs>
          <w:tab w:leader="none" w:pos="162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year ended June 30, 2023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656"/>
        <w:spacing w:after="0" w:line="308" w:lineRule="auto"/>
        <w:tabs>
          <w:tab w:leader="none" w:pos="96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40" w:firstLine="644"/>
        <w:spacing w:after="0" w:line="308" w:lineRule="auto"/>
        <w:tabs>
          <w:tab w:leader="none" w:pos="1613"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20" w:firstLine="644"/>
        <w:spacing w:after="0" w:line="277" w:lineRule="auto"/>
        <w:tabs>
          <w:tab w:leader="none" w:pos="1623"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760" w:type="dxa"/>
            <w:vAlign w:val="bottom"/>
          </w:tcPr>
          <w:p>
            <w:pPr>
              <w:spacing w:after="0"/>
              <w:rPr>
                <w:sz w:val="20"/>
                <w:szCs w:val="20"/>
                <w:color w:val="auto"/>
              </w:rPr>
            </w:pPr>
            <w:r>
              <w:rPr>
                <w:rFonts w:ascii="Arial" w:cs="Arial" w:eastAsia="Arial" w:hAnsi="Arial"/>
                <w:sz w:val="18"/>
                <w:szCs w:val="18"/>
                <w:color w:val="auto"/>
              </w:rPr>
              <w:t>Date: August 4, 2023</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25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Name: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Steven R. Beauchamp</w:t>
            </w:r>
          </w:p>
        </w:tc>
      </w:tr>
      <w:tr>
        <w:trPr>
          <w:trHeight w:val="31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Title: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Co-Chief Executive Officer (Principal Executive Officer) and Director</w:t>
            </w:r>
          </w:p>
        </w:tc>
      </w:tr>
    </w:tbl>
    <w:p>
      <w:pPr>
        <w:sectPr>
          <w:pgSz w:w="11900" w:h="16838" w:orient="portrait"/>
          <w:cols w:equalWidth="0" w:num="1">
            <w:col w:w="11240"/>
          </w:cols>
          <w:pgMar w:left="320" w:top="114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225"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Paylocity Holding Corporation (the “Company”) for the year ended June 30, 2023;</w:t>
      </w:r>
    </w:p>
    <w:p>
      <w:pPr>
        <w:spacing w:after="0" w:line="236" w:lineRule="exact"/>
        <w:rPr>
          <w:rFonts w:ascii="Arial" w:cs="Arial" w:eastAsia="Arial" w:hAnsi="Arial"/>
          <w:sz w:val="17"/>
          <w:szCs w:val="17"/>
          <w:color w:val="auto"/>
        </w:rPr>
      </w:pPr>
    </w:p>
    <w:p>
      <w:pPr>
        <w:ind w:right="60" w:firstLine="656"/>
        <w:spacing w:after="0" w:line="263" w:lineRule="auto"/>
        <w:tabs>
          <w:tab w:leader="none" w:pos="9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0" w:firstLine="656"/>
        <w:spacing w:after="0" w:line="308" w:lineRule="auto"/>
        <w:tabs>
          <w:tab w:leader="none" w:pos="963"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656"/>
        <w:spacing w:after="0" w:line="263" w:lineRule="auto"/>
        <w:tabs>
          <w:tab w:leader="none" w:pos="9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firstLine="644"/>
        <w:spacing w:after="0" w:line="286" w:lineRule="auto"/>
        <w:tabs>
          <w:tab w:leader="none" w:pos="1613"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00" w:firstLine="644"/>
        <w:spacing w:after="0" w:line="263" w:lineRule="auto"/>
        <w:tabs>
          <w:tab w:leader="none" w:pos="1623"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0" w:firstLine="644"/>
        <w:spacing w:after="0" w:line="342" w:lineRule="auto"/>
        <w:tabs>
          <w:tab w:leader="none" w:pos="1613"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firstLine="644"/>
        <w:spacing w:after="0" w:line="263" w:lineRule="auto"/>
        <w:tabs>
          <w:tab w:leader="none" w:pos="1623"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year ended June 30, 2023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656"/>
        <w:spacing w:after="0" w:line="308" w:lineRule="auto"/>
        <w:tabs>
          <w:tab w:leader="none" w:pos="96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40" w:firstLine="644"/>
        <w:spacing w:after="0" w:line="308" w:lineRule="auto"/>
        <w:tabs>
          <w:tab w:leader="none" w:pos="1613"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20" w:firstLine="644"/>
        <w:spacing w:after="0" w:line="277" w:lineRule="auto"/>
        <w:tabs>
          <w:tab w:leader="none" w:pos="1623"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760" w:type="dxa"/>
            <w:vAlign w:val="bottom"/>
          </w:tcPr>
          <w:p>
            <w:pPr>
              <w:spacing w:after="0"/>
              <w:rPr>
                <w:sz w:val="20"/>
                <w:szCs w:val="20"/>
                <w:color w:val="auto"/>
              </w:rPr>
            </w:pPr>
            <w:r>
              <w:rPr>
                <w:rFonts w:ascii="Arial" w:cs="Arial" w:eastAsia="Arial" w:hAnsi="Arial"/>
                <w:sz w:val="18"/>
                <w:szCs w:val="18"/>
                <w:color w:val="auto"/>
              </w:rPr>
              <w:t>Date: August 4, 2023</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25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Name: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Toby J. Williams</w:t>
            </w:r>
          </w:p>
        </w:tc>
      </w:tr>
      <w:tr>
        <w:trPr>
          <w:trHeight w:val="31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Title: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Co-Chief Executive Officer (Principal Executive Officer)</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and Director</w:t>
            </w:r>
          </w:p>
        </w:tc>
      </w:tr>
    </w:tbl>
    <w:p>
      <w:pPr>
        <w:sectPr>
          <w:pgSz w:w="11900" w:h="16838" w:orient="portrait"/>
          <w:cols w:equalWidth="0" w:num="1">
            <w:col w:w="11240"/>
          </w:cols>
          <w:pgMar w:left="320" w:top="114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Glenn, certify that:</w:t>
      </w:r>
    </w:p>
    <w:p>
      <w:pPr>
        <w:spacing w:after="0" w:line="225"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Paylocity Holding Corporation (the “Company”) for the year ended June 30, 2023;</w:t>
      </w:r>
    </w:p>
    <w:p>
      <w:pPr>
        <w:spacing w:after="0" w:line="236" w:lineRule="exact"/>
        <w:rPr>
          <w:rFonts w:ascii="Arial" w:cs="Arial" w:eastAsia="Arial" w:hAnsi="Arial"/>
          <w:sz w:val="17"/>
          <w:szCs w:val="17"/>
          <w:color w:val="auto"/>
        </w:rPr>
      </w:pPr>
    </w:p>
    <w:p>
      <w:pPr>
        <w:ind w:right="60" w:firstLine="656"/>
        <w:spacing w:after="0" w:line="263" w:lineRule="auto"/>
        <w:tabs>
          <w:tab w:leader="none" w:pos="9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0" w:firstLine="656"/>
        <w:spacing w:after="0" w:line="308" w:lineRule="auto"/>
        <w:tabs>
          <w:tab w:leader="none" w:pos="9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656"/>
        <w:spacing w:after="0" w:line="263" w:lineRule="auto"/>
        <w:tabs>
          <w:tab w:leader="none" w:pos="9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firstLine="644"/>
        <w:spacing w:after="0" w:line="286" w:lineRule="auto"/>
        <w:tabs>
          <w:tab w:leader="none" w:pos="1613"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00" w:firstLine="644"/>
        <w:spacing w:after="0" w:line="263" w:lineRule="auto"/>
        <w:tabs>
          <w:tab w:leader="none" w:pos="1623"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0" w:firstLine="644"/>
        <w:spacing w:after="0" w:line="342" w:lineRule="auto"/>
        <w:tabs>
          <w:tab w:leader="none" w:pos="1613"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firstLine="644"/>
        <w:spacing w:after="0" w:line="263" w:lineRule="auto"/>
        <w:tabs>
          <w:tab w:leader="none" w:pos="1623"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year ended June 30, 2023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656"/>
        <w:spacing w:after="0" w:line="308" w:lineRule="auto"/>
        <w:tabs>
          <w:tab w:leader="none" w:pos="9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40" w:firstLine="644"/>
        <w:spacing w:after="0" w:line="308" w:lineRule="auto"/>
        <w:tabs>
          <w:tab w:leader="none" w:pos="1613"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20" w:firstLine="644"/>
        <w:spacing w:after="0" w:line="277" w:lineRule="auto"/>
        <w:tabs>
          <w:tab w:leader="none" w:pos="1623"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760" w:type="dxa"/>
            <w:vAlign w:val="bottom"/>
          </w:tcPr>
          <w:p>
            <w:pPr>
              <w:spacing w:after="0"/>
              <w:rPr>
                <w:sz w:val="20"/>
                <w:szCs w:val="20"/>
                <w:color w:val="auto"/>
              </w:rPr>
            </w:pPr>
            <w:r>
              <w:rPr>
                <w:rFonts w:ascii="Arial" w:cs="Arial" w:eastAsia="Arial" w:hAnsi="Arial"/>
                <w:sz w:val="18"/>
                <w:szCs w:val="18"/>
                <w:color w:val="auto"/>
              </w:rPr>
              <w:t>Date: August 4, 2023</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Ryan Glenn</w:t>
            </w:r>
          </w:p>
        </w:tc>
      </w:tr>
      <w:tr>
        <w:trPr>
          <w:trHeight w:val="25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Name: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Ryan Glenn</w:t>
            </w:r>
          </w:p>
        </w:tc>
      </w:tr>
      <w:tr>
        <w:trPr>
          <w:trHeight w:val="31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Title: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and Treasurer (Principal Financial Officer)</w:t>
            </w:r>
          </w:p>
        </w:tc>
      </w:tr>
    </w:tbl>
    <w:p>
      <w:pPr>
        <w:sectPr>
          <w:pgSz w:w="11900" w:h="16838" w:orient="portrait"/>
          <w:cols w:equalWidth="0" w:num="1">
            <w:col w:w="11240"/>
          </w:cols>
          <w:pgMar w:left="320" w:top="114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2023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760" w:type="dxa"/>
            <w:vAlign w:val="bottom"/>
          </w:tcPr>
          <w:p>
            <w:pPr>
              <w:spacing w:after="0"/>
              <w:rPr>
                <w:sz w:val="20"/>
                <w:szCs w:val="20"/>
                <w:color w:val="auto"/>
              </w:rPr>
            </w:pPr>
            <w:r>
              <w:rPr>
                <w:rFonts w:ascii="Arial" w:cs="Arial" w:eastAsia="Arial" w:hAnsi="Arial"/>
                <w:sz w:val="18"/>
                <w:szCs w:val="18"/>
                <w:color w:val="auto"/>
              </w:rPr>
              <w:t>Date: August 4, 2023</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25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Name: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Steven R. Beauchamp</w:t>
            </w:r>
          </w:p>
        </w:tc>
      </w:tr>
      <w:tr>
        <w:trPr>
          <w:trHeight w:val="311"/>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Title: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Co-Chief Executive Officer (Principal Executive Officer) and Director</w:t>
            </w:r>
          </w:p>
        </w:tc>
      </w:tr>
    </w:tbl>
    <w:p>
      <w:pPr>
        <w:spacing w:after="0" w:line="32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2023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760" w:type="dxa"/>
            <w:vAlign w:val="bottom"/>
          </w:tcPr>
          <w:p>
            <w:pPr>
              <w:spacing w:after="0"/>
              <w:rPr>
                <w:sz w:val="20"/>
                <w:szCs w:val="20"/>
                <w:color w:val="auto"/>
              </w:rPr>
            </w:pPr>
            <w:r>
              <w:rPr>
                <w:rFonts w:ascii="Arial" w:cs="Arial" w:eastAsia="Arial" w:hAnsi="Arial"/>
                <w:sz w:val="18"/>
                <w:szCs w:val="18"/>
                <w:color w:val="auto"/>
              </w:rPr>
              <w:t>Date: August 4, 2023</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25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Name: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Toby J. Williams</w:t>
            </w:r>
          </w:p>
        </w:tc>
      </w:tr>
      <w:tr>
        <w:trPr>
          <w:trHeight w:val="311"/>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Title: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Co-Chief Executive Officer (Principal Executive Officer)</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and Director</w:t>
            </w:r>
          </w:p>
        </w:tc>
      </w:tr>
    </w:tbl>
    <w:p>
      <w:pPr>
        <w:spacing w:after="0" w:line="3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2023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760" w:type="dxa"/>
            <w:vAlign w:val="bottom"/>
          </w:tcPr>
          <w:p>
            <w:pPr>
              <w:spacing w:after="0"/>
              <w:rPr>
                <w:sz w:val="20"/>
                <w:szCs w:val="20"/>
                <w:color w:val="auto"/>
              </w:rPr>
            </w:pPr>
            <w:r>
              <w:rPr>
                <w:rFonts w:ascii="Arial" w:cs="Arial" w:eastAsia="Arial" w:hAnsi="Arial"/>
                <w:sz w:val="18"/>
                <w:szCs w:val="18"/>
                <w:color w:val="auto"/>
              </w:rPr>
              <w:t>Date: August 4, 2023</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Ryan Glenn</w:t>
            </w:r>
          </w:p>
        </w:tc>
      </w:tr>
      <w:tr>
        <w:trPr>
          <w:trHeight w:val="250"/>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Name: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Ryan Glenn</w:t>
            </w:r>
          </w:p>
        </w:tc>
      </w:tr>
      <w:tr>
        <w:trPr>
          <w:trHeight w:val="311"/>
        </w:trPr>
        <w:tc>
          <w:tcPr>
            <w:tcW w:w="5760" w:type="dxa"/>
            <w:vAlign w:val="bottom"/>
          </w:tcPr>
          <w:p>
            <w:pPr>
              <w:ind w:left="4900"/>
              <w:spacing w:after="0"/>
              <w:rPr>
                <w:sz w:val="20"/>
                <w:szCs w:val="20"/>
                <w:color w:val="auto"/>
              </w:rPr>
            </w:pPr>
            <w:r>
              <w:rPr>
                <w:rFonts w:ascii="Arial" w:cs="Arial" w:eastAsia="Arial" w:hAnsi="Arial"/>
                <w:sz w:val="18"/>
                <w:szCs w:val="18"/>
                <w:b w:val="1"/>
                <w:bCs w:val="1"/>
                <w:color w:val="auto"/>
              </w:rPr>
              <w:t>Title: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and Treasurer (Principal Financial Officer)</w:t>
            </w:r>
          </w:p>
        </w:tc>
      </w:tr>
    </w:tbl>
    <w:p>
      <w:pPr>
        <w:spacing w:after="0" w:line="32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2"/>
    </w:lvl>
    <w:lvl w:ilvl="1">
      <w:lvlJc w:val="left"/>
      <w:lvlText w:val="(%2)"/>
      <w:numFmt w:val="lowerLetter"/>
      <w:start w:val="1"/>
    </w:lvl>
  </w:abstractNum>
  <w:abstractNum w:abstractNumId="16">
    <w:nsid w:val="542289EC"/>
    <w:multiLevelType w:val="hybridMultilevel"/>
    <w:lvl w:ilvl="0">
      <w:lvlJc w:val="left"/>
      <w:lvlText w:val="(%1)"/>
      <w:numFmt w:val="lowerLetter"/>
      <w:start w:val="2"/>
    </w:lvl>
  </w:abstractNum>
  <w:abstractNum w:abstractNumId="17">
    <w:nsid w:val="6DE91B18"/>
    <w:multiLevelType w:val="hybridMultilevel"/>
    <w:lvl w:ilvl="0">
      <w:lvlJc w:val="left"/>
      <w:lvlText w:val="(%1)"/>
      <w:numFmt w:val="lowerLetter"/>
      <w:start w:val="3"/>
    </w:lvl>
  </w:abstractNum>
  <w:abstractNum w:abstractNumId="18">
    <w:nsid w:val="38437FDB"/>
    <w:multiLevelType w:val="hybridMultilevel"/>
    <w:lvl w:ilvl="0">
      <w:lvlJc w:val="left"/>
      <w:lvlText w:val="(%1)"/>
      <w:numFmt w:val="lowerLetter"/>
      <w:start w:val="4"/>
    </w:lvl>
  </w:abstractNum>
  <w:abstractNum w:abstractNumId="19">
    <w:nsid w:val="7644A45C"/>
    <w:multiLevelType w:val="hybridMultilevel"/>
    <w:lvl w:ilvl="0">
      <w:lvlJc w:val="left"/>
      <w:lvlText w:val="(%1)"/>
      <w:numFmt w:val="lowerLetter"/>
      <w:start w:val="5"/>
    </w:lvl>
  </w:abstractNum>
  <w:abstractNum w:abstractNumId="20">
    <w:nsid w:val="32FFF902"/>
    <w:multiLevelType w:val="hybridMultilevel"/>
    <w:lvl w:ilvl="0">
      <w:lvlJc w:val="left"/>
      <w:lvlText w:val="(%1)"/>
      <w:numFmt w:val="lowerLetter"/>
      <w:start w:val="6"/>
    </w:lvl>
  </w:abstractNum>
  <w:abstractNum w:abstractNumId="21">
    <w:nsid w:val="684A481A"/>
    <w:multiLevelType w:val="hybridMultilevel"/>
    <w:lvl w:ilvl="0">
      <w:lvlJc w:val="left"/>
      <w:lvlText w:val="(%1)"/>
      <w:numFmt w:val="lowerLetter"/>
      <w:start w:val="7"/>
    </w:lvl>
  </w:abstractNum>
  <w:abstractNum w:abstractNumId="22">
    <w:nsid w:val="579478FE"/>
    <w:multiLevelType w:val="hybridMultilevel"/>
    <w:lvl w:ilvl="0">
      <w:lvlJc w:val="left"/>
      <w:lvlText w:val="(%1)"/>
      <w:numFmt w:val="lowerLetter"/>
      <w:start w:val="8"/>
    </w:lvl>
  </w:abstractNum>
  <w:abstractNum w:abstractNumId="23">
    <w:nsid w:val="749ABB43"/>
    <w:multiLevelType w:val="hybridMultilevel"/>
    <w:lvl w:ilvl="0">
      <w:lvlJc w:val="left"/>
      <w:lvlText w:val="(%1)"/>
      <w:numFmt w:val="lowerRoman"/>
      <w:start w:val="1"/>
    </w:lvl>
  </w:abstractNum>
  <w:abstractNum w:abstractNumId="24">
    <w:nsid w:val="3DC240FB"/>
    <w:multiLevelType w:val="hybridMultilevel"/>
    <w:lvl w:ilvl="0">
      <w:lvlJc w:val="left"/>
      <w:lvlText w:val="(%1)"/>
      <w:numFmt w:val="lowerLetter"/>
      <w:start w:val="10"/>
    </w:lvl>
  </w:abstractNum>
  <w:abstractNum w:abstractNumId="25">
    <w:nsid w:val="1BA026FA"/>
    <w:multiLevelType w:val="hybridMultilevel"/>
    <w:lvl w:ilvl="0">
      <w:lvlJc w:val="left"/>
      <w:lvlText w:val="(%1)"/>
      <w:numFmt w:val="lowerLetter"/>
      <w:start w:val="11"/>
    </w:lvl>
  </w:abstractNum>
  <w:abstractNum w:abstractNumId="26">
    <w:nsid w:val="79A1DEAA"/>
    <w:multiLevelType w:val="hybridMultilevel"/>
    <w:lvl w:ilvl="0">
      <w:lvlJc w:val="left"/>
      <w:lvlText w:val="(%1)"/>
      <w:numFmt w:val="lowerLetter"/>
      <w:start w:val="12"/>
    </w:lvl>
  </w:abstractNum>
  <w:abstractNum w:abstractNumId="27">
    <w:nsid w:val="75C6C33A"/>
    <w:multiLevelType w:val="hybridMultilevel"/>
    <w:lvl w:ilvl="0">
      <w:lvlJc w:val="left"/>
      <w:lvlText w:val="(%1)"/>
      <w:numFmt w:val="lowerLetter"/>
      <w:start w:val="13"/>
    </w:lvl>
  </w:abstractNum>
  <w:abstractNum w:abstractNumId="28">
    <w:nsid w:val="12E685FB"/>
    <w:multiLevelType w:val="hybridMultilevel"/>
    <w:lvl w:ilvl="0">
      <w:lvlJc w:val="left"/>
      <w:lvlText w:val="(%1)"/>
      <w:numFmt w:val="lowerLetter"/>
      <w:start w:val="14"/>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4"/>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lowerLetter"/>
      <w:start w:val="15"/>
    </w:lvl>
  </w:abstractNum>
  <w:abstractNum w:abstractNumId="33">
    <w:nsid w:val="23F9C13C"/>
    <w:multiLevelType w:val="hybridMultilevel"/>
    <w:lvl w:ilvl="0">
      <w:lvlJc w:val="left"/>
      <w:lvlText w:val="(%1)"/>
      <w:numFmt w:val="lowerLetter"/>
      <w:start w:val="16"/>
    </w:lvl>
  </w:abstractNum>
  <w:abstractNum w:abstractNumId="34">
    <w:nsid w:val="649BB77C"/>
    <w:multiLevelType w:val="hybridMultilevel"/>
    <w:lvl w:ilvl="0">
      <w:lvlJc w:val="left"/>
      <w:lvlText w:val="(%1)"/>
      <w:numFmt w:val="lowerLetter"/>
      <w:start w:val="17"/>
    </w:lvl>
  </w:abstractNum>
  <w:abstractNum w:abstractNumId="35">
    <w:nsid w:val="275AC794"/>
    <w:multiLevelType w:val="hybridMultilevel"/>
    <w:lvl w:ilvl="0">
      <w:lvlJc w:val="left"/>
      <w:lvlText w:val="(%1)"/>
      <w:numFmt w:val="lowerLetter"/>
      <w:start w:val="18"/>
    </w:lvl>
  </w:abstractNum>
  <w:abstractNum w:abstractNumId="36">
    <w:nsid w:val="39386575"/>
    <w:multiLevelType w:val="hybridMultilevel"/>
    <w:lvl w:ilvl="0">
      <w:lvlJc w:val="left"/>
      <w:lvlText w:val="(%1)"/>
      <w:numFmt w:val="lowerLetter"/>
      <w:start w:val="19"/>
    </w:lvl>
  </w:abstractNum>
  <w:abstractNum w:abstractNumId="37">
    <w:nsid w:val="1CF10FD8"/>
    <w:multiLevelType w:val="hybridMultilevel"/>
    <w:lvl w:ilvl="0">
      <w:lvlJc w:val="left"/>
      <w:lvlText w:val="(%1)"/>
      <w:numFmt w:val="lowerLetter"/>
      <w:start w:val="20"/>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lowerLetter"/>
      <w:start w:val="2"/>
    </w:lvl>
  </w:abstractNum>
  <w:abstractNum w:abstractNumId="40">
    <w:nsid w:val="47398C89"/>
    <w:multiLevelType w:val="hybridMultilevel"/>
    <w:lvl w:ilvl="0">
      <w:lvlJc w:val="left"/>
      <w:lvlText w:val="(%1)"/>
      <w:numFmt w:val="lowerLetter"/>
      <w:start w:val="3"/>
    </w:lvl>
  </w:abstractNum>
  <w:abstractNum w:abstractNumId="41">
    <w:nsid w:val="354FE9F9"/>
    <w:multiLevelType w:val="hybridMultilevel"/>
    <w:lvl w:ilvl="0">
      <w:lvlJc w:val="left"/>
      <w:lvlText w:val="(%1)"/>
      <w:numFmt w:val="decimal"/>
      <w:start w:val="16"/>
    </w:lvl>
    <w:lvl w:ilvl="1">
      <w:lvlJc w:val="left"/>
      <w:lvlText w:val="(%2)"/>
      <w:numFmt w:val="lowerLetter"/>
      <w:start w:val="1"/>
    </w:lvl>
  </w:abstractNum>
  <w:abstractNum w:abstractNumId="42">
    <w:nsid w:val="15B5AF5C"/>
    <w:multiLevelType w:val="hybridMultilevel"/>
    <w:lvl w:ilvl="0">
      <w:lvlJc w:val="left"/>
      <w:lvlText w:val="(%1)"/>
      <w:numFmt w:val="lowerLetter"/>
      <w:start w:val="2"/>
    </w:lvl>
  </w:abstractNum>
  <w:abstractNum w:abstractNumId="43">
    <w:nsid w:val="741226BB"/>
    <w:multiLevelType w:val="hybridMultilevel"/>
    <w:lvl w:ilvl="0">
      <w:lvlJc w:val="left"/>
      <w:lvlText w:val="(%1)"/>
      <w:numFmt w:val="lowerLetter"/>
      <w:start w:val="3"/>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2"/>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3"/>
    </w:lvl>
  </w:abstractNum>
  <w:abstractNum w:abstractNumId="48">
    <w:nsid w:val="7E0C57B1"/>
    <w:multiLevelType w:val="hybridMultilevel"/>
    <w:lvl w:ilvl="0">
      <w:lvlJc w:val="left"/>
      <w:lvlText w:val="%1"/>
      <w:numFmt w:val="lowerLetter"/>
      <w:start w:val="1"/>
    </w:lvl>
    <w:lvl w:ilvl="1">
      <w:lvlJc w:val="left"/>
      <w:lvlText w:val="(%2)"/>
      <w:numFmt w:val="lowerLetter"/>
      <w:start w:val="1"/>
    </w:lvl>
  </w:abstractNum>
  <w:abstractNum w:abstractNumId="49">
    <w:nsid w:val="77AE35EB"/>
    <w:multiLevelType w:val="hybridMultilevel"/>
    <w:lvl w:ilvl="0">
      <w:lvlJc w:val="left"/>
      <w:lvlText w:val="(%1)"/>
      <w:numFmt w:val="lowerLetter"/>
      <w:start w:val="35"/>
    </w:lvl>
    <w:lvl w:ilvl="1">
      <w:lvlJc w:val="left"/>
      <w:lvlText w:val="%2"/>
      <w:numFmt w:val="lowerLetter"/>
      <w:start w:val="1"/>
    </w:lvl>
  </w:abstractNum>
  <w:abstractNum w:abstractNumId="50">
    <w:nsid w:val="579BE4F1"/>
    <w:multiLevelType w:val="hybridMultilevel"/>
    <w:lvl w:ilvl="0">
      <w:lvlJc w:val="left"/>
      <w:lvlText w:val="%1."/>
      <w:numFmt w:val="decimal"/>
      <w:start w:val="5"/>
    </w:lvl>
  </w:abstractNum>
  <w:abstractNum w:abstractNumId="51">
    <w:nsid w:val="310C50B3"/>
    <w:multiLevelType w:val="hybridMultilevel"/>
    <w:lvl w:ilvl="0">
      <w:lvlJc w:val="left"/>
      <w:lvlText w:val="%1."/>
      <w:numFmt w:val="decimal"/>
      <w:start w:val="7"/>
    </w:lvl>
  </w:abstractNum>
  <w:abstractNum w:abstractNumId="52">
    <w:nsid w:val="5FF87E05"/>
    <w:multiLevelType w:val="hybridMultilevel"/>
    <w:lvl w:ilvl="0">
      <w:lvlJc w:val="left"/>
      <w:lvlText w:val="%1."/>
      <w:numFmt w:val="decimal"/>
      <w:start w:val="8"/>
    </w:lvl>
  </w:abstractNum>
  <w:abstractNum w:abstractNumId="53">
    <w:nsid w:val="2F305DEF"/>
    <w:multiLevelType w:val="hybridMultilevel"/>
    <w:lvl w:ilvl="0">
      <w:lvlJc w:val="left"/>
      <w:lvlText w:val="%1."/>
      <w:numFmt w:val="decimal"/>
      <w:start w:val="9"/>
    </w:lvl>
    <w:lvl w:ilvl="1">
      <w:lvlJc w:val="left"/>
      <w:lvlText w:val="(%2)"/>
      <w:numFmt w:val="lowerLetter"/>
      <w:start w:val="1"/>
    </w:lvl>
  </w:abstractNum>
  <w:abstractNum w:abstractNumId="54">
    <w:nsid w:val="25A70BF7"/>
    <w:multiLevelType w:val="hybridMultilevel"/>
    <w:lvl w:ilvl="0">
      <w:lvlJc w:val="left"/>
      <w:lvlText w:val="%1."/>
      <w:numFmt w:val="decimal"/>
      <w:start w:val="11"/>
    </w:lvl>
  </w:abstractNum>
  <w:abstractNum w:abstractNumId="55">
    <w:nsid w:val="1DBABF00"/>
    <w:multiLevelType w:val="hybridMultilevel"/>
    <w:lvl w:ilvl="0">
      <w:lvlJc w:val="left"/>
      <w:lvlText w:val="%1."/>
      <w:numFmt w:val="decimal"/>
      <w:start w:val="13"/>
    </w:lvl>
  </w:abstractNum>
  <w:abstractNum w:abstractNumId="56">
    <w:nsid w:val="4AD084E9"/>
    <w:multiLevelType w:val="hybridMultilevel"/>
    <w:lvl w:ilvl="0">
      <w:lvlJc w:val="left"/>
      <w:lvlText w:val="%1."/>
      <w:numFmt w:val="decimal"/>
      <w:start w:val="14"/>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decimal"/>
      <w:start w:val="15"/>
    </w:lvl>
  </w:abstractNum>
  <w:abstractNum w:abstractNumId="59">
    <w:nsid w:val="5DB70AE5"/>
    <w:multiLevelType w:val="hybridMultilevel"/>
    <w:lvl w:ilvl="0">
      <w:lvlJc w:val="left"/>
      <w:lvlText w:val="%1."/>
      <w:numFmt w:val="decimal"/>
      <w:start w:val="16"/>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3"/>
    </w:lvl>
  </w:abstractNum>
  <w:abstractNum w:abstractNumId="62">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3">
    <w:nsid w:val="5F5E7FD0"/>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64">
    <w:nsid w:val="98A3148"/>
    <w:multiLevelType w:val="hybridMultilevel"/>
    <w:lvl w:ilvl="0">
      <w:lvlJc w:val="left"/>
      <w:lvlText w:val="%1."/>
      <w:numFmt w:val="decimal"/>
      <w:start w:val="7"/>
    </w:lvl>
  </w:abstractNum>
  <w:abstractNum w:abstractNumId="65">
    <w:nsid w:val="799D0247"/>
    <w:multiLevelType w:val="hybridMultilevel"/>
    <w:lvl w:ilvl="0">
      <w:lvlJc w:val="left"/>
      <w:lvlText w:val="%1."/>
      <w:numFmt w:val="decimal"/>
      <w:start w:val="8"/>
    </w:lvl>
  </w:abstractNum>
  <w:abstractNum w:abstractNumId="66">
    <w:nsid w:val="6B94764"/>
    <w:multiLevelType w:val="hybridMultilevel"/>
    <w:lvl w:ilvl="0">
      <w:lvlJc w:val="left"/>
      <w:lvlText w:val="%1."/>
      <w:numFmt w:val="decimal"/>
      <w:start w:val="9"/>
    </w:lvl>
    <w:lvl w:ilvl="1">
      <w:lvlJc w:val="left"/>
      <w:lvlText w:val="(%2)"/>
      <w:numFmt w:val="lowerLetter"/>
      <w:start w:val="1"/>
    </w:lvl>
  </w:abstractNum>
  <w:abstractNum w:abstractNumId="67">
    <w:nsid w:val="42C296BD"/>
    <w:multiLevelType w:val="hybridMultilevel"/>
    <w:lvl w:ilvl="0">
      <w:lvlJc w:val="left"/>
      <w:lvlText w:val="%1."/>
      <w:numFmt w:val="decimal"/>
      <w:start w:val="12"/>
    </w:lvl>
  </w:abstractNum>
  <w:abstractNum w:abstractNumId="68">
    <w:nsid w:val="168E121F"/>
    <w:multiLevelType w:val="hybridMultilevel"/>
    <w:lvl w:ilvl="0">
      <w:lvlJc w:val="left"/>
      <w:lvlText w:val="(%1)"/>
      <w:numFmt w:val="decimal"/>
      <w:start w:val="24"/>
    </w:lvl>
    <w:lvl w:ilvl="1">
      <w:lvlJc w:val="left"/>
      <w:lvlText w:val="%2."/>
      <w:numFmt w:val="decimal"/>
      <w:start w:val="13"/>
    </w:lvl>
  </w:abstractNum>
  <w:abstractNum w:abstractNumId="69">
    <w:nsid w:val="1EBA5D23"/>
    <w:multiLevelType w:val="hybridMultilevel"/>
    <w:lvl w:ilvl="0">
      <w:lvlJc w:val="left"/>
      <w:lvlText w:val="%1."/>
      <w:numFmt w:val="decimal"/>
      <w:start w:val="14"/>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decimal"/>
      <w:start w:val="15"/>
    </w:lvl>
  </w:abstractNum>
  <w:abstractNum w:abstractNumId="72">
    <w:nsid w:val="540A471C"/>
    <w:multiLevelType w:val="hybridMultilevel"/>
    <w:lvl w:ilvl="0">
      <w:lvlJc w:val="left"/>
      <w:lvlText w:val="%1."/>
      <w:numFmt w:val="decimal"/>
      <w:start w:val="16"/>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43" Type="http://schemas.openxmlformats.org/officeDocument/2006/relationships/hyperlink" Target="https://www.sec.gov/ix?doc=/Archives/edgar/data/1591698/000159169822000094/pcty-20220630.htm" TargetMode="External"/><Relationship Id="rId63" Type="http://schemas.openxmlformats.org/officeDocument/2006/relationships/hyperlink" Target="https://www.sec.gov/Archives/edgar/data/1591698/000159169821000013/pcty-20211201xexhibit31.htm" TargetMode="External"/><Relationship Id="rId64" Type="http://schemas.openxmlformats.org/officeDocument/2006/relationships/hyperlink" Target="https://www.sec.gov/Archives/edgar/data/1591698/000159169821000013/pcty-20211201xexhibit32.htm" TargetMode="External"/><Relationship Id="rId65" Type="http://schemas.openxmlformats.org/officeDocument/2006/relationships/hyperlink" Target="http://www.sec.gov/Archives/edgar/data/1591698/000104746914000464/a2218017zex-4_1.htm" TargetMode="External"/><Relationship Id="rId66" Type="http://schemas.openxmlformats.org/officeDocument/2006/relationships/hyperlink" Target="https://www.sec.gov/Archives/edgar/data/1591698/000159169822000094/pcty-20220630xexx42.htm" TargetMode="External"/><Relationship Id="rId67" Type="http://schemas.openxmlformats.org/officeDocument/2006/relationships/hyperlink" Target="http://www.sec.gov/Archives/edgar/data/1591698/000104746914000464/a2218017zex-10_2.htm" TargetMode="External"/><Relationship Id="rId68" Type="http://schemas.openxmlformats.org/officeDocument/2006/relationships/hyperlink" Target="http://www.sec.gov/Archives/edgar/data/1591698/000104746914000931/a2218171zex-10_4.htm" TargetMode="External"/><Relationship Id="rId69" Type="http://schemas.openxmlformats.org/officeDocument/2006/relationships/hyperlink" Target="https://www.sec.gov/Archives/edgar/data/0001591698/000110465920096509/tm2027535d1_ex10-1.htm" TargetMode="External"/><Relationship Id="rId70" Type="http://schemas.openxmlformats.org/officeDocument/2006/relationships/hyperlink" Target="https://www.sec.gov/Archives/edgar/data/1591698/000159169822000064/pcty-20220331x10qex105.htm" TargetMode="External"/><Relationship Id="rId71" Type="http://schemas.openxmlformats.org/officeDocument/2006/relationships/hyperlink" Target="http://www.sec.gov/Archives/edgar/data/1591698/000104746914000931/a2218171zex-10_5.htm" TargetMode="External"/><Relationship Id="rId72" Type="http://schemas.openxmlformats.org/officeDocument/2006/relationships/hyperlink" Target="http://www.sec.gov/Archives/edgar/data/1591698/000104746914000931/a2218171zex-10_9.htm" TargetMode="External"/><Relationship Id="rId73" Type="http://schemas.openxmlformats.org/officeDocument/2006/relationships/hyperlink" Target="http://www.sec.gov/Archives/edgar/data/1591698/000110465916125126/a16-12426_1ex10d1.htm" TargetMode="External"/><Relationship Id="rId74" Type="http://schemas.openxmlformats.org/officeDocument/2006/relationships/hyperlink" Target="https://www.sec.gov/Archives/edgar/data/0001591698/000110465921111860/tm2126413d1_ex10-1.htm" TargetMode="External"/><Relationship Id="rId75" Type="http://schemas.openxmlformats.org/officeDocument/2006/relationships/hyperlink" Target="https://www.sec.gov/Archives/edgar/data/1591698/000159169822000094/pcty-20220630xexx1011.htm" TargetMode="External"/><Relationship Id="rId76" Type="http://schemas.openxmlformats.org/officeDocument/2006/relationships/hyperlink" Target="https://www.sec.gov/Archives/edgar/data/1591698/000159169822000045/pcty-202203118xkexhibit101.htm" TargetMode="External"/><Relationship Id="rId77" Type="http://schemas.openxmlformats.org/officeDocument/2006/relationships/hyperlink" Target="https://www.sec.gov/Archives/edgar/data/1591698/000159169822000045/pcty-202203118xkexhibit102.htm" TargetMode="External"/><Relationship Id="rId78" Type="http://schemas.openxmlformats.org/officeDocument/2006/relationships/hyperlink" Target="https://www.sec.gov/Archives/edgar/data/1591698/000159169822000045/pcty-202203118xkexhibit103.htm" TargetMode="External"/><Relationship Id="rId79" Type="http://schemas.openxmlformats.org/officeDocument/2006/relationships/hyperlink" Target="https://www.sec.gov/Archives/edgar/data/1591698/000159169822000045/pcty-202203118xkexhibit104.htm" TargetMode="External"/><Relationship Id="rId82" Type="http://schemas.openxmlformats.org/officeDocument/2006/relationships/hyperlink" Target="https://www.sec.gov/Archives/edgar/data/1591698/000159169822000079/pcty-202206308xkexhibit101.htm" TargetMode="External"/><Relationship Id="rId83" Type="http://schemas.openxmlformats.org/officeDocument/2006/relationships/hyperlink" Target="https://www.sec.gov/Archives/edgar/data/0001591698/000110465919040751/a19-12817_1ex10d1.htm" TargetMode="External"/><Relationship Id="rId84" Type="http://schemas.openxmlformats.org/officeDocument/2006/relationships/hyperlink" Target="https://www.sec.gov/ix?doc=/Archives/edgar/data/0001591698/000159169822000144/pcty-20220819.htm" TargetMode="External"/><Relationship Id="rId85" Type="http://schemas.openxmlformats.org/officeDocument/2006/relationships/hyperlink" Target="https://www.sec.gov/Archives/edgar/data/1591698/000159169822000094/pcty-20220630xex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2023-08-04T09:09:16Z</dcterms:created>
  <dcterms:modified xsi:type="dcterms:W3CDTF">2023-08-04T09:09:16Z</dcterms:modified>
</cp:coreProperties>
</file>