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right="1015"/>
        <w:spacing w:after="0" w:line="245" w:lineRule="auto"/>
        <w:rPr>
          <w:sz w:val="20"/>
          <w:szCs w:val="20"/>
          <w:color w:val="auto"/>
        </w:rPr>
      </w:pPr>
      <w:r>
        <w:rPr>
          <w:rFonts w:ascii="Arial" w:cs="Arial" w:eastAsia="Arial" w:hAnsi="Arial"/>
          <w:sz w:val="231"/>
          <w:szCs w:val="231"/>
          <w:color w:val="auto"/>
        </w:rPr>
        <w:t>Annual Report</w:t>
      </w:r>
    </w:p>
    <w:p>
      <w:pPr>
        <w:sectPr>
          <w:pgSz w:w="11880" w:h="15475" w:orient="portrait"/>
          <w:cols w:equalWidth="0" w:num="1">
            <w:col w:w="9415"/>
          </w:cols>
          <w:pgMar w:left="1020" w:top="1440" w:right="1440" w:bottom="472" w:gutter="0" w:footer="0" w:header="0"/>
        </w:sectPr>
      </w:pPr>
    </w:p>
    <w:bookmarkStart w:id="1" w:name="page2"/>
    <w:bookmarkEnd w:id="1"/>
    <w:p>
      <w:pPr>
        <w:spacing w:after="0"/>
        <w:rPr>
          <w:sz w:val="20"/>
          <w:szCs w:val="20"/>
          <w:color w:val="auto"/>
        </w:rPr>
      </w:pPr>
      <w:r>
        <w:rPr>
          <w:rFonts w:ascii="Arial" w:cs="Arial" w:eastAsia="Arial" w:hAnsi="Arial"/>
          <w:sz w:val="47"/>
          <w:szCs w:val="47"/>
          <w:color w:val="323E48"/>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Message from</w:t>
      </w:r>
    </w:p>
    <w:p>
      <w:pPr>
        <w:spacing w:after="0" w:line="45" w:lineRule="exact"/>
        <w:rPr>
          <w:sz w:val="20"/>
          <w:szCs w:val="20"/>
          <w:color w:val="auto"/>
        </w:rPr>
      </w:pPr>
    </w:p>
    <w:p>
      <w:pPr>
        <w:spacing w:after="0"/>
        <w:rPr>
          <w:sz w:val="20"/>
          <w:szCs w:val="20"/>
          <w:color w:val="auto"/>
        </w:rPr>
      </w:pPr>
      <w:r>
        <w:rPr>
          <w:rFonts w:ascii="Arial" w:cs="Arial" w:eastAsia="Arial" w:hAnsi="Arial"/>
          <w:sz w:val="47"/>
          <w:szCs w:val="47"/>
          <w:color w:val="323E48"/>
        </w:rPr>
        <w:t>Our President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323E48"/>
        </w:rPr>
        <w:t>In fiscal 2026, Paylocity continued significant growth at scale while also investing in innovation,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client service, and our people to drive further differentiation from our competitors. Our recurring</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and other revenue was $1.651B, a 12% year-over-year increase, and our total revenue was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$1.771B, an 11% year-over-year increase, as our focus on providing a unified platform for today’s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workforce continued to resonate with clients and prospects. We also increased profitability in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fiscal 2026, with adjusted EBITDA of $654.9M or 37.0% margin, adjusted EBITDA excluding</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interest income on funds held for clients of $534.9M or 32.4% margin, free cash flow of $427.8M</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or 24.2% margin, and free cash flow excluding interest income on funds held for clients of</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323E48"/>
        </w:rPr>
        <w:t>$307.8M or 18.6% margin.*</w:t>
      </w:r>
    </w:p>
    <w:p>
      <w:pPr>
        <w:spacing w:after="0" w:line="295" w:lineRule="exact"/>
        <w:rPr>
          <w:sz w:val="20"/>
          <w:szCs w:val="20"/>
          <w:color w:val="auto"/>
        </w:rPr>
      </w:pPr>
    </w:p>
    <w:p>
      <w:pPr>
        <w:ind w:right="40"/>
        <w:spacing w:after="0" w:line="281" w:lineRule="auto"/>
        <w:rPr>
          <w:sz w:val="20"/>
          <w:szCs w:val="20"/>
          <w:color w:val="auto"/>
        </w:rPr>
      </w:pPr>
      <w:r>
        <w:rPr>
          <w:rFonts w:ascii="Arial" w:cs="Arial" w:eastAsia="Arial" w:hAnsi="Arial"/>
          <w:sz w:val="21"/>
          <w:szCs w:val="21"/>
          <w:color w:val="323E48"/>
        </w:rPr>
        <w:t>Our innovation led the market in fiscal 2026 as we further extended our platform beyond traditional HCM with additional finance and IT capabilities, while also releasing Paylocity for Retirement and Elevate Solutions offerings – adding broader and deeper value for our clients. We also introduced Ignite AI, with purpose-built agents in areas like pay, time, and recruiting to deliver greater automation, productivity, and insights across the platform. Together, these solution launches strengthened our ability to help organizations operate more efficiently while creating better experiences for HR teams, business leaders, and employees.</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323E48"/>
        </w:rPr>
        <w:t>To support our growth-driving go-to-market initiatives, we expanded our sales force, referral channels, and brand presence throughout fiscal 2026. These initiatives resulted in a 7% increase in our client base, ending the year with 44,400 clients. We also maintained our revenue retention above 92%, reflecting the strength of our client relationships, service excellence, and the strategic value we provide to our clients.</w:t>
      </w:r>
    </w:p>
    <w:p>
      <w:pPr>
        <w:spacing w:after="0" w:line="184" w:lineRule="exact"/>
        <w:rPr>
          <w:sz w:val="20"/>
          <w:szCs w:val="20"/>
          <w:color w:val="auto"/>
        </w:rPr>
      </w:pPr>
    </w:p>
    <w:p>
      <w:pPr>
        <w:ind w:right="60"/>
        <w:spacing w:after="0" w:line="292" w:lineRule="auto"/>
        <w:rPr>
          <w:sz w:val="20"/>
          <w:szCs w:val="20"/>
          <w:color w:val="auto"/>
        </w:rPr>
      </w:pPr>
      <w:r>
        <w:rPr>
          <w:rFonts w:ascii="Arial" w:cs="Arial" w:eastAsia="Arial" w:hAnsi="Arial"/>
          <w:sz w:val="21"/>
          <w:szCs w:val="21"/>
          <w:color w:val="323E48"/>
        </w:rPr>
        <w:t>Looking ahead, we are excited to consistently deliver the most modern, comprehensive, and AI-driven platform connecting people, payroll, finance, and operations. We will continue investing in innovation, delivering exceptional client service, supporting our partners, and creating lasting value for our clients, employees, and shareholders.</w:t>
      </w:r>
    </w:p>
    <w:p>
      <w:pPr>
        <w:spacing w:after="0" w:line="180" w:lineRule="exact"/>
        <w:rPr>
          <w:sz w:val="20"/>
          <w:szCs w:val="20"/>
          <w:color w:val="auto"/>
        </w:rPr>
      </w:pPr>
    </w:p>
    <w:p>
      <w:pPr>
        <w:ind w:right="80"/>
        <w:spacing w:after="0" w:line="324" w:lineRule="auto"/>
        <w:rPr>
          <w:sz w:val="20"/>
          <w:szCs w:val="20"/>
          <w:color w:val="auto"/>
        </w:rPr>
      </w:pPr>
      <w:r>
        <w:rPr>
          <w:rFonts w:ascii="Arial" w:cs="Arial" w:eastAsia="Arial" w:hAnsi="Arial"/>
          <w:sz w:val="21"/>
          <w:szCs w:val="21"/>
          <w:color w:val="323E48"/>
        </w:rPr>
        <w:t>Thank you to our employees, clients, partners, and shareholders for your continued trust and support. Together, we are shaping the future of work while building a stronger Paylocity for years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340"/>
        <w:spacing w:after="0"/>
        <w:rPr>
          <w:sz w:val="20"/>
          <w:szCs w:val="20"/>
          <w:color w:val="auto"/>
        </w:rPr>
      </w:pPr>
      <w:r>
        <w:rPr>
          <w:rFonts w:ascii="Arial" w:cs="Arial" w:eastAsia="Arial" w:hAnsi="Arial"/>
          <w:sz w:val="23"/>
          <w:szCs w:val="23"/>
          <w:color w:val="323E48"/>
        </w:rPr>
        <w:t>Toby Williams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20"/>
          <w:szCs w:val="20"/>
          <w:color w:val="323E48"/>
        </w:rPr>
        <w:t>President and Chief Executive Officer</w:t>
      </w:r>
    </w:p>
    <w:p>
      <w:pPr>
        <w:sectPr>
          <w:pgSz w:w="11880" w:h="15475" w:orient="portrait"/>
          <w:cols w:equalWidth="0" w:num="1">
            <w:col w:w="9740"/>
          </w:cols>
          <w:pgMar w:left="1020" w:top="1003" w:right="1115" w:bottom="493"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323E48"/>
        </w:rPr>
        <w:t>*Refer to Financial Highlights and Appendix A for additional details on non-GAAP financial measures.</w:t>
      </w:r>
    </w:p>
    <w:p>
      <w:pPr>
        <w:sectPr>
          <w:pgSz w:w="11880" w:h="15475" w:orient="portrait"/>
          <w:cols w:equalWidth="0" w:num="1">
            <w:col w:w="9740"/>
          </w:cols>
          <w:pgMar w:left="1020" w:top="1003" w:right="1115" w:bottom="493" w:gutter="0" w:footer="0" w:header="0"/>
          <w:type w:val="continuous"/>
        </w:sectPr>
      </w:pPr>
    </w:p>
    <w:bookmarkStart w:id="2" w:name="page3"/>
    <w:bookmarkEnd w:id="2"/>
    <w:p>
      <w:pPr>
        <w:spacing w:after="0"/>
        <w:rPr>
          <w:sz w:val="20"/>
          <w:szCs w:val="20"/>
          <w:color w:val="auto"/>
        </w:rPr>
      </w:pPr>
      <w:r>
        <w:rPr>
          <w:rFonts w:ascii="Arial" w:cs="Arial" w:eastAsia="Arial" w:hAnsi="Arial"/>
          <w:sz w:val="47"/>
          <w:szCs w:val="47"/>
          <w:color w:val="323E48"/>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Fiscal Year 2026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860" w:type="dxa"/>
        <w:tblCellMar>
          <w:top w:w="0" w:type="dxa"/>
          <w:left w:w="0" w:type="dxa"/>
          <w:bottom w:w="0" w:type="dxa"/>
          <w:right w:w="0" w:type="dxa"/>
        </w:tblCellMar>
      </w:tblPr>
      <w:tr>
        <w:trPr>
          <w:trHeight w:val="402"/>
        </w:trPr>
        <w:tc>
          <w:tcPr>
            <w:tcW w:w="1840" w:type="dxa"/>
            <w:vAlign w:val="bottom"/>
          </w:tcPr>
          <w:p>
            <w:pPr>
              <w:jc w:val="center"/>
              <w:ind w:right="363"/>
              <w:spacing w:after="0"/>
              <w:rPr>
                <w:sz w:val="20"/>
                <w:szCs w:val="20"/>
                <w:color w:val="auto"/>
              </w:rPr>
            </w:pPr>
            <w:r>
              <w:rPr>
                <w:rFonts w:ascii="Arial" w:cs="Arial" w:eastAsia="Arial" w:hAnsi="Arial"/>
                <w:sz w:val="35"/>
                <w:szCs w:val="35"/>
                <w:color w:val="323E48"/>
              </w:rPr>
              <w:t>$1.651B</w:t>
            </w:r>
          </w:p>
        </w:tc>
        <w:tc>
          <w:tcPr>
            <w:tcW w:w="2180" w:type="dxa"/>
            <w:vAlign w:val="bottom"/>
            <w:vMerge w:val="restart"/>
          </w:tcPr>
          <w:p>
            <w:pPr>
              <w:jc w:val="right"/>
              <w:ind w:right="728"/>
              <w:spacing w:after="0"/>
              <w:rPr>
                <w:sz w:val="20"/>
                <w:szCs w:val="20"/>
                <w:color w:val="auto"/>
              </w:rPr>
            </w:pPr>
            <w:r>
              <w:rPr>
                <w:rFonts w:ascii="Arial" w:cs="Arial" w:eastAsia="Arial" w:hAnsi="Arial"/>
                <w:sz w:val="35"/>
                <w:szCs w:val="35"/>
                <w:color w:val="323E48"/>
              </w:rPr>
              <w:t>12%</w:t>
            </w:r>
          </w:p>
        </w:tc>
        <w:tc>
          <w:tcPr>
            <w:tcW w:w="2540" w:type="dxa"/>
            <w:vAlign w:val="bottom"/>
            <w:vMerge w:val="restart"/>
          </w:tcPr>
          <w:p>
            <w:pPr>
              <w:jc w:val="center"/>
              <w:ind w:left="208"/>
              <w:spacing w:after="0"/>
              <w:rPr>
                <w:sz w:val="20"/>
                <w:szCs w:val="20"/>
                <w:color w:val="auto"/>
              </w:rPr>
            </w:pPr>
            <w:r>
              <w:rPr>
                <w:rFonts w:ascii="Arial" w:cs="Arial" w:eastAsia="Arial" w:hAnsi="Arial"/>
                <w:sz w:val="35"/>
                <w:szCs w:val="35"/>
                <w:color w:val="323E48"/>
              </w:rPr>
              <w:t>$1.771B</w:t>
            </w:r>
          </w:p>
        </w:tc>
        <w:tc>
          <w:tcPr>
            <w:tcW w:w="1380" w:type="dxa"/>
            <w:vAlign w:val="bottom"/>
            <w:vMerge w:val="restart"/>
          </w:tcPr>
          <w:p>
            <w:pPr>
              <w:jc w:val="right"/>
              <w:ind w:right="8"/>
              <w:spacing w:after="0"/>
              <w:rPr>
                <w:sz w:val="20"/>
                <w:szCs w:val="20"/>
                <w:color w:val="auto"/>
              </w:rPr>
            </w:pPr>
            <w:r>
              <w:rPr>
                <w:rFonts w:ascii="Arial" w:cs="Arial" w:eastAsia="Arial" w:hAnsi="Arial"/>
                <w:sz w:val="35"/>
                <w:szCs w:val="35"/>
                <w:color w:val="auto"/>
              </w:rPr>
              <w:t>11%</w:t>
            </w:r>
          </w:p>
        </w:tc>
        <w:tc>
          <w:tcPr>
            <w:tcW w:w="0" w:type="dxa"/>
            <w:vAlign w:val="bottom"/>
          </w:tcPr>
          <w:p>
            <w:pPr>
              <w:spacing w:after="0"/>
              <w:rPr>
                <w:sz w:val="1"/>
                <w:szCs w:val="1"/>
                <w:color w:val="auto"/>
              </w:rPr>
            </w:pPr>
          </w:p>
        </w:tc>
      </w:tr>
      <w:tr>
        <w:trPr>
          <w:trHeight w:val="194"/>
        </w:trPr>
        <w:tc>
          <w:tcPr>
            <w:tcW w:w="1840" w:type="dxa"/>
            <w:vAlign w:val="bottom"/>
          </w:tcPr>
          <w:p>
            <w:pPr>
              <w:jc w:val="center"/>
              <w:ind w:right="383"/>
              <w:spacing w:after="0" w:line="195" w:lineRule="exact"/>
              <w:rPr>
                <w:sz w:val="20"/>
                <w:szCs w:val="20"/>
                <w:color w:val="auto"/>
              </w:rPr>
            </w:pPr>
            <w:r>
              <w:rPr>
                <w:rFonts w:ascii="Arial" w:cs="Arial" w:eastAsia="Arial" w:hAnsi="Arial"/>
                <w:sz w:val="18"/>
                <w:szCs w:val="18"/>
                <w:color w:val="323E48"/>
              </w:rPr>
              <w:t>Recurring and</w:t>
            </w:r>
          </w:p>
        </w:tc>
        <w:tc>
          <w:tcPr>
            <w:tcW w:w="2180" w:type="dxa"/>
            <w:vAlign w:val="bottom"/>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vMerge w:val="restart"/>
          </w:tcPr>
          <w:p>
            <w:pPr>
              <w:jc w:val="center"/>
              <w:ind w:right="383"/>
              <w:spacing w:after="0"/>
              <w:rPr>
                <w:sz w:val="20"/>
                <w:szCs w:val="20"/>
                <w:color w:val="auto"/>
              </w:rPr>
            </w:pPr>
            <w:r>
              <w:rPr>
                <w:rFonts w:ascii="Arial" w:cs="Arial" w:eastAsia="Arial" w:hAnsi="Arial"/>
                <w:sz w:val="18"/>
                <w:szCs w:val="18"/>
                <w:color w:val="323E48"/>
              </w:rPr>
              <w:t>other revenue</w:t>
            </w:r>
          </w:p>
        </w:tc>
        <w:tc>
          <w:tcPr>
            <w:tcW w:w="2180" w:type="dxa"/>
            <w:vAlign w:val="bottom"/>
          </w:tcPr>
          <w:p>
            <w:pPr>
              <w:jc w:val="center"/>
              <w:ind w:right="168"/>
              <w:spacing w:after="0" w:line="195" w:lineRule="exact"/>
              <w:rPr>
                <w:sz w:val="20"/>
                <w:szCs w:val="20"/>
                <w:color w:val="auto"/>
              </w:rPr>
            </w:pPr>
            <w:r>
              <w:rPr>
                <w:rFonts w:ascii="Arial" w:cs="Arial" w:eastAsia="Arial" w:hAnsi="Arial"/>
                <w:sz w:val="18"/>
                <w:szCs w:val="18"/>
                <w:color w:val="323E48"/>
              </w:rPr>
              <w:t>YoY growth</w:t>
            </w:r>
          </w:p>
        </w:tc>
        <w:tc>
          <w:tcPr>
            <w:tcW w:w="2540" w:type="dxa"/>
            <w:vAlign w:val="bottom"/>
          </w:tcPr>
          <w:p>
            <w:pPr>
              <w:jc w:val="center"/>
              <w:ind w:left="228"/>
              <w:spacing w:after="0" w:line="195" w:lineRule="exact"/>
              <w:rPr>
                <w:sz w:val="20"/>
                <w:szCs w:val="20"/>
                <w:color w:val="auto"/>
              </w:rPr>
            </w:pPr>
            <w:r>
              <w:rPr>
                <w:rFonts w:ascii="Arial" w:cs="Arial" w:eastAsia="Arial" w:hAnsi="Arial"/>
                <w:sz w:val="18"/>
                <w:szCs w:val="18"/>
                <w:color w:val="323E48"/>
              </w:rPr>
              <w:t>Total revenue</w:t>
            </w:r>
          </w:p>
        </w:tc>
        <w:tc>
          <w:tcPr>
            <w:tcW w:w="1380" w:type="dxa"/>
            <w:vAlign w:val="bottom"/>
          </w:tcPr>
          <w:p>
            <w:pPr>
              <w:jc w:val="center"/>
              <w:ind w:left="288"/>
              <w:spacing w:after="0" w:line="195" w:lineRule="exact"/>
              <w:rPr>
                <w:sz w:val="20"/>
                <w:szCs w:val="20"/>
                <w:color w:val="auto"/>
              </w:rPr>
            </w:pPr>
            <w:r>
              <w:rPr>
                <w:rFonts w:ascii="Arial" w:cs="Arial" w:eastAsia="Arial" w:hAnsi="Arial"/>
                <w:sz w:val="18"/>
                <w:szCs w:val="18"/>
                <w:color w:val="323E48"/>
              </w:rPr>
              <w:t>YoY growth</w:t>
            </w:r>
          </w:p>
        </w:tc>
        <w:tc>
          <w:tcPr>
            <w:tcW w:w="0" w:type="dxa"/>
            <w:vAlign w:val="bottom"/>
          </w:tcPr>
          <w:p>
            <w:pPr>
              <w:spacing w:after="0"/>
              <w:rPr>
                <w:sz w:val="1"/>
                <w:szCs w:val="1"/>
                <w:color w:val="auto"/>
              </w:rPr>
            </w:pPr>
          </w:p>
        </w:tc>
      </w:tr>
      <w:tr>
        <w:trPr>
          <w:trHeight w:val="56"/>
        </w:trPr>
        <w:tc>
          <w:tcPr>
            <w:tcW w:w="1840" w:type="dxa"/>
            <w:vAlign w:val="bottom"/>
            <w:vMerge w:val="continue"/>
          </w:tcPr>
          <w:p>
            <w:pPr>
              <w:spacing w:after="0"/>
              <w:rPr>
                <w:sz w:val="4"/>
                <w:szCs w:val="4"/>
                <w:color w:val="auto"/>
              </w:rPr>
            </w:pPr>
          </w:p>
        </w:tc>
        <w:tc>
          <w:tcPr>
            <w:tcW w:w="21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940" w:type="dxa"/>
            <w:vAlign w:val="bottom"/>
          </w:tcPr>
          <w:p>
            <w:pPr>
              <w:jc w:val="center"/>
              <w:ind w:right="185"/>
              <w:spacing w:after="0"/>
              <w:rPr>
                <w:sz w:val="20"/>
                <w:szCs w:val="20"/>
                <w:color w:val="auto"/>
              </w:rPr>
            </w:pPr>
            <w:r>
              <w:rPr>
                <w:rFonts w:ascii="Arial" w:cs="Arial" w:eastAsia="Arial" w:hAnsi="Arial"/>
                <w:sz w:val="18"/>
                <w:szCs w:val="18"/>
                <w:color w:val="323E48"/>
              </w:rPr>
              <w:t>Adjusted EBITDA</w:t>
            </w:r>
          </w:p>
        </w:tc>
        <w:tc>
          <w:tcPr>
            <w:tcW w:w="2300" w:type="dxa"/>
            <w:vAlign w:val="bottom"/>
          </w:tcPr>
          <w:p>
            <w:pPr>
              <w:jc w:val="center"/>
              <w:ind w:right="163"/>
              <w:spacing w:after="0"/>
              <w:rPr>
                <w:sz w:val="20"/>
                <w:szCs w:val="20"/>
                <w:color w:val="auto"/>
              </w:rPr>
            </w:pPr>
            <w:r>
              <w:rPr>
                <w:rFonts w:ascii="Arial" w:cs="Arial" w:eastAsia="Arial" w:hAnsi="Arial"/>
                <w:sz w:val="18"/>
                <w:szCs w:val="18"/>
                <w:color w:val="323E48"/>
              </w:rPr>
              <w:t>Adjusted EBITDA</w:t>
            </w:r>
          </w:p>
        </w:tc>
        <w:tc>
          <w:tcPr>
            <w:tcW w:w="2400" w:type="dxa"/>
            <w:vAlign w:val="bottom"/>
          </w:tcPr>
          <w:p>
            <w:pPr>
              <w:jc w:val="center"/>
              <w:ind w:left="325"/>
              <w:spacing w:after="0"/>
              <w:rPr>
                <w:sz w:val="20"/>
                <w:szCs w:val="20"/>
                <w:color w:val="auto"/>
              </w:rPr>
            </w:pPr>
            <w:r>
              <w:rPr>
                <w:rFonts w:ascii="Arial" w:cs="Arial" w:eastAsia="Arial" w:hAnsi="Arial"/>
                <w:sz w:val="18"/>
                <w:szCs w:val="18"/>
                <w:color w:val="323E48"/>
              </w:rPr>
              <w:t>Adjusted EBITDA</w:t>
            </w:r>
          </w:p>
        </w:tc>
        <w:tc>
          <w:tcPr>
            <w:tcW w:w="1800" w:type="dxa"/>
            <w:vAlign w:val="bottom"/>
          </w:tcPr>
          <w:p>
            <w:pPr>
              <w:jc w:val="center"/>
              <w:ind w:left="125"/>
              <w:spacing w:after="0"/>
              <w:rPr>
                <w:sz w:val="20"/>
                <w:szCs w:val="20"/>
                <w:color w:val="auto"/>
              </w:rPr>
            </w:pPr>
            <w:r>
              <w:rPr>
                <w:rFonts w:ascii="Arial" w:cs="Arial" w:eastAsia="Arial" w:hAnsi="Arial"/>
                <w:sz w:val="18"/>
                <w:szCs w:val="18"/>
                <w:color w:val="323E48"/>
              </w:rPr>
              <w:t>Adjusted EBITDA</w:t>
            </w:r>
          </w:p>
        </w:tc>
        <w:tc>
          <w:tcPr>
            <w:tcW w:w="0" w:type="dxa"/>
            <w:vAlign w:val="bottom"/>
          </w:tcPr>
          <w:p>
            <w:pPr>
              <w:spacing w:after="0"/>
              <w:rPr>
                <w:sz w:val="1"/>
                <w:szCs w:val="1"/>
                <w:color w:val="auto"/>
              </w:rPr>
            </w:pPr>
          </w:p>
        </w:tc>
      </w:tr>
      <w:tr>
        <w:trPr>
          <w:trHeight w:val="182"/>
        </w:trPr>
        <w:tc>
          <w:tcPr>
            <w:tcW w:w="1940" w:type="dxa"/>
            <w:vAlign w:val="bottom"/>
          </w:tcPr>
          <w:p>
            <w:pPr>
              <w:jc w:val="center"/>
              <w:ind w:right="205"/>
              <w:spacing w:after="0" w:line="183" w:lineRule="exact"/>
              <w:rPr>
                <w:sz w:val="20"/>
                <w:szCs w:val="20"/>
                <w:color w:val="auto"/>
              </w:rPr>
            </w:pPr>
            <w:r>
              <w:rPr>
                <w:rFonts w:ascii="Arial" w:cs="Arial" w:eastAsia="Arial" w:hAnsi="Arial"/>
                <w:sz w:val="21"/>
                <w:szCs w:val="21"/>
                <w:color w:val="323E48"/>
              </w:rPr>
              <w:t>$654.9M</w:t>
            </w:r>
          </w:p>
        </w:tc>
        <w:tc>
          <w:tcPr>
            <w:tcW w:w="2300" w:type="dxa"/>
            <w:vAlign w:val="bottom"/>
          </w:tcPr>
          <w:p>
            <w:pPr>
              <w:jc w:val="center"/>
              <w:ind w:right="163"/>
              <w:spacing w:after="0" w:line="182" w:lineRule="exact"/>
              <w:rPr>
                <w:sz w:val="20"/>
                <w:szCs w:val="20"/>
                <w:color w:val="auto"/>
              </w:rPr>
            </w:pPr>
            <w:r>
              <w:rPr>
                <w:rFonts w:ascii="Arial" w:cs="Arial" w:eastAsia="Arial" w:hAnsi="Arial"/>
                <w:sz w:val="18"/>
                <w:szCs w:val="18"/>
                <w:color w:val="323E48"/>
              </w:rPr>
              <w:t>margin</w:t>
            </w:r>
          </w:p>
        </w:tc>
        <w:tc>
          <w:tcPr>
            <w:tcW w:w="2400" w:type="dxa"/>
            <w:vAlign w:val="bottom"/>
          </w:tcPr>
          <w:p>
            <w:pPr>
              <w:jc w:val="center"/>
              <w:ind w:left="305"/>
              <w:spacing w:after="0"/>
              <w:rPr>
                <w:sz w:val="20"/>
                <w:szCs w:val="20"/>
                <w:color w:val="auto"/>
              </w:rPr>
            </w:pPr>
            <w:r>
              <w:rPr>
                <w:rFonts w:ascii="Arial" w:cs="Arial" w:eastAsia="Arial" w:hAnsi="Arial"/>
                <w:sz w:val="12"/>
                <w:szCs w:val="12"/>
                <w:color w:val="323E48"/>
              </w:rPr>
              <w:t>excluding interest income on</w:t>
            </w:r>
          </w:p>
        </w:tc>
        <w:tc>
          <w:tcPr>
            <w:tcW w:w="1800" w:type="dxa"/>
            <w:vAlign w:val="bottom"/>
          </w:tcPr>
          <w:p>
            <w:pPr>
              <w:jc w:val="center"/>
              <w:ind w:left="105"/>
              <w:spacing w:after="0"/>
              <w:rPr>
                <w:sz w:val="20"/>
                <w:szCs w:val="20"/>
                <w:color w:val="auto"/>
              </w:rPr>
            </w:pPr>
            <w:r>
              <w:rPr>
                <w:rFonts w:ascii="Arial" w:cs="Arial" w:eastAsia="Arial" w:hAnsi="Arial"/>
                <w:sz w:val="12"/>
                <w:szCs w:val="12"/>
                <w:color w:val="323E48"/>
              </w:rPr>
              <w:t>excluding interest income on</w:t>
            </w: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2300" w:type="dxa"/>
            <w:vAlign w:val="bottom"/>
            <w:vMerge w:val="restart"/>
          </w:tcPr>
          <w:p>
            <w:pPr>
              <w:jc w:val="center"/>
              <w:ind w:right="143"/>
              <w:spacing w:after="0"/>
              <w:rPr>
                <w:sz w:val="20"/>
                <w:szCs w:val="20"/>
                <w:color w:val="auto"/>
              </w:rPr>
            </w:pPr>
            <w:r>
              <w:rPr>
                <w:rFonts w:ascii="Arial" w:cs="Arial" w:eastAsia="Arial" w:hAnsi="Arial"/>
                <w:sz w:val="35"/>
                <w:szCs w:val="35"/>
                <w:color w:val="323E48"/>
              </w:rPr>
              <w:t>37.0%</w:t>
            </w:r>
          </w:p>
        </w:tc>
        <w:tc>
          <w:tcPr>
            <w:tcW w:w="2400" w:type="dxa"/>
            <w:vAlign w:val="bottom"/>
          </w:tcPr>
          <w:p>
            <w:pPr>
              <w:jc w:val="center"/>
              <w:ind w:left="325"/>
              <w:spacing w:after="0" w:line="130" w:lineRule="exact"/>
              <w:rPr>
                <w:sz w:val="20"/>
                <w:szCs w:val="20"/>
                <w:color w:val="auto"/>
              </w:rPr>
            </w:pPr>
            <w:r>
              <w:rPr>
                <w:rFonts w:ascii="Arial" w:cs="Arial" w:eastAsia="Arial" w:hAnsi="Arial"/>
                <w:sz w:val="12"/>
                <w:szCs w:val="12"/>
                <w:color w:val="323E48"/>
              </w:rPr>
              <w:t>funds held for clients</w:t>
            </w:r>
          </w:p>
        </w:tc>
        <w:tc>
          <w:tcPr>
            <w:tcW w:w="1800" w:type="dxa"/>
            <w:vAlign w:val="bottom"/>
          </w:tcPr>
          <w:p>
            <w:pPr>
              <w:jc w:val="center"/>
              <w:ind w:left="105"/>
              <w:spacing w:after="0" w:line="130" w:lineRule="exact"/>
              <w:rPr>
                <w:sz w:val="20"/>
                <w:szCs w:val="20"/>
                <w:color w:val="auto"/>
              </w:rPr>
            </w:pPr>
            <w:r>
              <w:rPr>
                <w:rFonts w:ascii="Arial" w:cs="Arial" w:eastAsia="Arial" w:hAnsi="Arial"/>
                <w:sz w:val="12"/>
                <w:szCs w:val="12"/>
                <w:color w:val="323E48"/>
              </w:rPr>
              <w:t>funds held for clients margin</w:t>
            </w:r>
          </w:p>
        </w:tc>
        <w:tc>
          <w:tcPr>
            <w:tcW w:w="0" w:type="dxa"/>
            <w:vAlign w:val="bottom"/>
          </w:tcPr>
          <w:p>
            <w:pPr>
              <w:spacing w:after="0"/>
              <w:rPr>
                <w:sz w:val="1"/>
                <w:szCs w:val="1"/>
                <w:color w:val="auto"/>
              </w:rPr>
            </w:pPr>
          </w:p>
        </w:tc>
      </w:tr>
      <w:tr>
        <w:trPr>
          <w:trHeight w:val="501"/>
        </w:trPr>
        <w:tc>
          <w:tcPr>
            <w:tcW w:w="19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400" w:type="dxa"/>
            <w:vAlign w:val="bottom"/>
          </w:tcPr>
          <w:p>
            <w:pPr>
              <w:jc w:val="center"/>
              <w:ind w:left="305"/>
              <w:spacing w:after="0"/>
              <w:rPr>
                <w:sz w:val="20"/>
                <w:szCs w:val="20"/>
                <w:color w:val="auto"/>
              </w:rPr>
            </w:pPr>
            <w:r>
              <w:rPr>
                <w:rFonts w:ascii="Arial" w:cs="Arial" w:eastAsia="Arial" w:hAnsi="Arial"/>
                <w:sz w:val="35"/>
                <w:szCs w:val="35"/>
                <w:color w:val="323E48"/>
              </w:rPr>
              <w:t>$534.9M</w:t>
            </w:r>
          </w:p>
        </w:tc>
        <w:tc>
          <w:tcPr>
            <w:tcW w:w="1800" w:type="dxa"/>
            <w:vAlign w:val="bottom"/>
          </w:tcPr>
          <w:p>
            <w:pPr>
              <w:jc w:val="center"/>
              <w:ind w:left="105"/>
              <w:spacing w:after="0"/>
              <w:rPr>
                <w:sz w:val="20"/>
                <w:szCs w:val="20"/>
                <w:color w:val="auto"/>
              </w:rPr>
            </w:pPr>
            <w:r>
              <w:rPr>
                <w:rFonts w:ascii="Arial" w:cs="Arial" w:eastAsia="Arial" w:hAnsi="Arial"/>
                <w:sz w:val="35"/>
                <w:szCs w:val="35"/>
                <w:color w:val="323E48"/>
              </w:rPr>
              <w:t>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00" w:type="dxa"/>
        <w:tblCellMar>
          <w:top w:w="0" w:type="dxa"/>
          <w:left w:w="0" w:type="dxa"/>
          <w:bottom w:w="0" w:type="dxa"/>
          <w:right w:w="0" w:type="dxa"/>
        </w:tblCellMar>
      </w:tblPr>
      <w:tr>
        <w:trPr>
          <w:trHeight w:val="217"/>
        </w:trPr>
        <w:tc>
          <w:tcPr>
            <w:tcW w:w="1740" w:type="dxa"/>
            <w:vAlign w:val="bottom"/>
          </w:tcPr>
          <w:p>
            <w:pPr>
              <w:jc w:val="center"/>
              <w:ind w:right="117"/>
              <w:spacing w:after="0"/>
              <w:rPr>
                <w:sz w:val="20"/>
                <w:szCs w:val="20"/>
                <w:color w:val="auto"/>
              </w:rPr>
            </w:pPr>
            <w:r>
              <w:rPr>
                <w:rFonts w:ascii="Arial" w:cs="Arial" w:eastAsia="Arial" w:hAnsi="Arial"/>
                <w:sz w:val="18"/>
                <w:szCs w:val="18"/>
                <w:color w:val="323E48"/>
              </w:rPr>
              <w:t>Free cash flow</w:t>
            </w:r>
          </w:p>
        </w:tc>
        <w:tc>
          <w:tcPr>
            <w:tcW w:w="2500" w:type="dxa"/>
            <w:vAlign w:val="bottom"/>
          </w:tcPr>
          <w:p>
            <w:pPr>
              <w:jc w:val="center"/>
              <w:ind w:right="217"/>
              <w:spacing w:after="0"/>
              <w:rPr>
                <w:sz w:val="20"/>
                <w:szCs w:val="20"/>
                <w:color w:val="auto"/>
              </w:rPr>
            </w:pPr>
            <w:r>
              <w:rPr>
                <w:rFonts w:ascii="Arial" w:cs="Arial" w:eastAsia="Arial" w:hAnsi="Arial"/>
                <w:sz w:val="18"/>
                <w:szCs w:val="18"/>
                <w:color w:val="323E48"/>
              </w:rPr>
              <w:t>Free cash flow margin</w:t>
            </w:r>
          </w:p>
        </w:tc>
        <w:tc>
          <w:tcPr>
            <w:tcW w:w="2280" w:type="dxa"/>
            <w:vAlign w:val="bottom"/>
          </w:tcPr>
          <w:p>
            <w:pPr>
              <w:jc w:val="center"/>
              <w:ind w:left="205"/>
              <w:spacing w:after="0"/>
              <w:rPr>
                <w:sz w:val="20"/>
                <w:szCs w:val="20"/>
                <w:color w:val="auto"/>
              </w:rPr>
            </w:pPr>
            <w:r>
              <w:rPr>
                <w:rFonts w:ascii="Arial" w:cs="Arial" w:eastAsia="Arial" w:hAnsi="Arial"/>
                <w:sz w:val="18"/>
                <w:szCs w:val="18"/>
                <w:color w:val="323E48"/>
              </w:rPr>
              <w:t>Free cash flow</w:t>
            </w:r>
          </w:p>
        </w:tc>
        <w:tc>
          <w:tcPr>
            <w:tcW w:w="1800" w:type="dxa"/>
            <w:vAlign w:val="bottom"/>
          </w:tcPr>
          <w:p>
            <w:pPr>
              <w:jc w:val="center"/>
              <w:ind w:left="105"/>
              <w:spacing w:after="0"/>
              <w:rPr>
                <w:sz w:val="20"/>
                <w:szCs w:val="20"/>
                <w:color w:val="auto"/>
              </w:rPr>
            </w:pPr>
            <w:r>
              <w:rPr>
                <w:rFonts w:ascii="Arial" w:cs="Arial" w:eastAsia="Arial" w:hAnsi="Arial"/>
                <w:sz w:val="18"/>
                <w:szCs w:val="18"/>
                <w:color w:val="323E48"/>
              </w:rPr>
              <w:t>Free cash flow</w:t>
            </w:r>
          </w:p>
        </w:tc>
        <w:tc>
          <w:tcPr>
            <w:tcW w:w="0" w:type="dxa"/>
            <w:vAlign w:val="bottom"/>
          </w:tcPr>
          <w:p>
            <w:pPr>
              <w:spacing w:after="0"/>
              <w:rPr>
                <w:sz w:val="1"/>
                <w:szCs w:val="1"/>
                <w:color w:val="auto"/>
              </w:rPr>
            </w:pPr>
          </w:p>
        </w:tc>
      </w:tr>
      <w:tr>
        <w:trPr>
          <w:trHeight w:val="134"/>
        </w:trPr>
        <w:tc>
          <w:tcPr>
            <w:tcW w:w="1740" w:type="dxa"/>
            <w:vAlign w:val="bottom"/>
          </w:tcPr>
          <w:p>
            <w:pPr>
              <w:jc w:val="center"/>
              <w:ind w:right="97"/>
              <w:spacing w:after="0" w:line="133" w:lineRule="exact"/>
              <w:rPr>
                <w:sz w:val="20"/>
                <w:szCs w:val="20"/>
                <w:color w:val="auto"/>
              </w:rPr>
            </w:pPr>
            <w:r>
              <w:rPr>
                <w:rFonts w:ascii="Arial" w:cs="Arial" w:eastAsia="Arial" w:hAnsi="Arial"/>
                <w:sz w:val="15"/>
                <w:szCs w:val="15"/>
                <w:color w:val="323E48"/>
              </w:rPr>
              <w:t>$427.8M</w:t>
            </w:r>
          </w:p>
        </w:tc>
        <w:tc>
          <w:tcPr>
            <w:tcW w:w="2500" w:type="dxa"/>
            <w:vAlign w:val="bottom"/>
          </w:tcPr>
          <w:p>
            <w:pPr>
              <w:jc w:val="right"/>
              <w:ind w:right="737"/>
              <w:spacing w:after="0" w:line="133" w:lineRule="exact"/>
              <w:rPr>
                <w:sz w:val="20"/>
                <w:szCs w:val="20"/>
                <w:color w:val="auto"/>
              </w:rPr>
            </w:pPr>
            <w:r>
              <w:rPr>
                <w:rFonts w:ascii="Arial" w:cs="Arial" w:eastAsia="Arial" w:hAnsi="Arial"/>
                <w:sz w:val="15"/>
                <w:szCs w:val="15"/>
                <w:color w:val="323E48"/>
              </w:rPr>
              <w:t>24.2%</w:t>
            </w:r>
          </w:p>
        </w:tc>
        <w:tc>
          <w:tcPr>
            <w:tcW w:w="2280" w:type="dxa"/>
            <w:vAlign w:val="bottom"/>
            <w:vMerge w:val="restart"/>
          </w:tcPr>
          <w:p>
            <w:pPr>
              <w:jc w:val="center"/>
              <w:ind w:left="185"/>
              <w:spacing w:after="0"/>
              <w:rPr>
                <w:sz w:val="20"/>
                <w:szCs w:val="20"/>
                <w:color w:val="auto"/>
              </w:rPr>
            </w:pPr>
            <w:r>
              <w:rPr>
                <w:rFonts w:ascii="Arial" w:cs="Arial" w:eastAsia="Arial" w:hAnsi="Arial"/>
                <w:sz w:val="12"/>
                <w:szCs w:val="12"/>
                <w:color w:val="323E48"/>
              </w:rPr>
              <w:t>excluding interest income on</w:t>
            </w:r>
          </w:p>
        </w:tc>
        <w:tc>
          <w:tcPr>
            <w:tcW w:w="1800" w:type="dxa"/>
            <w:vAlign w:val="bottom"/>
            <w:vMerge w:val="restart"/>
          </w:tcPr>
          <w:p>
            <w:pPr>
              <w:jc w:val="center"/>
              <w:ind w:left="105"/>
              <w:spacing w:after="0"/>
              <w:rPr>
                <w:sz w:val="20"/>
                <w:szCs w:val="20"/>
                <w:color w:val="auto"/>
              </w:rPr>
            </w:pPr>
            <w:r>
              <w:rPr>
                <w:rFonts w:ascii="Arial" w:cs="Arial" w:eastAsia="Arial" w:hAnsi="Arial"/>
                <w:sz w:val="12"/>
                <w:szCs w:val="12"/>
                <w:color w:val="323E48"/>
              </w:rPr>
              <w:t>excluding interest income on</w:t>
            </w: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280" w:type="dxa"/>
            <w:vAlign w:val="bottom"/>
          </w:tcPr>
          <w:p>
            <w:pPr>
              <w:jc w:val="center"/>
              <w:ind w:left="205"/>
              <w:spacing w:after="0" w:line="130" w:lineRule="exact"/>
              <w:rPr>
                <w:sz w:val="20"/>
                <w:szCs w:val="20"/>
                <w:color w:val="auto"/>
              </w:rPr>
            </w:pPr>
            <w:r>
              <w:rPr>
                <w:rFonts w:ascii="Arial" w:cs="Arial" w:eastAsia="Arial" w:hAnsi="Arial"/>
                <w:sz w:val="12"/>
                <w:szCs w:val="12"/>
                <w:color w:val="323E48"/>
              </w:rPr>
              <w:t>funds held for clients</w:t>
            </w:r>
          </w:p>
        </w:tc>
        <w:tc>
          <w:tcPr>
            <w:tcW w:w="1800" w:type="dxa"/>
            <w:vAlign w:val="bottom"/>
          </w:tcPr>
          <w:p>
            <w:pPr>
              <w:jc w:val="center"/>
              <w:ind w:left="105"/>
              <w:spacing w:after="0" w:line="130" w:lineRule="exact"/>
              <w:rPr>
                <w:sz w:val="20"/>
                <w:szCs w:val="20"/>
                <w:color w:val="auto"/>
              </w:rPr>
            </w:pPr>
            <w:r>
              <w:rPr>
                <w:rFonts w:ascii="Arial" w:cs="Arial" w:eastAsia="Arial" w:hAnsi="Arial"/>
                <w:sz w:val="12"/>
                <w:szCs w:val="12"/>
                <w:color w:val="323E48"/>
              </w:rPr>
              <w:t>funds held for clients margin</w:t>
            </w:r>
          </w:p>
        </w:tc>
        <w:tc>
          <w:tcPr>
            <w:tcW w:w="0" w:type="dxa"/>
            <w:vAlign w:val="bottom"/>
          </w:tcPr>
          <w:p>
            <w:pPr>
              <w:spacing w:after="0"/>
              <w:rPr>
                <w:sz w:val="1"/>
                <w:szCs w:val="1"/>
                <w:color w:val="auto"/>
              </w:rPr>
            </w:pPr>
          </w:p>
        </w:tc>
      </w:tr>
      <w:tr>
        <w:trPr>
          <w:trHeight w:val="501"/>
        </w:trPr>
        <w:tc>
          <w:tcPr>
            <w:tcW w:w="1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80" w:type="dxa"/>
            <w:vAlign w:val="bottom"/>
          </w:tcPr>
          <w:p>
            <w:pPr>
              <w:jc w:val="center"/>
              <w:ind w:left="185"/>
              <w:spacing w:after="0"/>
              <w:rPr>
                <w:sz w:val="20"/>
                <w:szCs w:val="20"/>
                <w:color w:val="auto"/>
              </w:rPr>
            </w:pPr>
            <w:r>
              <w:rPr>
                <w:rFonts w:ascii="Arial" w:cs="Arial" w:eastAsia="Arial" w:hAnsi="Arial"/>
                <w:sz w:val="35"/>
                <w:szCs w:val="35"/>
                <w:color w:val="323E48"/>
              </w:rPr>
              <w:t>$307.8M</w:t>
            </w:r>
          </w:p>
        </w:tc>
        <w:tc>
          <w:tcPr>
            <w:tcW w:w="1800" w:type="dxa"/>
            <w:vAlign w:val="bottom"/>
          </w:tcPr>
          <w:p>
            <w:pPr>
              <w:jc w:val="center"/>
              <w:ind w:left="105"/>
              <w:spacing w:after="0"/>
              <w:rPr>
                <w:sz w:val="20"/>
                <w:szCs w:val="20"/>
                <w:color w:val="auto"/>
              </w:rPr>
            </w:pPr>
            <w:r>
              <w:rPr>
                <w:rFonts w:ascii="Arial" w:cs="Arial" w:eastAsia="Arial" w:hAnsi="Arial"/>
                <w:sz w:val="35"/>
                <w:szCs w:val="35"/>
                <w:color w:val="323E48"/>
              </w:rPr>
              <w:t>18.6%</w:t>
            </w: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ind w:right="-404"/>
        <w:spacing w:after="0"/>
        <w:rPr>
          <w:sz w:val="20"/>
          <w:szCs w:val="20"/>
          <w:color w:val="auto"/>
        </w:rPr>
      </w:pPr>
      <w:r>
        <w:rPr>
          <w:rFonts w:ascii="Arial" w:cs="Arial" w:eastAsia="Arial" w:hAnsi="Arial"/>
          <w:sz w:val="76"/>
          <w:szCs w:val="76"/>
          <w:color w:val="F3F0EB"/>
        </w:rPr>
        <w:t>44,400</w:t>
      </w:r>
    </w:p>
    <w:p>
      <w:pPr>
        <w:spacing w:after="0" w:line="109" w:lineRule="exact"/>
        <w:rPr>
          <w:sz w:val="20"/>
          <w:szCs w:val="20"/>
          <w:color w:val="auto"/>
        </w:rPr>
      </w:pPr>
    </w:p>
    <w:p>
      <w:pPr>
        <w:jc w:val="center"/>
        <w:ind w:right="-404"/>
        <w:spacing w:after="0"/>
        <w:rPr>
          <w:sz w:val="20"/>
          <w:szCs w:val="20"/>
          <w:color w:val="auto"/>
        </w:rPr>
      </w:pPr>
      <w:r>
        <w:rPr>
          <w:rFonts w:ascii="Arial" w:cs="Arial" w:eastAsia="Arial" w:hAnsi="Arial"/>
          <w:sz w:val="34"/>
          <w:szCs w:val="34"/>
          <w:color w:val="F3F0EB"/>
        </w:rPr>
        <w:t>Clients</w:t>
      </w:r>
    </w:p>
    <w:p>
      <w:pPr>
        <w:spacing w:after="0" w:line="389" w:lineRule="exact"/>
        <w:rPr>
          <w:sz w:val="20"/>
          <w:szCs w:val="20"/>
          <w:color w:val="auto"/>
        </w:rPr>
      </w:pPr>
    </w:p>
    <w:p>
      <w:pPr>
        <w:jc w:val="right"/>
        <w:ind w:right="495"/>
        <w:spacing w:after="0"/>
        <w:tabs>
          <w:tab w:leader="none" w:pos="1640" w:val="left"/>
        </w:tabs>
        <w:rPr>
          <w:sz w:val="20"/>
          <w:szCs w:val="20"/>
          <w:color w:val="auto"/>
        </w:rPr>
      </w:pPr>
      <w:r>
        <w:rPr>
          <w:rFonts w:ascii="Arial" w:cs="Arial" w:eastAsia="Arial" w:hAnsi="Arial"/>
          <w:sz w:val="47"/>
          <w:szCs w:val="47"/>
          <w:color w:val="323E48"/>
        </w:rPr>
        <w:t>6.7M+</w:t>
      </w:r>
      <w:r>
        <w:rPr>
          <w:sz w:val="20"/>
          <w:szCs w:val="20"/>
          <w:color w:val="auto"/>
        </w:rPr>
        <w:tab/>
      </w:r>
      <w:r>
        <w:rPr>
          <w:rFonts w:ascii="Arial" w:cs="Arial" w:eastAsia="Arial" w:hAnsi="Arial"/>
          <w:sz w:val="47"/>
          <w:szCs w:val="47"/>
          <w:color w:val="323E48"/>
        </w:rPr>
        <w:t>92%+</w:t>
      </w:r>
    </w:p>
    <w:p>
      <w:pPr>
        <w:spacing w:after="0" w:line="27" w:lineRule="exact"/>
        <w:rPr>
          <w:sz w:val="20"/>
          <w:szCs w:val="20"/>
          <w:color w:val="auto"/>
        </w:rPr>
      </w:pPr>
    </w:p>
    <w:tbl>
      <w:tblPr>
        <w:tblLayout w:type="fixed"/>
        <w:tblInd w:w="2280" w:type="dxa"/>
        <w:tblCellMar>
          <w:top w:w="0" w:type="dxa"/>
          <w:left w:w="0" w:type="dxa"/>
          <w:bottom w:w="0" w:type="dxa"/>
          <w:right w:w="0" w:type="dxa"/>
        </w:tblCellMar>
      </w:tblPr>
      <w:tr>
        <w:trPr>
          <w:trHeight w:val="312"/>
        </w:trPr>
        <w:tc>
          <w:tcPr>
            <w:tcW w:w="3320" w:type="dxa"/>
            <w:vAlign w:val="bottom"/>
          </w:tcPr>
          <w:p>
            <w:pPr>
              <w:spacing w:after="0"/>
              <w:rPr>
                <w:sz w:val="20"/>
                <w:szCs w:val="20"/>
                <w:color w:val="auto"/>
              </w:rPr>
            </w:pPr>
            <w:r>
              <w:rPr>
                <w:rFonts w:ascii="Arial" w:cs="Arial" w:eastAsia="Arial" w:hAnsi="Arial"/>
                <w:sz w:val="27"/>
                <w:szCs w:val="27"/>
                <w:color w:val="323E48"/>
              </w:rPr>
              <w:t>Employees</w:t>
            </w:r>
          </w:p>
        </w:tc>
        <w:tc>
          <w:tcPr>
            <w:tcW w:w="2980" w:type="dxa"/>
            <w:vAlign w:val="bottom"/>
          </w:tcPr>
          <w:p>
            <w:pPr>
              <w:ind w:left="1860"/>
              <w:spacing w:after="0"/>
              <w:rPr>
                <w:sz w:val="20"/>
                <w:szCs w:val="20"/>
                <w:color w:val="auto"/>
              </w:rPr>
            </w:pPr>
            <w:r>
              <w:rPr>
                <w:rFonts w:ascii="Arial" w:cs="Arial" w:eastAsia="Arial" w:hAnsi="Arial"/>
                <w:sz w:val="27"/>
                <w:szCs w:val="27"/>
                <w:color w:val="323E48"/>
              </w:rPr>
              <w:t>Revenue</w:t>
            </w:r>
          </w:p>
        </w:tc>
      </w:tr>
      <w:tr>
        <w:trPr>
          <w:trHeight w:val="427"/>
        </w:trPr>
        <w:tc>
          <w:tcPr>
            <w:tcW w:w="3320" w:type="dxa"/>
            <w:vAlign w:val="bottom"/>
          </w:tcPr>
          <w:p>
            <w:pPr>
              <w:spacing w:after="0"/>
              <w:rPr>
                <w:sz w:val="20"/>
                <w:szCs w:val="20"/>
                <w:color w:val="auto"/>
              </w:rPr>
            </w:pPr>
            <w:r>
              <w:rPr>
                <w:rFonts w:ascii="Arial" w:cs="Arial" w:eastAsia="Arial" w:hAnsi="Arial"/>
                <w:sz w:val="27"/>
                <w:szCs w:val="27"/>
                <w:color w:val="323E48"/>
              </w:rPr>
              <w:t>on platform</w:t>
            </w:r>
          </w:p>
        </w:tc>
        <w:tc>
          <w:tcPr>
            <w:tcW w:w="2980" w:type="dxa"/>
            <w:vAlign w:val="bottom"/>
          </w:tcPr>
          <w:p>
            <w:pPr>
              <w:ind w:left="1860"/>
              <w:spacing w:after="0"/>
              <w:rPr>
                <w:sz w:val="20"/>
                <w:szCs w:val="20"/>
                <w:color w:val="auto"/>
              </w:rPr>
            </w:pPr>
            <w:r>
              <w:rPr>
                <w:rFonts w:ascii="Arial" w:cs="Arial" w:eastAsia="Arial" w:hAnsi="Arial"/>
                <w:sz w:val="27"/>
                <w:szCs w:val="27"/>
                <w:color w:val="323E48"/>
              </w:rPr>
              <w:t>retention</w:t>
            </w:r>
          </w:p>
        </w:tc>
      </w:tr>
    </w:tbl>
    <w:p>
      <w:pPr>
        <w:spacing w:after="0" w:line="300" w:lineRule="exact"/>
        <w:rPr>
          <w:sz w:val="20"/>
          <w:szCs w:val="20"/>
          <w:color w:val="auto"/>
        </w:rPr>
      </w:pPr>
    </w:p>
    <w:p>
      <w:pPr>
        <w:ind w:left="3720"/>
        <w:spacing w:after="0"/>
        <w:rPr>
          <w:sz w:val="20"/>
          <w:szCs w:val="20"/>
          <w:color w:val="auto"/>
        </w:rPr>
      </w:pPr>
      <w:r>
        <w:rPr>
          <w:rFonts w:ascii="Arial" w:cs="Arial" w:eastAsia="Arial" w:hAnsi="Arial"/>
          <w:sz w:val="76"/>
          <w:szCs w:val="76"/>
          <w:color w:val="F3F0EB"/>
        </w:rPr>
        <w:t>6,900</w:t>
      </w:r>
    </w:p>
    <w:p>
      <w:pPr>
        <w:spacing w:after="0" w:line="109" w:lineRule="exact"/>
        <w:rPr>
          <w:sz w:val="20"/>
          <w:szCs w:val="20"/>
          <w:color w:val="auto"/>
        </w:rPr>
      </w:pPr>
    </w:p>
    <w:p>
      <w:pPr>
        <w:ind w:left="3960"/>
        <w:spacing w:after="0"/>
        <w:rPr>
          <w:sz w:val="20"/>
          <w:szCs w:val="20"/>
          <w:color w:val="auto"/>
        </w:rPr>
      </w:pPr>
      <w:r>
        <w:rPr>
          <w:rFonts w:ascii="Arial" w:cs="Arial" w:eastAsia="Arial" w:hAnsi="Arial"/>
          <w:sz w:val="34"/>
          <w:szCs w:val="34"/>
          <w:color w:val="F3F0EB"/>
        </w:rPr>
        <w:t>Employees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Arial" w:cs="Arial" w:eastAsia="Arial" w:hAnsi="Arial"/>
          <w:sz w:val="27"/>
          <w:szCs w:val="27"/>
          <w:color w:val="323E48"/>
        </w:rPr>
        <w:t>Headquarters</w:t>
      </w:r>
    </w:p>
    <w:p>
      <w:pPr>
        <w:ind w:left="4000"/>
        <w:spacing w:after="0"/>
        <w:rPr>
          <w:sz w:val="20"/>
          <w:szCs w:val="20"/>
          <w:color w:val="auto"/>
        </w:rPr>
      </w:pPr>
      <w:r>
        <w:rPr>
          <w:rFonts w:ascii="Arial" w:cs="Arial" w:eastAsia="Arial" w:hAnsi="Arial"/>
          <w:sz w:val="35"/>
          <w:szCs w:val="35"/>
          <w:color w:val="323E48"/>
        </w:rPr>
        <w:t>Schaumburg, IL</w:t>
      </w:r>
    </w:p>
    <w:p>
      <w:pPr>
        <w:sectPr>
          <w:pgSz w:w="11880" w:h="15475" w:orient="portrait"/>
          <w:cols w:equalWidth="0" w:num="1">
            <w:col w:w="9395"/>
          </w:cols>
          <w:pgMar w:left="1040" w:top="1003" w:right="1440" w:bottom="4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323E48"/>
        </w:rPr>
        <w:t>* Refer to Appendix A for a reconciliation of GAAP to non-GAAP financial measures.</w:t>
      </w:r>
    </w:p>
    <w:p>
      <w:pPr>
        <w:sectPr>
          <w:pgSz w:w="11880" w:h="15475" w:orient="portrait"/>
          <w:cols w:equalWidth="0" w:num="1">
            <w:col w:w="9395"/>
          </w:cols>
          <w:pgMar w:left="1040" w:top="1003" w:right="1440" w:bottom="493" w:gutter="0" w:footer="0" w:header="0"/>
          <w:type w:val="continuous"/>
        </w:sectPr>
      </w:pPr>
    </w:p>
    <w:bookmarkStart w:id="3" w:name="page4"/>
    <w:bookmarkEnd w:id="3"/>
    <w:p>
      <w:pPr>
        <w:spacing w:after="0"/>
        <w:rPr>
          <w:sz w:val="20"/>
          <w:szCs w:val="20"/>
          <w:color w:val="auto"/>
        </w:rPr>
      </w:pPr>
      <w:r>
        <w:rPr>
          <w:rFonts w:ascii="Arial" w:cs="Arial" w:eastAsia="Arial" w:hAnsi="Arial"/>
          <w:sz w:val="39"/>
          <w:szCs w:val="39"/>
          <w:color w:val="F3F0EB"/>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Innovation</w:t>
      </w:r>
    </w:p>
    <w:p>
      <w:pPr>
        <w:spacing w:after="0" w:line="245" w:lineRule="exact"/>
        <w:rPr>
          <w:sz w:val="20"/>
          <w:szCs w:val="20"/>
          <w:color w:val="auto"/>
        </w:rPr>
      </w:pPr>
    </w:p>
    <w:p>
      <w:pPr>
        <w:ind w:left="60" w:right="5240"/>
        <w:spacing w:after="0" w:line="292" w:lineRule="auto"/>
        <w:rPr>
          <w:sz w:val="20"/>
          <w:szCs w:val="20"/>
          <w:color w:val="auto"/>
        </w:rPr>
      </w:pPr>
      <w:r>
        <w:rPr>
          <w:rFonts w:ascii="Arial" w:cs="Arial" w:eastAsia="Arial" w:hAnsi="Arial"/>
          <w:sz w:val="47"/>
          <w:szCs w:val="47"/>
          <w:color w:val="323E48"/>
        </w:rPr>
        <w:t>Real Results, Driven by Real Innovation</w:t>
      </w:r>
    </w:p>
    <w:p>
      <w:pPr>
        <w:spacing w:after="0" w:line="1" w:lineRule="exact"/>
        <w:rPr>
          <w:sz w:val="20"/>
          <w:szCs w:val="20"/>
          <w:color w:val="auto"/>
        </w:rPr>
      </w:pPr>
    </w:p>
    <w:p>
      <w:pPr>
        <w:ind w:left="60" w:right="4820"/>
        <w:spacing w:after="0" w:line="268" w:lineRule="auto"/>
        <w:rPr>
          <w:sz w:val="20"/>
          <w:szCs w:val="20"/>
          <w:color w:val="auto"/>
        </w:rPr>
      </w:pPr>
      <w:r>
        <w:rPr>
          <w:rFonts w:ascii="Arial" w:cs="Arial" w:eastAsia="Arial" w:hAnsi="Arial"/>
          <w:sz w:val="20"/>
          <w:szCs w:val="20"/>
          <w:color w:val="323E48"/>
        </w:rPr>
        <w:t>We deliver first-to-market innovations that solve complex challenges and drive business outcomes for our 44,400 clients. Building on our award-winning HCM suite, we’re unifying work across HR, Finance, and IT into one connected experience so organizations can stop piecing things together and start moving forward faster. With a focus on the future, including embedded AI capabilities, our solutions push the boundaries of traditional HR and finance technology to streamline processes, boost efficiency, simplify spend management, and deliver seamless, intuitive experiences to make leaders, administrators, and employees more productive.</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23"/>
          <w:szCs w:val="23"/>
          <w:color w:val="000005"/>
        </w:rPr>
        <w:t>Complete HCM Capabilities</w:t>
      </w:r>
    </w:p>
    <w:p>
      <w:pPr>
        <w:spacing w:after="0" w:line="32" w:lineRule="exact"/>
        <w:rPr>
          <w:sz w:val="20"/>
          <w:szCs w:val="20"/>
          <w:color w:val="auto"/>
        </w:rPr>
      </w:pPr>
    </w:p>
    <w:p>
      <w:pPr>
        <w:ind w:left="60" w:right="4880"/>
        <w:spacing w:after="0" w:line="264" w:lineRule="auto"/>
        <w:rPr>
          <w:sz w:val="20"/>
          <w:szCs w:val="20"/>
          <w:color w:val="auto"/>
        </w:rPr>
      </w:pPr>
      <w:r>
        <w:rPr>
          <w:rFonts w:ascii="Arial" w:cs="Arial" w:eastAsia="Arial" w:hAnsi="Arial"/>
          <w:sz w:val="20"/>
          <w:szCs w:val="20"/>
          <w:color w:val="323E48"/>
        </w:rPr>
        <w:t>Paylocity automates all the processes across the employee lifecycle in one place, so organizations save</w:t>
      </w:r>
    </w:p>
    <w:p>
      <w:pPr>
        <w:spacing w:after="0" w:line="1" w:lineRule="exact"/>
        <w:rPr>
          <w:sz w:val="20"/>
          <w:szCs w:val="20"/>
          <w:color w:val="auto"/>
        </w:rPr>
      </w:pPr>
    </w:p>
    <w:p>
      <w:pPr>
        <w:ind w:left="60" w:right="220"/>
        <w:spacing w:after="0" w:line="289" w:lineRule="auto"/>
        <w:rPr>
          <w:sz w:val="20"/>
          <w:szCs w:val="20"/>
          <w:color w:val="auto"/>
        </w:rPr>
      </w:pPr>
      <w:r>
        <w:rPr>
          <w:rFonts w:ascii="Arial" w:cs="Arial" w:eastAsia="Arial" w:hAnsi="Arial"/>
          <w:sz w:val="20"/>
          <w:szCs w:val="20"/>
          <w:color w:val="323E48"/>
        </w:rPr>
        <w:t>time, reduce administrative burden, and create a smoother experience for employees and managers alike. From recruiting and onboarding to benefits, payroll, and performance management, our solution has the breadth to meet an organization’s HR needs and the flexibility to scale as it grows.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23"/>
          <w:szCs w:val="23"/>
          <w:color w:val="000005"/>
        </w:rPr>
        <w:t>Paylocity for Finance &amp; IT</w:t>
      </w:r>
    </w:p>
    <w:p>
      <w:pPr>
        <w:spacing w:after="0" w:line="32" w:lineRule="exact"/>
        <w:rPr>
          <w:sz w:val="20"/>
          <w:szCs w:val="20"/>
          <w:color w:val="auto"/>
        </w:rPr>
      </w:pPr>
    </w:p>
    <w:p>
      <w:pPr>
        <w:ind w:left="60" w:right="20"/>
        <w:spacing w:after="0" w:line="281" w:lineRule="auto"/>
        <w:rPr>
          <w:sz w:val="20"/>
          <w:szCs w:val="20"/>
          <w:color w:val="auto"/>
        </w:rPr>
      </w:pPr>
      <w:r>
        <w:rPr>
          <w:rFonts w:ascii="Arial" w:cs="Arial" w:eastAsia="Arial" w:hAnsi="Arial"/>
          <w:sz w:val="20"/>
          <w:szCs w:val="20"/>
          <w:color w:val="323E48"/>
        </w:rPr>
        <w:t>Our platform goes beyond HR, giving Finance and IT the tools to support higher efficiency and compliance across the organization. For Finance, Paylocity centralizes payroll and non-payroll spend, including expense management, accounts payable, corporate cards, and procurement. For IT, we automate provisioning, access, and updates to software and hardware with a direct connection to the person record.</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23"/>
          <w:szCs w:val="23"/>
          <w:color w:val="000005"/>
        </w:rPr>
        <w:t>Unified by a Powerful Core</w:t>
      </w:r>
    </w:p>
    <w:p>
      <w:pPr>
        <w:spacing w:after="0" w:line="32" w:lineRule="exact"/>
        <w:rPr>
          <w:sz w:val="20"/>
          <w:szCs w:val="20"/>
          <w:color w:val="auto"/>
        </w:rPr>
      </w:pPr>
    </w:p>
    <w:p>
      <w:pPr>
        <w:ind w:left="60" w:right="100"/>
        <w:spacing w:after="0" w:line="277" w:lineRule="auto"/>
        <w:rPr>
          <w:sz w:val="20"/>
          <w:szCs w:val="20"/>
          <w:color w:val="auto"/>
        </w:rPr>
      </w:pPr>
      <w:r>
        <w:rPr>
          <w:rFonts w:ascii="Arial" w:cs="Arial" w:eastAsia="Arial" w:hAnsi="Arial"/>
          <w:sz w:val="20"/>
          <w:szCs w:val="20"/>
          <w:color w:val="323E48"/>
        </w:rPr>
        <w:t>At the center of our platform is a single person record with effortless workflows and integrations that automate work across teams and systems. A consistent, consumer-grade experience gives employees access to everything they need in a top-rated mobile app that keeps them productive anywhere they work. And with analytics and reporting embedded throughout the platform, we give leaders a single pane of glass to see their entire business clearly.</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3"/>
          <w:szCs w:val="23"/>
          <w:color w:val="000005"/>
        </w:rPr>
        <w:t>Ignite AI</w:t>
      </w:r>
    </w:p>
    <w:p>
      <w:pPr>
        <w:spacing w:after="0" w:line="32" w:lineRule="exact"/>
        <w:rPr>
          <w:sz w:val="20"/>
          <w:szCs w:val="20"/>
          <w:color w:val="auto"/>
        </w:rPr>
      </w:pPr>
    </w:p>
    <w:p>
      <w:pPr>
        <w:ind w:left="60"/>
        <w:spacing w:after="0" w:line="277" w:lineRule="auto"/>
        <w:rPr>
          <w:sz w:val="20"/>
          <w:szCs w:val="20"/>
          <w:color w:val="auto"/>
        </w:rPr>
      </w:pPr>
      <w:r>
        <w:rPr>
          <w:rFonts w:ascii="Arial" w:cs="Arial" w:eastAsia="Arial" w:hAnsi="Arial"/>
          <w:sz w:val="20"/>
          <w:szCs w:val="20"/>
          <w:color w:val="323E48"/>
        </w:rPr>
        <w:t>AI is embedded throughout Paylocity’s platform, bringing data, insights, and automation into moments where decisions are made and work gets done. Purpose-built agents across the platform automate tasks in areas like pay, time, recruiting, and other places where work often slows down. We also offer the Ignite AI Hub, a centralized dashboard for managing and measuring AI across the organization. It provides the visibility and control organizations need to confidently deploy AI while keeping people at the center of decision-making.</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3"/>
          <w:szCs w:val="23"/>
          <w:color w:val="000005"/>
        </w:rPr>
        <w:t>Unmatched Client Service</w:t>
      </w:r>
    </w:p>
    <w:p>
      <w:pPr>
        <w:spacing w:after="0" w:line="32" w:lineRule="exact"/>
        <w:rPr>
          <w:sz w:val="20"/>
          <w:szCs w:val="20"/>
          <w:color w:val="auto"/>
        </w:rPr>
      </w:pPr>
    </w:p>
    <w:p>
      <w:pPr>
        <w:ind w:left="60" w:right="100"/>
        <w:spacing w:after="0" w:line="281" w:lineRule="auto"/>
        <w:rPr>
          <w:sz w:val="20"/>
          <w:szCs w:val="20"/>
          <w:color w:val="auto"/>
        </w:rPr>
      </w:pPr>
      <w:r>
        <w:rPr>
          <w:rFonts w:ascii="Arial" w:cs="Arial" w:eastAsia="Arial" w:hAnsi="Arial"/>
          <w:sz w:val="20"/>
          <w:szCs w:val="20"/>
          <w:color w:val="323E48"/>
        </w:rPr>
        <w:t>Since we were founded, we’ve provided service that our clients say is the best in the industry. We build deep, long-lasting partnerships from initial implementation to ongoing service — establishing a track record of going beyond the transactional to move clients toward strategic goals. We consider clients “co-creators,” regularly soliciting and prioritizing their feedback in our product and service roadmaps.</w:t>
      </w:r>
    </w:p>
    <w:p>
      <w:pPr>
        <w:sectPr>
          <w:pgSz w:w="11880" w:h="15475" w:orient="portrait"/>
          <w:cols w:equalWidth="0" w:num="1">
            <w:col w:w="9860"/>
          </w:cols>
          <w:pgMar w:left="960" w:top="1115" w:right="1055" w:bottom="354" w:gutter="0" w:footer="0" w:header="0"/>
        </w:sectPr>
      </w:pPr>
    </w:p>
    <w:bookmarkStart w:id="4" w:name="page5"/>
    <w:bookmarkEnd w:id="4"/>
    <w:p>
      <w:pPr>
        <w:spacing w:after="0"/>
        <w:rPr>
          <w:sz w:val="20"/>
          <w:szCs w:val="20"/>
          <w:color w:val="auto"/>
        </w:rPr>
      </w:pPr>
      <w:r>
        <w:rPr>
          <w:rFonts w:ascii="Arial" w:cs="Arial" w:eastAsia="Arial" w:hAnsi="Arial"/>
          <w:sz w:val="39"/>
          <w:szCs w:val="39"/>
          <w:color w:val="F3F0EB"/>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Product</w:t>
      </w:r>
    </w:p>
    <w:p>
      <w:pPr>
        <w:spacing w:after="0" w:line="245" w:lineRule="exact"/>
        <w:rPr>
          <w:sz w:val="20"/>
          <w:szCs w:val="20"/>
          <w:color w:val="auto"/>
        </w:rPr>
      </w:pPr>
    </w:p>
    <w:p>
      <w:pPr>
        <w:ind w:left="80" w:right="1075"/>
        <w:spacing w:after="0" w:line="316" w:lineRule="auto"/>
        <w:rPr>
          <w:sz w:val="20"/>
          <w:szCs w:val="20"/>
          <w:color w:val="auto"/>
        </w:rPr>
      </w:pPr>
      <w:r>
        <w:rPr>
          <w:rFonts w:ascii="Arial" w:cs="Arial" w:eastAsia="Arial" w:hAnsi="Arial"/>
          <w:sz w:val="47"/>
          <w:szCs w:val="47"/>
          <w:color w:val="323E48"/>
        </w:rPr>
        <w:t>The Most Complete Platform for the Modern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80" w:type="dxa"/>
        <w:tblCellMar>
          <w:top w:w="0" w:type="dxa"/>
          <w:left w:w="0" w:type="dxa"/>
          <w:bottom w:w="0" w:type="dxa"/>
          <w:right w:w="0" w:type="dxa"/>
        </w:tblCellMar>
      </w:tblPr>
      <w:tr>
        <w:trPr>
          <w:trHeight w:val="365"/>
        </w:trPr>
        <w:tc>
          <w:tcPr>
            <w:tcW w:w="2800" w:type="dxa"/>
            <w:vAlign w:val="bottom"/>
          </w:tcPr>
          <w:p>
            <w:pPr>
              <w:ind w:left="360"/>
              <w:spacing w:after="0"/>
              <w:rPr>
                <w:sz w:val="20"/>
                <w:szCs w:val="20"/>
                <w:color w:val="auto"/>
              </w:rPr>
            </w:pPr>
            <w:r>
              <w:rPr>
                <w:rFonts w:ascii="Arial" w:cs="Arial" w:eastAsia="Arial" w:hAnsi="Arial"/>
                <w:sz w:val="23"/>
                <w:szCs w:val="23"/>
                <w:color w:val="000005"/>
              </w:rPr>
              <w:t>Payroll</w:t>
            </w:r>
          </w:p>
        </w:tc>
        <w:tc>
          <w:tcPr>
            <w:tcW w:w="3520" w:type="dxa"/>
            <w:vAlign w:val="bottom"/>
          </w:tcPr>
          <w:p>
            <w:pPr>
              <w:ind w:left="680"/>
              <w:spacing w:after="0"/>
              <w:rPr>
                <w:sz w:val="20"/>
                <w:szCs w:val="20"/>
                <w:color w:val="auto"/>
              </w:rPr>
            </w:pPr>
            <w:r>
              <w:rPr>
                <w:rFonts w:ascii="Arial" w:cs="Arial" w:eastAsia="Arial" w:hAnsi="Arial"/>
                <w:sz w:val="23"/>
                <w:szCs w:val="23"/>
                <w:color w:val="000005"/>
              </w:rPr>
              <w:t>Employee Experience</w:t>
            </w:r>
          </w:p>
        </w:tc>
        <w:tc>
          <w:tcPr>
            <w:tcW w:w="2720" w:type="dxa"/>
            <w:vAlign w:val="bottom"/>
          </w:tcPr>
          <w:p>
            <w:pPr>
              <w:ind w:left="740"/>
              <w:spacing w:after="0"/>
              <w:rPr>
                <w:sz w:val="20"/>
                <w:szCs w:val="20"/>
                <w:color w:val="auto"/>
              </w:rPr>
            </w:pPr>
            <w:r>
              <w:rPr>
                <w:rFonts w:ascii="Arial" w:cs="Arial" w:eastAsia="Arial" w:hAnsi="Arial"/>
                <w:sz w:val="23"/>
                <w:szCs w:val="23"/>
                <w:color w:val="auto"/>
              </w:rPr>
              <w:t>Finance</w:t>
            </w:r>
          </w:p>
        </w:tc>
        <w:tc>
          <w:tcPr>
            <w:tcW w:w="0" w:type="dxa"/>
            <w:vAlign w:val="bottom"/>
          </w:tcPr>
          <w:p>
            <w:pPr>
              <w:spacing w:after="0"/>
              <w:rPr>
                <w:sz w:val="1"/>
                <w:szCs w:val="1"/>
                <w:color w:val="auto"/>
              </w:rPr>
            </w:pPr>
          </w:p>
        </w:tc>
      </w:tr>
      <w:tr>
        <w:trPr>
          <w:trHeight w:val="316"/>
        </w:trPr>
        <w:tc>
          <w:tcPr>
            <w:tcW w:w="2800" w:type="dxa"/>
            <w:vAlign w:val="bottom"/>
          </w:tcPr>
          <w:p>
            <w:pPr>
              <w:spacing w:after="0"/>
              <w:rPr>
                <w:sz w:val="20"/>
                <w:szCs w:val="20"/>
                <w:color w:val="auto"/>
              </w:rPr>
            </w:pPr>
            <w:r>
              <w:rPr>
                <w:rFonts w:ascii="Arial" w:cs="Arial" w:eastAsia="Arial" w:hAnsi="Arial"/>
                <w:sz w:val="20"/>
                <w:szCs w:val="20"/>
                <w:color w:val="000005"/>
              </w:rPr>
              <w:t>• SaaS-based Payroll</w:t>
            </w:r>
          </w:p>
        </w:tc>
        <w:tc>
          <w:tcPr>
            <w:tcW w:w="3520" w:type="dxa"/>
            <w:vAlign w:val="bottom"/>
          </w:tcPr>
          <w:p>
            <w:pPr>
              <w:ind w:left="320"/>
              <w:spacing w:after="0"/>
              <w:rPr>
                <w:sz w:val="20"/>
                <w:szCs w:val="20"/>
                <w:color w:val="auto"/>
              </w:rPr>
            </w:pPr>
            <w:r>
              <w:rPr>
                <w:rFonts w:ascii="Arial" w:cs="Arial" w:eastAsia="Arial" w:hAnsi="Arial"/>
                <w:sz w:val="20"/>
                <w:szCs w:val="20"/>
                <w:color w:val="000005"/>
              </w:rPr>
              <w:t>• Community</w:t>
            </w:r>
          </w:p>
        </w:tc>
        <w:tc>
          <w:tcPr>
            <w:tcW w:w="2720" w:type="dxa"/>
            <w:vAlign w:val="bottom"/>
          </w:tcPr>
          <w:p>
            <w:pPr>
              <w:ind w:left="380"/>
              <w:spacing w:after="0"/>
              <w:rPr>
                <w:sz w:val="20"/>
                <w:szCs w:val="20"/>
                <w:color w:val="auto"/>
              </w:rPr>
            </w:pPr>
            <w:r>
              <w:rPr>
                <w:rFonts w:ascii="Arial" w:cs="Arial" w:eastAsia="Arial" w:hAnsi="Arial"/>
                <w:sz w:val="20"/>
                <w:szCs w:val="20"/>
                <w:color w:val="000005"/>
              </w:rPr>
              <w:t>• Headcount Planning</w:t>
            </w: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Global Payroll</w:t>
            </w:r>
          </w:p>
        </w:tc>
        <w:tc>
          <w:tcPr>
            <w:tcW w:w="3520" w:type="dxa"/>
            <w:vAlign w:val="bottom"/>
          </w:tcPr>
          <w:p>
            <w:pPr>
              <w:ind w:left="320"/>
              <w:spacing w:after="0"/>
              <w:rPr>
                <w:sz w:val="20"/>
                <w:szCs w:val="20"/>
                <w:color w:val="auto"/>
              </w:rPr>
            </w:pPr>
            <w:r>
              <w:rPr>
                <w:rFonts w:ascii="Arial" w:cs="Arial" w:eastAsia="Arial" w:hAnsi="Arial"/>
                <w:sz w:val="20"/>
                <w:szCs w:val="20"/>
                <w:color w:val="000005"/>
              </w:rPr>
              <w:t>• Video</w:t>
            </w:r>
          </w:p>
        </w:tc>
        <w:tc>
          <w:tcPr>
            <w:tcW w:w="2720" w:type="dxa"/>
            <w:vAlign w:val="bottom"/>
          </w:tcPr>
          <w:p>
            <w:pPr>
              <w:ind w:left="380"/>
              <w:spacing w:after="0"/>
              <w:rPr>
                <w:sz w:val="20"/>
                <w:szCs w:val="20"/>
                <w:color w:val="auto"/>
              </w:rPr>
            </w:pPr>
            <w:r>
              <w:rPr>
                <w:rFonts w:ascii="Arial" w:cs="Arial" w:eastAsia="Arial" w:hAnsi="Arial"/>
                <w:sz w:val="20"/>
                <w:szCs w:val="20"/>
                <w:color w:val="000005"/>
              </w:rPr>
              <w:t>• Expense Management</w:t>
            </w: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Tax Filing, Direct Deposit</w:t>
            </w:r>
          </w:p>
        </w:tc>
        <w:tc>
          <w:tcPr>
            <w:tcW w:w="3520" w:type="dxa"/>
            <w:vAlign w:val="bottom"/>
          </w:tcPr>
          <w:p>
            <w:pPr>
              <w:ind w:left="320"/>
              <w:spacing w:after="0"/>
              <w:rPr>
                <w:sz w:val="20"/>
                <w:szCs w:val="20"/>
                <w:color w:val="auto"/>
              </w:rPr>
            </w:pPr>
            <w:r>
              <w:rPr>
                <w:rFonts w:ascii="Arial" w:cs="Arial" w:eastAsia="Arial" w:hAnsi="Arial"/>
                <w:sz w:val="20"/>
                <w:szCs w:val="20"/>
                <w:color w:val="000005"/>
              </w:rPr>
              <w:t>• Recognition &amp; Rewards</w:t>
            </w:r>
          </w:p>
        </w:tc>
        <w:tc>
          <w:tcPr>
            <w:tcW w:w="2720" w:type="dxa"/>
            <w:vAlign w:val="bottom"/>
          </w:tcPr>
          <w:p>
            <w:pPr>
              <w:ind w:left="380"/>
              <w:spacing w:after="0"/>
              <w:rPr>
                <w:sz w:val="20"/>
                <w:szCs w:val="20"/>
                <w:color w:val="auto"/>
              </w:rPr>
            </w:pPr>
            <w:r>
              <w:rPr>
                <w:rFonts w:ascii="Arial" w:cs="Arial" w:eastAsia="Arial" w:hAnsi="Arial"/>
                <w:sz w:val="20"/>
                <w:szCs w:val="20"/>
                <w:color w:val="000005"/>
              </w:rPr>
              <w:t>• Bill Pay | AP Automation</w:t>
            </w: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On Demand Payment</w:t>
            </w:r>
          </w:p>
        </w:tc>
        <w:tc>
          <w:tcPr>
            <w:tcW w:w="3520" w:type="dxa"/>
            <w:vAlign w:val="bottom"/>
          </w:tcPr>
          <w:p>
            <w:pPr>
              <w:ind w:left="320"/>
              <w:spacing w:after="0"/>
              <w:rPr>
                <w:sz w:val="20"/>
                <w:szCs w:val="20"/>
                <w:color w:val="auto"/>
              </w:rPr>
            </w:pPr>
            <w:r>
              <w:rPr>
                <w:rFonts w:ascii="Arial" w:cs="Arial" w:eastAsia="Arial" w:hAnsi="Arial"/>
                <w:sz w:val="20"/>
                <w:szCs w:val="20"/>
                <w:color w:val="000005"/>
              </w:rPr>
              <w:t>• Employee Voice</w:t>
            </w:r>
          </w:p>
        </w:tc>
        <w:tc>
          <w:tcPr>
            <w:tcW w:w="2720" w:type="dxa"/>
            <w:vAlign w:val="bottom"/>
          </w:tcPr>
          <w:p>
            <w:pPr>
              <w:ind w:left="380"/>
              <w:spacing w:after="0"/>
              <w:rPr>
                <w:sz w:val="20"/>
                <w:szCs w:val="20"/>
                <w:color w:val="auto"/>
              </w:rPr>
            </w:pPr>
            <w:r>
              <w:rPr>
                <w:rFonts w:ascii="Arial" w:cs="Arial" w:eastAsia="Arial" w:hAnsi="Arial"/>
                <w:sz w:val="20"/>
                <w:szCs w:val="20"/>
                <w:color w:val="000005"/>
              </w:rPr>
              <w:t>• Corporate Cards</w:t>
            </w:r>
          </w:p>
        </w:tc>
        <w:tc>
          <w:tcPr>
            <w:tcW w:w="0" w:type="dxa"/>
            <w:vAlign w:val="bottom"/>
          </w:tcPr>
          <w:p>
            <w:pPr>
              <w:spacing w:after="0"/>
              <w:rPr>
                <w:sz w:val="1"/>
                <w:szCs w:val="1"/>
                <w:color w:val="auto"/>
              </w:rPr>
            </w:pPr>
          </w:p>
        </w:tc>
      </w:tr>
      <w:tr>
        <w:trPr>
          <w:trHeight w:val="284"/>
        </w:trPr>
        <w:tc>
          <w:tcPr>
            <w:tcW w:w="2800" w:type="dxa"/>
            <w:vAlign w:val="bottom"/>
            <w:vMerge w:val="restart"/>
          </w:tcPr>
          <w:p>
            <w:pPr>
              <w:ind w:left="360"/>
              <w:spacing w:after="0"/>
              <w:rPr>
                <w:sz w:val="20"/>
                <w:szCs w:val="20"/>
                <w:color w:val="auto"/>
              </w:rPr>
            </w:pPr>
            <w:r>
              <w:rPr>
                <w:rFonts w:ascii="Arial" w:cs="Arial" w:eastAsia="Arial" w:hAnsi="Arial"/>
                <w:sz w:val="23"/>
                <w:szCs w:val="23"/>
                <w:color w:val="000005"/>
              </w:rPr>
              <w:t>Human Resources</w:t>
            </w:r>
          </w:p>
        </w:tc>
        <w:tc>
          <w:tcPr>
            <w:tcW w:w="3520" w:type="dxa"/>
            <w:vAlign w:val="bottom"/>
            <w:vMerge w:val="restart"/>
          </w:tcPr>
          <w:p>
            <w:pPr>
              <w:ind w:left="680"/>
              <w:spacing w:after="0"/>
              <w:rPr>
                <w:sz w:val="20"/>
                <w:szCs w:val="20"/>
                <w:color w:val="auto"/>
              </w:rPr>
            </w:pPr>
            <w:r>
              <w:rPr>
                <w:rFonts w:ascii="Arial" w:cs="Arial" w:eastAsia="Arial" w:hAnsi="Arial"/>
                <w:sz w:val="23"/>
                <w:szCs w:val="23"/>
                <w:color w:val="000005"/>
              </w:rPr>
              <w:t>Time &amp; Labor</w:t>
            </w:r>
          </w:p>
        </w:tc>
        <w:tc>
          <w:tcPr>
            <w:tcW w:w="2720" w:type="dxa"/>
            <w:vAlign w:val="bottom"/>
          </w:tcPr>
          <w:p>
            <w:pPr>
              <w:ind w:left="380"/>
              <w:spacing w:after="0"/>
              <w:rPr>
                <w:sz w:val="20"/>
                <w:szCs w:val="20"/>
                <w:color w:val="auto"/>
              </w:rPr>
            </w:pPr>
            <w:r>
              <w:rPr>
                <w:rFonts w:ascii="Arial" w:cs="Arial" w:eastAsia="Arial" w:hAnsi="Arial"/>
                <w:sz w:val="20"/>
                <w:szCs w:val="20"/>
                <w:color w:val="000005"/>
              </w:rPr>
              <w:t>• Procurement</w:t>
            </w:r>
          </w:p>
        </w:tc>
        <w:tc>
          <w:tcPr>
            <w:tcW w:w="0" w:type="dxa"/>
            <w:vAlign w:val="bottom"/>
          </w:tcPr>
          <w:p>
            <w:pPr>
              <w:spacing w:after="0"/>
              <w:rPr>
                <w:sz w:val="1"/>
                <w:szCs w:val="1"/>
                <w:color w:val="auto"/>
              </w:rPr>
            </w:pPr>
          </w:p>
        </w:tc>
      </w:tr>
      <w:tr>
        <w:trPr>
          <w:trHeight w:val="258"/>
        </w:trPr>
        <w:tc>
          <w:tcPr>
            <w:tcW w:w="2800" w:type="dxa"/>
            <w:vAlign w:val="bottom"/>
            <w:vMerge w:val="continue"/>
          </w:tcPr>
          <w:p>
            <w:pPr>
              <w:spacing w:after="0"/>
              <w:rPr>
                <w:sz w:val="22"/>
                <w:szCs w:val="22"/>
                <w:color w:val="auto"/>
              </w:rPr>
            </w:pPr>
          </w:p>
        </w:tc>
        <w:tc>
          <w:tcPr>
            <w:tcW w:w="3520" w:type="dxa"/>
            <w:vAlign w:val="bottom"/>
            <w:vMerge w:val="continue"/>
          </w:tcPr>
          <w:p>
            <w:pPr>
              <w:spacing w:after="0"/>
              <w:rPr>
                <w:sz w:val="22"/>
                <w:szCs w:val="22"/>
                <w:color w:val="auto"/>
              </w:rPr>
            </w:pPr>
          </w:p>
        </w:tc>
        <w:tc>
          <w:tcPr>
            <w:tcW w:w="2720" w:type="dxa"/>
            <w:vAlign w:val="bottom"/>
            <w:vMerge w:val="restart"/>
          </w:tcPr>
          <w:p>
            <w:pPr>
              <w:ind w:left="740"/>
              <w:spacing w:after="0"/>
              <w:rPr>
                <w:sz w:val="20"/>
                <w:szCs w:val="20"/>
                <w:color w:val="auto"/>
              </w:rPr>
            </w:pPr>
            <w:r>
              <w:rPr>
                <w:rFonts w:ascii="Arial" w:cs="Arial" w:eastAsia="Arial" w:hAnsi="Arial"/>
                <w:sz w:val="23"/>
                <w:szCs w:val="23"/>
                <w:color w:val="000005"/>
              </w:rPr>
              <w:t>IT</w:t>
            </w:r>
          </w:p>
        </w:tc>
        <w:tc>
          <w:tcPr>
            <w:tcW w:w="0" w:type="dxa"/>
            <w:vAlign w:val="bottom"/>
          </w:tcPr>
          <w:p>
            <w:pPr>
              <w:spacing w:after="0"/>
              <w:rPr>
                <w:sz w:val="1"/>
                <w:szCs w:val="1"/>
                <w:color w:val="auto"/>
              </w:rPr>
            </w:pPr>
          </w:p>
        </w:tc>
      </w:tr>
      <w:tr>
        <w:trPr>
          <w:trHeight w:val="316"/>
        </w:trPr>
        <w:tc>
          <w:tcPr>
            <w:tcW w:w="2800" w:type="dxa"/>
            <w:vAlign w:val="bottom"/>
          </w:tcPr>
          <w:p>
            <w:pPr>
              <w:spacing w:after="0"/>
              <w:rPr>
                <w:sz w:val="20"/>
                <w:szCs w:val="20"/>
                <w:color w:val="auto"/>
              </w:rPr>
            </w:pPr>
            <w:r>
              <w:rPr>
                <w:rFonts w:ascii="Arial" w:cs="Arial" w:eastAsia="Arial" w:hAnsi="Arial"/>
                <w:sz w:val="20"/>
                <w:szCs w:val="20"/>
                <w:color w:val="000005"/>
              </w:rPr>
              <w:t>• Employee Self-Service</w:t>
            </w:r>
          </w:p>
        </w:tc>
        <w:tc>
          <w:tcPr>
            <w:tcW w:w="3520" w:type="dxa"/>
            <w:vAlign w:val="bottom"/>
          </w:tcPr>
          <w:p>
            <w:pPr>
              <w:ind w:left="320"/>
              <w:spacing w:after="0"/>
              <w:rPr>
                <w:sz w:val="20"/>
                <w:szCs w:val="20"/>
                <w:color w:val="auto"/>
              </w:rPr>
            </w:pPr>
            <w:r>
              <w:rPr>
                <w:rFonts w:ascii="Arial" w:cs="Arial" w:eastAsia="Arial" w:hAnsi="Arial"/>
                <w:sz w:val="20"/>
                <w:szCs w:val="20"/>
                <w:color w:val="000005"/>
              </w:rPr>
              <w:t>• Time &amp; Attendance</w:t>
            </w: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800" w:type="dxa"/>
            <w:vAlign w:val="bottom"/>
          </w:tcPr>
          <w:p>
            <w:pPr>
              <w:spacing w:after="0"/>
              <w:rPr>
                <w:sz w:val="20"/>
                <w:szCs w:val="20"/>
                <w:color w:val="auto"/>
              </w:rPr>
            </w:pPr>
            <w:r>
              <w:rPr>
                <w:rFonts w:ascii="Arial" w:cs="Arial" w:eastAsia="Arial" w:hAnsi="Arial"/>
                <w:sz w:val="20"/>
                <w:szCs w:val="20"/>
                <w:color w:val="000005"/>
              </w:rPr>
              <w:t>• Compliance &amp; Record</w:t>
            </w:r>
          </w:p>
        </w:tc>
        <w:tc>
          <w:tcPr>
            <w:tcW w:w="3520" w:type="dxa"/>
            <w:vAlign w:val="bottom"/>
          </w:tcPr>
          <w:p>
            <w:pPr>
              <w:ind w:left="320"/>
              <w:spacing w:after="0"/>
              <w:rPr>
                <w:sz w:val="20"/>
                <w:szCs w:val="20"/>
                <w:color w:val="auto"/>
              </w:rPr>
            </w:pPr>
            <w:r>
              <w:rPr>
                <w:rFonts w:ascii="Arial" w:cs="Arial" w:eastAsia="Arial" w:hAnsi="Arial"/>
                <w:sz w:val="20"/>
                <w:szCs w:val="20"/>
                <w:color w:val="000005"/>
              </w:rPr>
              <w:t>• Scheduling</w:t>
            </w:r>
          </w:p>
        </w:tc>
        <w:tc>
          <w:tcPr>
            <w:tcW w:w="2720" w:type="dxa"/>
            <w:vAlign w:val="bottom"/>
          </w:tcPr>
          <w:p>
            <w:pPr>
              <w:ind w:left="380"/>
              <w:spacing w:after="0"/>
              <w:rPr>
                <w:sz w:val="20"/>
                <w:szCs w:val="20"/>
                <w:color w:val="auto"/>
              </w:rPr>
            </w:pPr>
            <w:r>
              <w:rPr>
                <w:rFonts w:ascii="Arial" w:cs="Arial" w:eastAsia="Arial" w:hAnsi="Arial"/>
                <w:sz w:val="20"/>
                <w:szCs w:val="20"/>
                <w:color w:val="000005"/>
              </w:rPr>
              <w:t>• Asset Management</w:t>
            </w:r>
          </w:p>
        </w:tc>
        <w:tc>
          <w:tcPr>
            <w:tcW w:w="0" w:type="dxa"/>
            <w:vAlign w:val="bottom"/>
          </w:tcPr>
          <w:p>
            <w:pPr>
              <w:spacing w:after="0"/>
              <w:rPr>
                <w:sz w:val="1"/>
                <w:szCs w:val="1"/>
                <w:color w:val="auto"/>
              </w:rPr>
            </w:pPr>
          </w:p>
        </w:tc>
      </w:tr>
      <w:tr>
        <w:trPr>
          <w:trHeight w:val="322"/>
        </w:trPr>
        <w:tc>
          <w:tcPr>
            <w:tcW w:w="2800" w:type="dxa"/>
            <w:vAlign w:val="bottom"/>
          </w:tcPr>
          <w:p>
            <w:pPr>
              <w:ind w:left="160"/>
              <w:spacing w:after="0"/>
              <w:rPr>
                <w:sz w:val="20"/>
                <w:szCs w:val="20"/>
                <w:color w:val="auto"/>
              </w:rPr>
            </w:pPr>
            <w:r>
              <w:rPr>
                <w:rFonts w:ascii="Arial" w:cs="Arial" w:eastAsia="Arial" w:hAnsi="Arial"/>
                <w:sz w:val="20"/>
                <w:szCs w:val="20"/>
                <w:color w:val="000005"/>
              </w:rPr>
              <w:t>Keeping</w:t>
            </w:r>
          </w:p>
        </w:tc>
        <w:tc>
          <w:tcPr>
            <w:tcW w:w="3520" w:type="dxa"/>
            <w:vAlign w:val="bottom"/>
          </w:tcPr>
          <w:p>
            <w:pPr>
              <w:ind w:left="320"/>
              <w:spacing w:after="0"/>
              <w:rPr>
                <w:sz w:val="20"/>
                <w:szCs w:val="20"/>
                <w:color w:val="auto"/>
              </w:rPr>
            </w:pPr>
            <w:r>
              <w:rPr>
                <w:rFonts w:ascii="Arial" w:cs="Arial" w:eastAsia="Arial" w:hAnsi="Arial"/>
                <w:sz w:val="20"/>
                <w:szCs w:val="20"/>
                <w:color w:val="000005"/>
              </w:rPr>
              <w:t>• Time Collection</w:t>
            </w:r>
          </w:p>
        </w:tc>
        <w:tc>
          <w:tcPr>
            <w:tcW w:w="2720" w:type="dxa"/>
            <w:vAlign w:val="bottom"/>
          </w:tcPr>
          <w:p>
            <w:pPr>
              <w:ind w:left="380"/>
              <w:spacing w:after="0"/>
              <w:rPr>
                <w:sz w:val="20"/>
                <w:szCs w:val="20"/>
                <w:color w:val="auto"/>
              </w:rPr>
            </w:pPr>
            <w:r>
              <w:rPr>
                <w:rFonts w:ascii="Arial" w:cs="Arial" w:eastAsia="Arial" w:hAnsi="Arial"/>
                <w:sz w:val="20"/>
                <w:szCs w:val="20"/>
                <w:color w:val="000005"/>
              </w:rPr>
              <w:t>• Access Management</w:t>
            </w:r>
          </w:p>
        </w:tc>
        <w:tc>
          <w:tcPr>
            <w:tcW w:w="0" w:type="dxa"/>
            <w:vAlign w:val="bottom"/>
          </w:tcPr>
          <w:p>
            <w:pPr>
              <w:spacing w:after="0"/>
              <w:rPr>
                <w:sz w:val="1"/>
                <w:szCs w:val="1"/>
                <w:color w:val="auto"/>
              </w:rPr>
            </w:pPr>
          </w:p>
        </w:tc>
      </w:tr>
      <w:tr>
        <w:trPr>
          <w:trHeight w:val="278"/>
        </w:trPr>
        <w:tc>
          <w:tcPr>
            <w:tcW w:w="2800" w:type="dxa"/>
            <w:vAlign w:val="bottom"/>
          </w:tcPr>
          <w:p>
            <w:pPr>
              <w:spacing w:after="0"/>
              <w:rPr>
                <w:sz w:val="20"/>
                <w:szCs w:val="20"/>
                <w:color w:val="auto"/>
              </w:rPr>
            </w:pPr>
            <w:r>
              <w:rPr>
                <w:rFonts w:ascii="Arial" w:cs="Arial" w:eastAsia="Arial" w:hAnsi="Arial"/>
                <w:sz w:val="20"/>
                <w:szCs w:val="20"/>
                <w:color w:val="000005"/>
              </w:rPr>
              <w:t>• Workflows &amp; Documents</w:t>
            </w:r>
          </w:p>
        </w:tc>
        <w:tc>
          <w:tcPr>
            <w:tcW w:w="3520" w:type="dxa"/>
            <w:vAlign w:val="bottom"/>
            <w:vMerge w:val="restart"/>
          </w:tcPr>
          <w:p>
            <w:pPr>
              <w:ind w:left="680"/>
              <w:spacing w:after="0"/>
              <w:rPr>
                <w:sz w:val="20"/>
                <w:szCs w:val="20"/>
                <w:color w:val="auto"/>
              </w:rPr>
            </w:pPr>
            <w:r>
              <w:rPr>
                <w:rFonts w:ascii="Arial" w:cs="Arial" w:eastAsia="Arial" w:hAnsi="Arial"/>
                <w:sz w:val="23"/>
                <w:szCs w:val="23"/>
                <w:color w:val="000005"/>
              </w:rPr>
              <w:t>Benefits</w:t>
            </w:r>
          </w:p>
        </w:tc>
        <w:tc>
          <w:tcPr>
            <w:tcW w:w="2720" w:type="dxa"/>
            <w:vAlign w:val="bottom"/>
            <w:vMerge w:val="restart"/>
          </w:tcPr>
          <w:p>
            <w:pPr>
              <w:ind w:left="740"/>
              <w:spacing w:after="0"/>
              <w:rPr>
                <w:sz w:val="20"/>
                <w:szCs w:val="20"/>
                <w:color w:val="auto"/>
              </w:rPr>
            </w:pPr>
            <w:r>
              <w:rPr>
                <w:rFonts w:ascii="Arial" w:cs="Arial" w:eastAsia="Arial" w:hAnsi="Arial"/>
                <w:sz w:val="23"/>
                <w:szCs w:val="23"/>
                <w:color w:val="000005"/>
              </w:rPr>
              <w:t>Services</w:t>
            </w:r>
          </w:p>
        </w:tc>
        <w:tc>
          <w:tcPr>
            <w:tcW w:w="0" w:type="dxa"/>
            <w:vAlign w:val="bottom"/>
          </w:tcPr>
          <w:p>
            <w:pPr>
              <w:spacing w:after="0"/>
              <w:rPr>
                <w:sz w:val="1"/>
                <w:szCs w:val="1"/>
                <w:color w:val="auto"/>
              </w:rPr>
            </w:pPr>
          </w:p>
        </w:tc>
      </w:tr>
      <w:tr>
        <w:trPr>
          <w:trHeight w:val="276"/>
        </w:trPr>
        <w:tc>
          <w:tcPr>
            <w:tcW w:w="2800" w:type="dxa"/>
            <w:vAlign w:val="bottom"/>
            <w:vMerge w:val="restart"/>
          </w:tcPr>
          <w:p>
            <w:pPr>
              <w:ind w:left="360"/>
              <w:spacing w:after="0"/>
              <w:rPr>
                <w:sz w:val="20"/>
                <w:szCs w:val="20"/>
                <w:color w:val="auto"/>
              </w:rPr>
            </w:pPr>
            <w:r>
              <w:rPr>
                <w:rFonts w:ascii="Arial" w:cs="Arial" w:eastAsia="Arial" w:hAnsi="Arial"/>
                <w:sz w:val="23"/>
                <w:szCs w:val="23"/>
                <w:color w:val="000005"/>
              </w:rPr>
              <w:t>Talent</w:t>
            </w:r>
          </w:p>
        </w:tc>
        <w:tc>
          <w:tcPr>
            <w:tcW w:w="352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0" w:type="dxa"/>
            <w:vAlign w:val="bottom"/>
            <w:vMerge w:val="continue"/>
          </w:tcPr>
          <w:p>
            <w:pPr>
              <w:spacing w:after="0"/>
              <w:rPr>
                <w:sz w:val="24"/>
                <w:szCs w:val="24"/>
                <w:color w:val="auto"/>
              </w:rPr>
            </w:pPr>
          </w:p>
        </w:tc>
        <w:tc>
          <w:tcPr>
            <w:tcW w:w="3520" w:type="dxa"/>
            <w:vAlign w:val="bottom"/>
          </w:tcPr>
          <w:p>
            <w:pPr>
              <w:ind w:left="320"/>
              <w:spacing w:after="0"/>
              <w:rPr>
                <w:sz w:val="20"/>
                <w:szCs w:val="20"/>
                <w:color w:val="auto"/>
              </w:rPr>
            </w:pPr>
            <w:r>
              <w:rPr>
                <w:rFonts w:ascii="Arial" w:cs="Arial" w:eastAsia="Arial" w:hAnsi="Arial"/>
                <w:sz w:val="20"/>
                <w:szCs w:val="20"/>
                <w:color w:val="000005"/>
              </w:rPr>
              <w:t>• Benefit Administration</w:t>
            </w:r>
          </w:p>
        </w:tc>
        <w:tc>
          <w:tcPr>
            <w:tcW w:w="2720" w:type="dxa"/>
            <w:vAlign w:val="bottom"/>
          </w:tcPr>
          <w:p>
            <w:pPr>
              <w:ind w:left="380"/>
              <w:spacing w:after="0"/>
              <w:rPr>
                <w:sz w:val="20"/>
                <w:szCs w:val="20"/>
                <w:color w:val="auto"/>
              </w:rPr>
            </w:pPr>
            <w:r>
              <w:rPr>
                <w:rFonts w:ascii="Arial" w:cs="Arial" w:eastAsia="Arial" w:hAnsi="Arial"/>
                <w:sz w:val="20"/>
                <w:szCs w:val="20"/>
                <w:color w:val="000005"/>
              </w:rPr>
              <w:t>• Elevate Implementation</w:t>
            </w: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Recruiting</w:t>
            </w:r>
          </w:p>
        </w:tc>
        <w:tc>
          <w:tcPr>
            <w:tcW w:w="3520" w:type="dxa"/>
            <w:vAlign w:val="bottom"/>
          </w:tcPr>
          <w:p>
            <w:pPr>
              <w:ind w:left="320"/>
              <w:spacing w:after="0"/>
              <w:rPr>
                <w:sz w:val="20"/>
                <w:szCs w:val="20"/>
                <w:color w:val="auto"/>
              </w:rPr>
            </w:pPr>
            <w:r>
              <w:rPr>
                <w:rFonts w:ascii="Arial" w:cs="Arial" w:eastAsia="Arial" w:hAnsi="Arial"/>
                <w:sz w:val="20"/>
                <w:szCs w:val="20"/>
                <w:color w:val="000005"/>
              </w:rPr>
              <w:t>• TPA solutions</w:t>
            </w:r>
          </w:p>
        </w:tc>
        <w:tc>
          <w:tcPr>
            <w:tcW w:w="2720" w:type="dxa"/>
            <w:vAlign w:val="bottom"/>
          </w:tcPr>
          <w:p>
            <w:pPr>
              <w:ind w:left="380"/>
              <w:spacing w:after="0"/>
              <w:rPr>
                <w:sz w:val="20"/>
                <w:szCs w:val="20"/>
                <w:color w:val="auto"/>
              </w:rPr>
            </w:pPr>
            <w:r>
              <w:rPr>
                <w:rFonts w:ascii="Arial" w:cs="Arial" w:eastAsia="Arial" w:hAnsi="Arial"/>
                <w:sz w:val="20"/>
                <w:szCs w:val="20"/>
                <w:color w:val="000005"/>
              </w:rPr>
              <w:t>• Elevate Payroll</w:t>
            </w: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Onboarding</w:t>
            </w:r>
          </w:p>
        </w:tc>
        <w:tc>
          <w:tcPr>
            <w:tcW w:w="3520" w:type="dxa"/>
            <w:vAlign w:val="bottom"/>
          </w:tcPr>
          <w:p>
            <w:pPr>
              <w:ind w:left="320"/>
              <w:spacing w:after="0"/>
              <w:rPr>
                <w:sz w:val="20"/>
                <w:szCs w:val="20"/>
                <w:color w:val="auto"/>
              </w:rPr>
            </w:pPr>
            <w:r>
              <w:rPr>
                <w:rFonts w:ascii="Arial" w:cs="Arial" w:eastAsia="Arial" w:hAnsi="Arial"/>
                <w:sz w:val="20"/>
                <w:szCs w:val="20"/>
                <w:color w:val="000005"/>
              </w:rPr>
              <w:t>• Retirement</w:t>
            </w:r>
          </w:p>
        </w:tc>
        <w:tc>
          <w:tcPr>
            <w:tcW w:w="2720" w:type="dxa"/>
            <w:vAlign w:val="bottom"/>
          </w:tcPr>
          <w:p>
            <w:pPr>
              <w:ind w:left="380"/>
              <w:spacing w:after="0"/>
              <w:rPr>
                <w:sz w:val="20"/>
                <w:szCs w:val="20"/>
                <w:color w:val="auto"/>
              </w:rPr>
            </w:pPr>
            <w:r>
              <w:rPr>
                <w:rFonts w:ascii="Arial" w:cs="Arial" w:eastAsia="Arial" w:hAnsi="Arial"/>
                <w:sz w:val="20"/>
                <w:szCs w:val="20"/>
                <w:color w:val="000005"/>
              </w:rPr>
              <w:t>• Elevate HR</w:t>
            </w: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Performance</w:t>
            </w:r>
          </w:p>
        </w:tc>
        <w:tc>
          <w:tcPr>
            <w:tcW w:w="3520" w:type="dxa"/>
            <w:vAlign w:val="bottom"/>
          </w:tcPr>
          <w:p>
            <w:pPr>
              <w:ind w:left="320"/>
              <w:spacing w:after="0"/>
              <w:rPr>
                <w:sz w:val="20"/>
                <w:szCs w:val="20"/>
                <w:color w:val="auto"/>
              </w:rPr>
            </w:pPr>
            <w:r>
              <w:rPr>
                <w:rFonts w:ascii="Arial" w:cs="Arial" w:eastAsia="Arial" w:hAnsi="Arial"/>
                <w:sz w:val="20"/>
                <w:szCs w:val="20"/>
                <w:color w:val="000005"/>
              </w:rPr>
              <w:t>• Leave Management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800" w:type="dxa"/>
            <w:vAlign w:val="bottom"/>
          </w:tcPr>
          <w:p>
            <w:pPr>
              <w:spacing w:after="0"/>
              <w:rPr>
                <w:sz w:val="20"/>
                <w:szCs w:val="20"/>
                <w:color w:val="auto"/>
              </w:rPr>
            </w:pPr>
            <w:r>
              <w:rPr>
                <w:rFonts w:ascii="Arial" w:cs="Arial" w:eastAsia="Arial" w:hAnsi="Arial"/>
                <w:sz w:val="20"/>
                <w:szCs w:val="20"/>
                <w:color w:val="000005"/>
              </w:rPr>
              <w:t>• Compensation</w:t>
            </w:r>
          </w:p>
        </w:tc>
        <w:tc>
          <w:tcPr>
            <w:tcW w:w="3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0"/>
                <w:szCs w:val="20"/>
                <w:color w:val="auto"/>
              </w:rPr>
            </w:pPr>
            <w:r>
              <w:rPr>
                <w:rFonts w:ascii="Arial" w:cs="Arial" w:eastAsia="Arial" w:hAnsi="Arial"/>
                <w:sz w:val="20"/>
                <w:szCs w:val="20"/>
                <w:color w:val="000005"/>
              </w:rPr>
              <w:t>• Learning</w:t>
            </w:r>
          </w:p>
        </w:tc>
        <w:tc>
          <w:tcPr>
            <w:tcW w:w="3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75" w:orient="portrait"/>
          <w:cols w:equalWidth="0" w:num="1">
            <w:col w:w="9495"/>
          </w:cols>
          <w:pgMar w:left="940" w:top="1115" w:right="1440" w:bottom="431" w:gutter="0" w:footer="0" w:header="0"/>
        </w:sectPr>
      </w:pPr>
    </w:p>
    <w:bookmarkStart w:id="5" w:name="page6"/>
    <w:bookmarkEnd w:id="5"/>
    <w:p>
      <w:pPr>
        <w:spacing w:after="0"/>
        <w:rPr>
          <w:sz w:val="20"/>
          <w:szCs w:val="20"/>
          <w:color w:val="auto"/>
        </w:rPr>
      </w:pPr>
      <w:r>
        <w:rPr>
          <w:rFonts w:ascii="Arial" w:cs="Arial" w:eastAsia="Arial" w:hAnsi="Arial"/>
          <w:sz w:val="39"/>
          <w:szCs w:val="39"/>
          <w:color w:val="F3F0EB"/>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Corporate Social Responsiblity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47"/>
          <w:szCs w:val="47"/>
          <w:color w:val="323E48"/>
        </w:rPr>
        <w:t>Our CSR Mission</w:t>
      </w:r>
    </w:p>
    <w:p>
      <w:pPr>
        <w:spacing w:after="0" w:line="191" w:lineRule="exact"/>
        <w:rPr>
          <w:sz w:val="20"/>
          <w:szCs w:val="20"/>
          <w:color w:val="auto"/>
        </w:rPr>
      </w:pPr>
    </w:p>
    <w:p>
      <w:pPr>
        <w:spacing w:after="0" w:line="289" w:lineRule="auto"/>
        <w:rPr>
          <w:sz w:val="20"/>
          <w:szCs w:val="20"/>
          <w:color w:val="auto"/>
        </w:rPr>
      </w:pPr>
      <w:r>
        <w:rPr>
          <w:rFonts w:ascii="Arial" w:cs="Arial" w:eastAsia="Arial" w:hAnsi="Arial"/>
          <w:sz w:val="20"/>
          <w:szCs w:val="20"/>
          <w:color w:val="323E48"/>
        </w:rPr>
        <w:t>We are a socially responsible corporation committed to making meaningful impacts by fostering awareness and understanding among our employees, clients, partners, and communities. Through collaborative efforts, we aim to create an informed, engaged, and responsible community committed to inspiring positive change.</w:t>
      </w:r>
    </w:p>
    <w:p>
      <w:pPr>
        <w:sectPr>
          <w:pgSz w:w="11880" w:h="15475" w:orient="portrait"/>
          <w:cols w:equalWidth="0" w:num="1">
            <w:col w:w="9780"/>
          </w:cols>
          <w:pgMar w:left="1020" w:top="1115" w:right="1075"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312"/>
        </w:trPr>
        <w:tc>
          <w:tcPr>
            <w:tcW w:w="3060" w:type="dxa"/>
            <w:vAlign w:val="bottom"/>
          </w:tcPr>
          <w:p>
            <w:pPr>
              <w:jc w:val="center"/>
              <w:ind w:right="47"/>
              <w:spacing w:after="0"/>
              <w:rPr>
                <w:sz w:val="20"/>
                <w:szCs w:val="20"/>
                <w:color w:val="auto"/>
              </w:rPr>
            </w:pPr>
            <w:r>
              <w:rPr>
                <w:rFonts w:ascii="Arial" w:cs="Arial" w:eastAsia="Arial" w:hAnsi="Arial"/>
                <w:sz w:val="27"/>
                <w:szCs w:val="27"/>
                <w:color w:val="323E48"/>
              </w:rPr>
              <w:t>Supporting</w:t>
            </w:r>
          </w:p>
        </w:tc>
        <w:tc>
          <w:tcPr>
            <w:tcW w:w="3080" w:type="dxa"/>
            <w:vAlign w:val="bottom"/>
          </w:tcPr>
          <w:p>
            <w:pPr>
              <w:jc w:val="center"/>
              <w:ind w:left="23"/>
              <w:spacing w:after="0"/>
              <w:rPr>
                <w:sz w:val="20"/>
                <w:szCs w:val="20"/>
                <w:color w:val="auto"/>
              </w:rPr>
            </w:pPr>
            <w:r>
              <w:rPr>
                <w:rFonts w:ascii="Arial" w:cs="Arial" w:eastAsia="Arial" w:hAnsi="Arial"/>
                <w:sz w:val="27"/>
                <w:szCs w:val="27"/>
                <w:color w:val="323E48"/>
              </w:rPr>
              <w:t>Uplifting Our</w:t>
            </w:r>
          </w:p>
        </w:tc>
      </w:tr>
      <w:tr>
        <w:trPr>
          <w:trHeight w:val="388"/>
        </w:trPr>
        <w:tc>
          <w:tcPr>
            <w:tcW w:w="3060" w:type="dxa"/>
            <w:vAlign w:val="bottom"/>
          </w:tcPr>
          <w:p>
            <w:pPr>
              <w:jc w:val="center"/>
              <w:ind w:right="47"/>
              <w:spacing w:after="0"/>
              <w:rPr>
                <w:sz w:val="20"/>
                <w:szCs w:val="20"/>
                <w:color w:val="auto"/>
              </w:rPr>
            </w:pPr>
            <w:r>
              <w:rPr>
                <w:rFonts w:ascii="Arial" w:cs="Arial" w:eastAsia="Arial" w:hAnsi="Arial"/>
                <w:sz w:val="27"/>
                <w:szCs w:val="27"/>
                <w:color w:val="323E48"/>
              </w:rPr>
              <w:t>Our People</w:t>
            </w:r>
          </w:p>
        </w:tc>
        <w:tc>
          <w:tcPr>
            <w:tcW w:w="3080" w:type="dxa"/>
            <w:vAlign w:val="bottom"/>
          </w:tcPr>
          <w:p>
            <w:pPr>
              <w:jc w:val="center"/>
              <w:ind w:left="43"/>
              <w:spacing w:after="0"/>
              <w:rPr>
                <w:sz w:val="20"/>
                <w:szCs w:val="20"/>
                <w:color w:val="auto"/>
              </w:rPr>
            </w:pPr>
            <w:r>
              <w:rPr>
                <w:rFonts w:ascii="Arial" w:cs="Arial" w:eastAsia="Arial" w:hAnsi="Arial"/>
                <w:sz w:val="27"/>
                <w:szCs w:val="27"/>
                <w:color w:val="323E48"/>
              </w:rPr>
              <w:t>Communities</w:t>
            </w:r>
          </w:p>
        </w:tc>
      </w:tr>
      <w:tr>
        <w:trPr>
          <w:trHeight w:val="293"/>
        </w:trPr>
        <w:tc>
          <w:tcPr>
            <w:tcW w:w="3060" w:type="dxa"/>
            <w:vAlign w:val="bottom"/>
          </w:tcPr>
          <w:p>
            <w:pPr>
              <w:jc w:val="center"/>
              <w:ind w:right="47"/>
              <w:spacing w:after="0"/>
              <w:rPr>
                <w:sz w:val="20"/>
                <w:szCs w:val="20"/>
                <w:color w:val="auto"/>
              </w:rPr>
            </w:pPr>
            <w:r>
              <w:rPr>
                <w:rFonts w:ascii="Arial" w:cs="Arial" w:eastAsia="Arial" w:hAnsi="Arial"/>
                <w:sz w:val="20"/>
                <w:szCs w:val="20"/>
                <w:color w:val="323E48"/>
              </w:rPr>
              <w:t>Encouraging a holistic approach</w:t>
            </w:r>
          </w:p>
        </w:tc>
        <w:tc>
          <w:tcPr>
            <w:tcW w:w="3080" w:type="dxa"/>
            <w:vAlign w:val="bottom"/>
          </w:tcPr>
          <w:p>
            <w:pPr>
              <w:jc w:val="center"/>
              <w:ind w:left="23"/>
              <w:spacing w:after="0"/>
              <w:rPr>
                <w:sz w:val="20"/>
                <w:szCs w:val="20"/>
                <w:color w:val="auto"/>
              </w:rPr>
            </w:pPr>
            <w:r>
              <w:rPr>
                <w:rFonts w:ascii="Arial" w:cs="Arial" w:eastAsia="Arial" w:hAnsi="Arial"/>
                <w:sz w:val="20"/>
                <w:szCs w:val="20"/>
                <w:color w:val="323E48"/>
              </w:rPr>
              <w:t>Championing collaboration with</w:t>
            </w:r>
          </w:p>
        </w:tc>
      </w:tr>
      <w:tr>
        <w:trPr>
          <w:trHeight w:val="254"/>
        </w:trPr>
        <w:tc>
          <w:tcPr>
            <w:tcW w:w="3060" w:type="dxa"/>
            <w:vAlign w:val="bottom"/>
          </w:tcPr>
          <w:p>
            <w:pPr>
              <w:jc w:val="center"/>
              <w:ind w:right="47"/>
              <w:spacing w:after="0"/>
              <w:rPr>
                <w:sz w:val="20"/>
                <w:szCs w:val="20"/>
                <w:color w:val="auto"/>
              </w:rPr>
            </w:pPr>
            <w:r>
              <w:rPr>
                <w:rFonts w:ascii="Arial" w:cs="Arial" w:eastAsia="Arial" w:hAnsi="Arial"/>
                <w:sz w:val="20"/>
                <w:szCs w:val="20"/>
                <w:color w:val="323E48"/>
              </w:rPr>
              <w:t>to well-being for our employees</w:t>
            </w:r>
          </w:p>
        </w:tc>
        <w:tc>
          <w:tcPr>
            <w:tcW w:w="3080" w:type="dxa"/>
            <w:vAlign w:val="bottom"/>
          </w:tcPr>
          <w:p>
            <w:pPr>
              <w:jc w:val="center"/>
              <w:ind w:left="43"/>
              <w:spacing w:after="0"/>
              <w:rPr>
                <w:sz w:val="20"/>
                <w:szCs w:val="20"/>
                <w:color w:val="auto"/>
              </w:rPr>
            </w:pPr>
            <w:r>
              <w:rPr>
                <w:rFonts w:ascii="Arial" w:cs="Arial" w:eastAsia="Arial" w:hAnsi="Arial"/>
                <w:sz w:val="20"/>
                <w:szCs w:val="20"/>
                <w:color w:val="323E48"/>
              </w:rPr>
              <w:t>nonprofits to uplift communities.</w:t>
            </w:r>
          </w:p>
        </w:tc>
      </w:tr>
      <w:tr>
        <w:trPr>
          <w:trHeight w:val="278"/>
        </w:trPr>
        <w:tc>
          <w:tcPr>
            <w:tcW w:w="3060" w:type="dxa"/>
            <w:vAlign w:val="bottom"/>
          </w:tcPr>
          <w:p>
            <w:pPr>
              <w:jc w:val="center"/>
              <w:ind w:right="47"/>
              <w:spacing w:after="0"/>
              <w:rPr>
                <w:sz w:val="20"/>
                <w:szCs w:val="20"/>
                <w:color w:val="auto"/>
              </w:rPr>
            </w:pPr>
            <w:r>
              <w:rPr>
                <w:rFonts w:ascii="Arial" w:cs="Arial" w:eastAsia="Arial" w:hAnsi="Arial"/>
                <w:sz w:val="20"/>
                <w:szCs w:val="20"/>
                <w:color w:val="323E48"/>
              </w:rPr>
              <w:t>and the communities we serve.</w:t>
            </w: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60"/>
        <w:spacing w:after="0"/>
        <w:rPr>
          <w:sz w:val="20"/>
          <w:szCs w:val="20"/>
          <w:color w:val="auto"/>
        </w:rPr>
      </w:pPr>
      <w:r>
        <w:rPr>
          <w:rFonts w:ascii="Arial" w:cs="Arial" w:eastAsia="Arial" w:hAnsi="Arial"/>
          <w:sz w:val="27"/>
          <w:szCs w:val="27"/>
          <w:color w:val="323E48"/>
        </w:rPr>
        <w:t>Sustainability</w:t>
      </w:r>
    </w:p>
    <w:p>
      <w:pPr>
        <w:spacing w:after="0" w:line="11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323E48"/>
        </w:rPr>
        <w:t>Promoting environmental</w:t>
      </w:r>
    </w:p>
    <w:p>
      <w:pPr>
        <w:spacing w:after="0" w:line="24" w:lineRule="exact"/>
        <w:rPr>
          <w:sz w:val="20"/>
          <w:szCs w:val="20"/>
          <w:color w:val="auto"/>
        </w:rPr>
      </w:pPr>
    </w:p>
    <w:p>
      <w:pPr>
        <w:jc w:val="both"/>
        <w:ind w:right="260" w:firstLine="32"/>
        <w:spacing w:after="0" w:line="289" w:lineRule="auto"/>
        <w:rPr>
          <w:sz w:val="20"/>
          <w:szCs w:val="20"/>
          <w:color w:val="auto"/>
        </w:rPr>
      </w:pPr>
      <w:r>
        <w:rPr>
          <w:rFonts w:ascii="Arial" w:cs="Arial" w:eastAsia="Arial" w:hAnsi="Arial"/>
          <w:sz w:val="20"/>
          <w:szCs w:val="20"/>
          <w:color w:val="323E48"/>
        </w:rPr>
        <w:t>responsibility and sustainable practices to ensure a healthier planet for future generations.</w:t>
      </w:r>
    </w:p>
    <w:p>
      <w:pPr>
        <w:spacing w:after="0" w:line="212" w:lineRule="exact"/>
        <w:rPr>
          <w:sz w:val="20"/>
          <w:szCs w:val="20"/>
          <w:color w:val="auto"/>
        </w:rPr>
      </w:pPr>
    </w:p>
    <w:p>
      <w:pPr>
        <w:sectPr>
          <w:pgSz w:w="11880" w:h="15475" w:orient="portrait"/>
          <w:cols w:equalWidth="0" w:num="2">
            <w:col w:w="6480" w:space="300"/>
            <w:col w:w="3000"/>
          </w:cols>
          <w:pgMar w:left="1020" w:top="1115" w:right="1075" w:bottom="1440" w:gutter="0" w:footer="0" w:header="0"/>
          <w:type w:val="continuous"/>
        </w:sectPr>
      </w:pPr>
    </w:p>
    <w:p>
      <w:pPr>
        <w:spacing w:after="0" w:line="354" w:lineRule="exact"/>
        <w:rPr>
          <w:sz w:val="20"/>
          <w:szCs w:val="20"/>
          <w:color w:val="auto"/>
        </w:rPr>
      </w:pPr>
    </w:p>
    <w:p>
      <w:pPr>
        <w:ind w:right="600"/>
        <w:spacing w:after="0" w:line="281" w:lineRule="auto"/>
        <w:rPr>
          <w:sz w:val="20"/>
          <w:szCs w:val="20"/>
          <w:color w:val="auto"/>
        </w:rPr>
      </w:pPr>
      <w:r>
        <w:rPr>
          <w:rFonts w:ascii="Arial" w:cs="Arial" w:eastAsia="Arial" w:hAnsi="Arial"/>
          <w:sz w:val="20"/>
          <w:szCs w:val="20"/>
          <w:color w:val="323E48"/>
        </w:rPr>
        <w:t>A culture of inclusion and belonging is a fundamental aspect of our corporate social responsibility. As we expand internationally, we maintain this commitment by adhering to regionally aligned regulations, addressing social needs, and supporting relevant initiatives. Our goal is to ensure that all Paylocity employees feel valued and can thrive.</w:t>
      </w:r>
    </w:p>
    <w:p>
      <w:pPr>
        <w:spacing w:after="0" w:line="56" w:lineRule="exact"/>
        <w:rPr>
          <w:sz w:val="20"/>
          <w:szCs w:val="20"/>
          <w:color w:val="auto"/>
        </w:rPr>
      </w:pPr>
    </w:p>
    <w:p>
      <w:pPr>
        <w:spacing w:after="0"/>
        <w:rPr>
          <w:sz w:val="20"/>
          <w:szCs w:val="20"/>
          <w:color w:val="auto"/>
        </w:rPr>
      </w:pPr>
      <w:r>
        <w:rPr>
          <w:rFonts w:ascii="Arial" w:cs="Arial" w:eastAsia="Arial" w:hAnsi="Arial"/>
          <w:sz w:val="47"/>
          <w:szCs w:val="47"/>
          <w:color w:val="323E48"/>
        </w:rPr>
        <w:t>Our Inclusion and Belonging Journey</w:t>
      </w:r>
    </w:p>
    <w:p>
      <w:pPr>
        <w:spacing w:after="0" w:line="191"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323E48"/>
        </w:rPr>
        <w:t>We are committed to fostering a culture where employees feel valued, respected, and empowered to contribute their unique perspectives. Guided by intentional action and shared accountability, we build a culture that helps drive innovation, strengthen employee engagement, and support sustainable business growth. Through educational programming, volunteerism, leadership development, sustainability efforts, ERGs, and wellness initiatives, we foster connection, growth, and meaningful impact across our workplace and communities.</w:t>
      </w:r>
    </w:p>
    <w:p>
      <w:pPr>
        <w:spacing w:after="0" w:line="200" w:lineRule="exact"/>
        <w:rPr>
          <w:sz w:val="20"/>
          <w:szCs w:val="20"/>
          <w:color w:val="auto"/>
        </w:rPr>
      </w:pPr>
    </w:p>
    <w:p>
      <w:pPr>
        <w:spacing w:after="0" w:line="389" w:lineRule="exact"/>
        <w:rPr>
          <w:sz w:val="20"/>
          <w:szCs w:val="20"/>
          <w:color w:val="auto"/>
        </w:rPr>
      </w:pPr>
    </w:p>
    <w:p>
      <w:pPr>
        <w:ind w:left="800"/>
        <w:spacing w:after="0"/>
        <w:rPr>
          <w:sz w:val="20"/>
          <w:szCs w:val="20"/>
          <w:color w:val="auto"/>
        </w:rPr>
      </w:pPr>
      <w:r>
        <w:rPr>
          <w:rFonts w:ascii="Arial" w:cs="Arial" w:eastAsia="Arial" w:hAnsi="Arial"/>
          <w:sz w:val="23"/>
          <w:szCs w:val="23"/>
          <w:color w:val="000005"/>
        </w:rPr>
        <w:t>Progress on Corporate Social Responsibility</w:t>
      </w:r>
    </w:p>
    <w:p>
      <w:pPr>
        <w:spacing w:after="0" w:line="32" w:lineRule="exact"/>
        <w:rPr>
          <w:sz w:val="20"/>
          <w:szCs w:val="20"/>
          <w:color w:val="auto"/>
        </w:rPr>
      </w:pPr>
    </w:p>
    <w:p>
      <w:pPr>
        <w:ind w:left="800" w:right="3260"/>
        <w:spacing w:after="0" w:line="310" w:lineRule="auto"/>
        <w:rPr>
          <w:sz w:val="20"/>
          <w:szCs w:val="20"/>
          <w:color w:val="auto"/>
        </w:rPr>
      </w:pPr>
      <w:r>
        <w:rPr>
          <w:rFonts w:ascii="Arial" w:cs="Arial" w:eastAsia="Arial" w:hAnsi="Arial"/>
          <w:sz w:val="20"/>
          <w:szCs w:val="20"/>
          <w:color w:val="323E48"/>
        </w:rPr>
        <w:t>Learn about the steps we’re taking to build a better tomorrow at Paylocity, in our local communities, and beyond.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0"/>
          <w:szCs w:val="20"/>
          <w:color w:val="323E48"/>
        </w:rPr>
        <w:t>Read our complete CSR report</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20"/>
          <w:szCs w:val="20"/>
          <w:color w:val="323E48"/>
        </w:rPr>
        <w:t>Scan the QR code or visit paylocity.com/CSR</w:t>
      </w:r>
    </w:p>
    <w:p>
      <w:pPr>
        <w:sectPr>
          <w:pgSz w:w="11880" w:h="15475" w:orient="portrait"/>
          <w:cols w:equalWidth="0" w:num="1">
            <w:col w:w="9780"/>
          </w:cols>
          <w:pgMar w:left="1020" w:top="1115" w:right="1075" w:bottom="1440" w:gutter="0" w:footer="0" w:header="0"/>
          <w:type w:val="continuous"/>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ectPr>
          <w:pgSz w:w="11880" w:h="15475"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47"/>
          <w:szCs w:val="47"/>
          <w:color w:val="323E48"/>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Governance</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color w:val="323E48"/>
        </w:rPr>
        <w:t>We are deeply committed to strong corporate governance as a foundation for sustainable success. Guided by our code of ethics, this commitment begins with our Executive Team and Board of Directors, whose leadership helps shape a culture of accountability, integrity, and transparency. Together, they focus on creating long-term value for our shareholders, making responsible decisions, and upholding the highest ethical standards across our organization.</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23"/>
          <w:szCs w:val="23"/>
          <w:color w:val="000005"/>
        </w:rPr>
        <w:t>Protecting Our Clients</w:t>
      </w:r>
    </w:p>
    <w:p>
      <w:pPr>
        <w:spacing w:after="0" w:line="32" w:lineRule="exact"/>
        <w:rPr>
          <w:sz w:val="20"/>
          <w:szCs w:val="20"/>
          <w:color w:val="auto"/>
        </w:rPr>
      </w:pPr>
    </w:p>
    <w:p>
      <w:pPr>
        <w:ind w:left="960" w:right="240"/>
        <w:spacing w:after="0" w:line="281" w:lineRule="auto"/>
        <w:rPr>
          <w:sz w:val="20"/>
          <w:szCs w:val="20"/>
          <w:color w:val="auto"/>
        </w:rPr>
      </w:pPr>
      <w:r>
        <w:rPr>
          <w:rFonts w:ascii="Arial" w:cs="Arial" w:eastAsia="Arial" w:hAnsi="Arial"/>
          <w:sz w:val="20"/>
          <w:szCs w:val="20"/>
          <w:color w:val="323E48"/>
        </w:rPr>
        <w:t>Our customers are at the center of our decision-making, the technology we build, the infrastructure we use, and how we hire and educate our people. We treat our clients’ important and sensitive data with the utmost care, embedding security controls and practice across our operations.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3"/>
          <w:szCs w:val="23"/>
          <w:color w:val="000005"/>
        </w:rPr>
        <w:t>Data Security</w:t>
      </w:r>
    </w:p>
    <w:p>
      <w:pPr>
        <w:spacing w:after="0" w:line="32" w:lineRule="exact"/>
        <w:rPr>
          <w:sz w:val="20"/>
          <w:szCs w:val="20"/>
          <w:color w:val="auto"/>
        </w:rPr>
      </w:pPr>
    </w:p>
    <w:p>
      <w:pPr>
        <w:jc w:val="both"/>
        <w:ind w:left="960"/>
        <w:spacing w:after="0" w:line="289" w:lineRule="auto"/>
        <w:rPr>
          <w:sz w:val="20"/>
          <w:szCs w:val="20"/>
          <w:color w:val="auto"/>
        </w:rPr>
      </w:pPr>
      <w:r>
        <w:rPr>
          <w:rFonts w:ascii="Arial" w:cs="Arial" w:eastAsia="Arial" w:hAnsi="Arial"/>
          <w:sz w:val="20"/>
          <w:szCs w:val="20"/>
          <w:color w:val="323E48"/>
        </w:rPr>
        <w:t>We manage critical business information and protect client data with industry-accepted solutions and practices, utilizing our enterprise-class data centers to safeguard the physical security of our data and provide consistent product uptime.</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3"/>
          <w:szCs w:val="23"/>
          <w:color w:val="000005"/>
        </w:rPr>
        <w:t>Data Privacy</w:t>
      </w:r>
    </w:p>
    <w:p>
      <w:pPr>
        <w:spacing w:after="0" w:line="32" w:lineRule="exact"/>
        <w:rPr>
          <w:sz w:val="20"/>
          <w:szCs w:val="20"/>
          <w:color w:val="auto"/>
        </w:rPr>
      </w:pPr>
    </w:p>
    <w:p>
      <w:pPr>
        <w:ind w:left="960"/>
        <w:spacing w:after="0" w:line="289" w:lineRule="auto"/>
        <w:rPr>
          <w:sz w:val="20"/>
          <w:szCs w:val="20"/>
          <w:color w:val="auto"/>
        </w:rPr>
      </w:pPr>
      <w:r>
        <w:rPr>
          <w:rFonts w:ascii="Arial" w:cs="Arial" w:eastAsia="Arial" w:hAnsi="Arial"/>
          <w:sz w:val="20"/>
          <w:szCs w:val="20"/>
          <w:color w:val="323E48"/>
        </w:rPr>
        <w:t>We’re committed to safeguarding the privacy and personal information of all our stakeholders, including our employees, contractors, and job applicants; our clients’ employees and contractors; our business partners, including client contacts, prospects, and vendors; and our website users.</w:t>
      </w:r>
    </w:p>
    <w:p>
      <w:pPr>
        <w:sectPr>
          <w:pgSz w:w="11880" w:h="15475" w:orient="portrait"/>
          <w:cols w:equalWidth="0" w:num="1">
            <w:col w:w="9760"/>
          </w:cols>
          <w:pgMar w:left="1020" w:top="890" w:right="1095" w:bottom="1440" w:gutter="0" w:footer="0" w:header="0"/>
        </w:sectPr>
      </w:pPr>
    </w:p>
    <w:bookmarkStart w:id="8" w:name="page9"/>
    <w:bookmarkEnd w:id="8"/>
    <w:p>
      <w:pPr>
        <w:spacing w:after="0"/>
        <w:rPr>
          <w:sz w:val="20"/>
          <w:szCs w:val="20"/>
          <w:color w:val="auto"/>
        </w:rPr>
      </w:pPr>
      <w:r>
        <w:rPr>
          <w:rFonts w:ascii="Arial" w:cs="Arial" w:eastAsia="Arial" w:hAnsi="Arial"/>
          <w:sz w:val="47"/>
          <w:szCs w:val="47"/>
          <w:color w:val="323E48"/>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External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tabs>
          <w:tab w:leader="none" w:pos="2080" w:val="left"/>
          <w:tab w:leader="none" w:pos="4240" w:val="left"/>
          <w:tab w:leader="none" w:pos="6600" w:val="left"/>
          <w:tab w:leader="none" w:pos="8780" w:val="left"/>
        </w:tabs>
        <w:rPr>
          <w:sz w:val="20"/>
          <w:szCs w:val="20"/>
          <w:color w:val="auto"/>
        </w:rPr>
      </w:pPr>
      <w:r>
        <w:rPr>
          <w:rFonts w:ascii="Arial" w:cs="Arial" w:eastAsia="Arial" w:hAnsi="Arial"/>
          <w:sz w:val="20"/>
          <w:szCs w:val="20"/>
          <w:color w:val="323E48"/>
        </w:rPr>
        <w:t>2019-2027</w:t>
      </w:r>
      <w:r>
        <w:rPr>
          <w:sz w:val="20"/>
          <w:szCs w:val="20"/>
          <w:color w:val="auto"/>
        </w:rPr>
        <w:tab/>
      </w:r>
      <w:r>
        <w:rPr>
          <w:rFonts w:ascii="Arial" w:cs="Arial" w:eastAsia="Arial" w:hAnsi="Arial"/>
          <w:sz w:val="20"/>
          <w:szCs w:val="20"/>
          <w:color w:val="323E48"/>
        </w:rPr>
        <w:t>2024-2026</w:t>
      </w:r>
      <w:r>
        <w:rPr>
          <w:sz w:val="20"/>
          <w:szCs w:val="20"/>
          <w:color w:val="auto"/>
        </w:rPr>
        <w:tab/>
      </w:r>
      <w:r>
        <w:rPr>
          <w:rFonts w:ascii="Arial" w:cs="Arial" w:eastAsia="Arial" w:hAnsi="Arial"/>
          <w:sz w:val="20"/>
          <w:szCs w:val="20"/>
          <w:color w:val="323E48"/>
        </w:rPr>
        <w:t>2024-2026</w:t>
      </w:r>
      <w:r>
        <w:rPr>
          <w:sz w:val="20"/>
          <w:szCs w:val="20"/>
          <w:color w:val="auto"/>
        </w:rPr>
        <w:tab/>
      </w:r>
      <w:r>
        <w:rPr>
          <w:rFonts w:ascii="Arial" w:cs="Arial" w:eastAsia="Arial" w:hAnsi="Arial"/>
          <w:sz w:val="20"/>
          <w:szCs w:val="20"/>
          <w:color w:val="323E48"/>
        </w:rPr>
        <w:t>2026</w:t>
      </w:r>
      <w:r>
        <w:rPr>
          <w:sz w:val="20"/>
          <w:szCs w:val="20"/>
          <w:color w:val="auto"/>
        </w:rPr>
        <w:tab/>
      </w:r>
      <w:r>
        <w:rPr>
          <w:rFonts w:ascii="Arial" w:cs="Arial" w:eastAsia="Arial" w:hAnsi="Arial"/>
          <w:sz w:val="20"/>
          <w:szCs w:val="20"/>
          <w:color w:val="323E48"/>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tabs>
          <w:tab w:leader="none" w:pos="2360" w:val="left"/>
          <w:tab w:leader="none" w:pos="4520" w:val="left"/>
          <w:tab w:leader="none" w:pos="6320" w:val="left"/>
          <w:tab w:leader="none" w:pos="8500" w:val="left"/>
        </w:tabs>
        <w:rPr>
          <w:sz w:val="20"/>
          <w:szCs w:val="20"/>
          <w:color w:val="auto"/>
        </w:rPr>
      </w:pPr>
      <w:r>
        <w:rPr>
          <w:rFonts w:ascii="Arial" w:cs="Arial" w:eastAsia="Arial" w:hAnsi="Arial"/>
          <w:sz w:val="20"/>
          <w:szCs w:val="20"/>
          <w:color w:val="323E48"/>
        </w:rPr>
        <w:t>2026</w:t>
      </w:r>
      <w:r>
        <w:rPr>
          <w:sz w:val="20"/>
          <w:szCs w:val="20"/>
          <w:color w:val="auto"/>
        </w:rPr>
        <w:tab/>
      </w:r>
      <w:r>
        <w:rPr>
          <w:rFonts w:ascii="Arial" w:cs="Arial" w:eastAsia="Arial" w:hAnsi="Arial"/>
          <w:sz w:val="20"/>
          <w:szCs w:val="20"/>
          <w:color w:val="323E48"/>
        </w:rPr>
        <w:t>2026</w:t>
      </w:r>
      <w:r>
        <w:rPr>
          <w:sz w:val="20"/>
          <w:szCs w:val="20"/>
          <w:color w:val="auto"/>
        </w:rPr>
        <w:tab/>
      </w:r>
      <w:r>
        <w:rPr>
          <w:rFonts w:ascii="Arial" w:cs="Arial" w:eastAsia="Arial" w:hAnsi="Arial"/>
          <w:sz w:val="20"/>
          <w:szCs w:val="20"/>
          <w:color w:val="323E48"/>
        </w:rPr>
        <w:t>2026</w:t>
      </w:r>
      <w:r>
        <w:rPr>
          <w:sz w:val="20"/>
          <w:szCs w:val="20"/>
          <w:color w:val="auto"/>
        </w:rPr>
        <w:tab/>
      </w:r>
      <w:r>
        <w:rPr>
          <w:rFonts w:ascii="Arial" w:cs="Arial" w:eastAsia="Arial" w:hAnsi="Arial"/>
          <w:sz w:val="20"/>
          <w:szCs w:val="20"/>
          <w:color w:val="323E48"/>
        </w:rPr>
        <w:t>2025-2026</w:t>
      </w:r>
      <w:r>
        <w:rPr>
          <w:sz w:val="20"/>
          <w:szCs w:val="20"/>
          <w:color w:val="auto"/>
        </w:rPr>
        <w:tab/>
      </w:r>
      <w:r>
        <w:rPr>
          <w:rFonts w:ascii="Arial" w:cs="Arial" w:eastAsia="Arial" w:hAnsi="Arial"/>
          <w:sz w:val="20"/>
          <w:szCs w:val="20"/>
          <w:color w:val="323E48"/>
        </w:rPr>
        <w:t>2023-2026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tabs>
          <w:tab w:leader="none" w:pos="2080" w:val="left"/>
          <w:tab w:leader="none" w:pos="4240" w:val="left"/>
          <w:tab w:leader="none" w:pos="6320" w:val="left"/>
          <w:tab w:leader="none" w:pos="8520" w:val="left"/>
        </w:tabs>
        <w:rPr>
          <w:sz w:val="20"/>
          <w:szCs w:val="20"/>
          <w:color w:val="auto"/>
        </w:rPr>
      </w:pPr>
      <w:r>
        <w:rPr>
          <w:rFonts w:ascii="Arial" w:cs="Arial" w:eastAsia="Arial" w:hAnsi="Arial"/>
          <w:sz w:val="20"/>
          <w:szCs w:val="20"/>
          <w:color w:val="323E48"/>
        </w:rPr>
        <w:t>2020-2026</w:t>
      </w:r>
      <w:r>
        <w:rPr>
          <w:sz w:val="20"/>
          <w:szCs w:val="20"/>
          <w:color w:val="auto"/>
        </w:rPr>
        <w:tab/>
      </w:r>
      <w:r>
        <w:rPr>
          <w:rFonts w:ascii="Arial" w:cs="Arial" w:eastAsia="Arial" w:hAnsi="Arial"/>
          <w:sz w:val="20"/>
          <w:szCs w:val="20"/>
          <w:color w:val="323E48"/>
        </w:rPr>
        <w:t>2020-2026</w:t>
      </w:r>
      <w:r>
        <w:rPr>
          <w:sz w:val="20"/>
          <w:szCs w:val="20"/>
          <w:color w:val="auto"/>
        </w:rPr>
        <w:tab/>
      </w:r>
      <w:r>
        <w:rPr>
          <w:rFonts w:ascii="Arial" w:cs="Arial" w:eastAsia="Arial" w:hAnsi="Arial"/>
          <w:sz w:val="20"/>
          <w:szCs w:val="20"/>
          <w:color w:val="323E48"/>
        </w:rPr>
        <w:t>2025-2026</w:t>
      </w:r>
      <w:r>
        <w:rPr>
          <w:sz w:val="20"/>
          <w:szCs w:val="20"/>
          <w:color w:val="auto"/>
        </w:rPr>
        <w:tab/>
      </w:r>
      <w:r>
        <w:rPr>
          <w:rFonts w:ascii="Arial" w:cs="Arial" w:eastAsia="Arial" w:hAnsi="Arial"/>
          <w:sz w:val="20"/>
          <w:szCs w:val="20"/>
          <w:color w:val="323E48"/>
        </w:rPr>
        <w:t>2020-2025</w:t>
      </w:r>
      <w:r>
        <w:rPr>
          <w:sz w:val="20"/>
          <w:szCs w:val="20"/>
          <w:color w:val="auto"/>
        </w:rPr>
        <w:tab/>
      </w:r>
      <w:r>
        <w:rPr>
          <w:rFonts w:ascii="Arial" w:cs="Arial" w:eastAsia="Arial" w:hAnsi="Arial"/>
          <w:sz w:val="20"/>
          <w:szCs w:val="20"/>
          <w:color w:val="323E48"/>
        </w:rPr>
        <w:t>2024-2025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2080" w:val="left"/>
          <w:tab w:leader="none" w:pos="4520" w:val="left"/>
          <w:tab w:leader="none" w:pos="6600" w:val="left"/>
          <w:tab w:leader="none" w:pos="8800" w:val="left"/>
        </w:tabs>
        <w:rPr>
          <w:sz w:val="20"/>
          <w:szCs w:val="20"/>
          <w:color w:val="auto"/>
        </w:rPr>
      </w:pPr>
      <w:r>
        <w:rPr>
          <w:rFonts w:ascii="Arial" w:cs="Arial" w:eastAsia="Arial" w:hAnsi="Arial"/>
          <w:sz w:val="20"/>
          <w:szCs w:val="20"/>
          <w:color w:val="323E48"/>
        </w:rPr>
        <w:t>2012-2025</w:t>
      </w:r>
      <w:r>
        <w:rPr>
          <w:sz w:val="20"/>
          <w:szCs w:val="20"/>
          <w:color w:val="auto"/>
        </w:rPr>
        <w:tab/>
      </w:r>
      <w:r>
        <w:rPr>
          <w:rFonts w:ascii="Arial" w:cs="Arial" w:eastAsia="Arial" w:hAnsi="Arial"/>
          <w:sz w:val="20"/>
          <w:szCs w:val="20"/>
          <w:color w:val="323E48"/>
        </w:rPr>
        <w:t>2024-2025</w:t>
      </w:r>
      <w:r>
        <w:rPr>
          <w:sz w:val="20"/>
          <w:szCs w:val="20"/>
          <w:color w:val="auto"/>
        </w:rPr>
        <w:tab/>
      </w:r>
      <w:r>
        <w:rPr>
          <w:rFonts w:ascii="Arial" w:cs="Arial" w:eastAsia="Arial" w:hAnsi="Arial"/>
          <w:sz w:val="20"/>
          <w:szCs w:val="20"/>
          <w:color w:val="323E48"/>
        </w:rPr>
        <w:t>2025</w:t>
      </w:r>
      <w:r>
        <w:rPr>
          <w:sz w:val="20"/>
          <w:szCs w:val="20"/>
          <w:color w:val="auto"/>
        </w:rPr>
        <w:tab/>
      </w:r>
      <w:r>
        <w:rPr>
          <w:rFonts w:ascii="Arial" w:cs="Arial" w:eastAsia="Arial" w:hAnsi="Arial"/>
          <w:sz w:val="20"/>
          <w:szCs w:val="20"/>
          <w:color w:val="323E48"/>
        </w:rPr>
        <w:t>2025</w:t>
      </w:r>
      <w:r>
        <w:rPr>
          <w:sz w:val="20"/>
          <w:szCs w:val="20"/>
          <w:color w:val="auto"/>
        </w:rPr>
        <w:tab/>
      </w:r>
      <w:r>
        <w:rPr>
          <w:rFonts w:ascii="Arial" w:cs="Arial" w:eastAsia="Arial" w:hAnsi="Arial"/>
          <w:sz w:val="20"/>
          <w:szCs w:val="20"/>
          <w:color w:val="323E48"/>
        </w:rPr>
        <w:t>2025</w:t>
      </w:r>
    </w:p>
    <w:p>
      <w:pPr>
        <w:sectPr>
          <w:pgSz w:w="11880" w:h="15475" w:orient="portrait"/>
          <w:cols w:equalWidth="0" w:num="1">
            <w:col w:w="9560"/>
          </w:cols>
          <w:pgMar w:left="1020" w:top="890" w:right="1295" w:bottom="10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spacing w:after="0"/>
        <w:tabs>
          <w:tab w:leader="none" w:pos="2360" w:val="left"/>
          <w:tab w:leader="none" w:pos="4240" w:val="left"/>
        </w:tabs>
        <w:rPr>
          <w:sz w:val="20"/>
          <w:szCs w:val="20"/>
          <w:color w:val="auto"/>
        </w:rPr>
      </w:pPr>
      <w:r>
        <w:rPr>
          <w:rFonts w:ascii="Arial" w:cs="Arial" w:eastAsia="Arial" w:hAnsi="Arial"/>
          <w:sz w:val="20"/>
          <w:szCs w:val="20"/>
          <w:color w:val="323E48"/>
        </w:rPr>
        <w:t>2025</w:t>
      </w:r>
      <w:r>
        <w:rPr>
          <w:sz w:val="20"/>
          <w:szCs w:val="20"/>
          <w:color w:val="auto"/>
        </w:rPr>
        <w:tab/>
      </w:r>
      <w:r>
        <w:rPr>
          <w:rFonts w:ascii="Arial" w:cs="Arial" w:eastAsia="Arial" w:hAnsi="Arial"/>
          <w:sz w:val="20"/>
          <w:szCs w:val="20"/>
          <w:color w:val="323E48"/>
        </w:rPr>
        <w:t>2025</w:t>
      </w:r>
      <w:r>
        <w:rPr>
          <w:sz w:val="20"/>
          <w:szCs w:val="20"/>
          <w:color w:val="auto"/>
        </w:rPr>
        <w:tab/>
      </w:r>
      <w:r>
        <w:rPr>
          <w:rFonts w:ascii="Arial" w:cs="Arial" w:eastAsia="Arial" w:hAnsi="Arial"/>
          <w:sz w:val="20"/>
          <w:szCs w:val="20"/>
          <w:color w:val="323E48"/>
        </w:rPr>
        <w:t>2024-2025</w:t>
      </w:r>
    </w:p>
    <w:p>
      <w:pPr>
        <w:sectPr>
          <w:pgSz w:w="11880" w:h="15475" w:orient="portrait"/>
          <w:cols w:equalWidth="0" w:num="1">
            <w:col w:w="9560"/>
          </w:cols>
          <w:pgMar w:left="1020" w:top="890" w:right="1295" w:bottom="1016" w:gutter="0" w:footer="0" w:header="0"/>
          <w:type w:val="continuous"/>
        </w:sectPr>
      </w:pPr>
    </w:p>
    <w:bookmarkStart w:id="9" w:name="page10"/>
    <w:bookmarkEnd w:id="9"/>
    <w:p>
      <w:pPr>
        <w:spacing w:after="0"/>
        <w:rPr>
          <w:sz w:val="20"/>
          <w:szCs w:val="20"/>
          <w:color w:val="auto"/>
        </w:rPr>
      </w:pPr>
      <w:r>
        <w:rPr>
          <w:rFonts w:ascii="Arial" w:cs="Arial" w:eastAsia="Arial" w:hAnsi="Arial"/>
          <w:sz w:val="47"/>
          <w:szCs w:val="47"/>
          <w:color w:val="323E48"/>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Financial Highlights</w:t>
      </w: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Arial" w:cs="Arial" w:eastAsia="Arial" w:hAnsi="Arial"/>
          <w:sz w:val="23"/>
          <w:szCs w:val="23"/>
          <w:color w:val="F3F0EB"/>
        </w:rPr>
        <w:t>Long-Term Financial Targets*</w:t>
      </w:r>
    </w:p>
    <w:p>
      <w:pPr>
        <w:spacing w:after="0" w:line="306" w:lineRule="exact"/>
        <w:rPr>
          <w:sz w:val="20"/>
          <w:szCs w:val="20"/>
          <w:color w:val="auto"/>
        </w:rPr>
      </w:pPr>
    </w:p>
    <w:p>
      <w:pPr>
        <w:jc w:val="both"/>
        <w:ind w:right="340"/>
        <w:spacing w:after="0" w:line="310" w:lineRule="auto"/>
        <w:rPr>
          <w:sz w:val="20"/>
          <w:szCs w:val="20"/>
          <w:color w:val="auto"/>
        </w:rPr>
      </w:pPr>
      <w:r>
        <w:rPr>
          <w:rFonts w:ascii="Arial" w:cs="Arial" w:eastAsia="Arial" w:hAnsi="Arial"/>
          <w:sz w:val="20"/>
          <w:szCs w:val="20"/>
          <w:color w:val="323E48"/>
        </w:rPr>
        <w:t>Increased profitability targets reflect commitment to driving greater operational efficiency over time.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323E48"/>
        </w:rPr>
        <w:t>Total Revenue . . . . . . . . . . . . . . . . . . $3B</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323E48"/>
        </w:rPr>
        <w:t>Adjusted Gross Profit . . . . . . . . . . . . 80%+</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323E48"/>
        </w:rPr>
        <w:t>Non-GAAP Total R&amp;D . . . . . . . . . . . . 10-15%</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323E48"/>
        </w:rPr>
        <w:t>Non-GAAP Sales &amp; Marketing . . . . . 15-20%</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323E48"/>
        </w:rPr>
        <w:t>Non-GAAP General</w:t>
      </w:r>
    </w:p>
    <w:p>
      <w:pPr>
        <w:spacing w:after="0" w:line="24" w:lineRule="exact"/>
        <w:rPr>
          <w:sz w:val="20"/>
          <w:szCs w:val="20"/>
          <w:color w:val="auto"/>
        </w:rPr>
      </w:pPr>
    </w:p>
    <w:p>
      <w:pPr>
        <w:ind w:right="620"/>
        <w:spacing w:after="0" w:line="372" w:lineRule="auto"/>
        <w:rPr>
          <w:sz w:val="20"/>
          <w:szCs w:val="20"/>
          <w:color w:val="auto"/>
        </w:rPr>
      </w:pPr>
      <w:r>
        <w:rPr>
          <w:rFonts w:ascii="Arial" w:cs="Arial" w:eastAsia="Arial" w:hAnsi="Arial"/>
          <w:sz w:val="20"/>
          <w:szCs w:val="20"/>
          <w:color w:val="323E48"/>
        </w:rPr>
        <w:t>&amp; Administrative . . . . . . . . . . . . . . . . 5-7% Adjusted EBITDA . . . . . . . . . . . . . . . . 40-45% Free Cash Flow. . . . . . . . . . . . . . . . . . 25-30% Stock-Based Compensation . . . . . . 5%</w:t>
      </w:r>
    </w:p>
    <w:p>
      <w:pPr>
        <w:spacing w:after="0" w:line="115" w:lineRule="exact"/>
        <w:rPr>
          <w:sz w:val="20"/>
          <w:szCs w:val="20"/>
          <w:color w:val="auto"/>
        </w:rPr>
      </w:pPr>
    </w:p>
    <w:p>
      <w:pPr>
        <w:ind w:right="600"/>
        <w:spacing w:after="0" w:line="314" w:lineRule="auto"/>
        <w:rPr>
          <w:sz w:val="20"/>
          <w:szCs w:val="20"/>
          <w:color w:val="auto"/>
        </w:rPr>
      </w:pPr>
      <w:r>
        <w:rPr>
          <w:rFonts w:ascii="Arial" w:cs="Arial" w:eastAsia="Arial" w:hAnsi="Arial"/>
          <w:sz w:val="20"/>
          <w:szCs w:val="20"/>
          <w:color w:val="323E48"/>
        </w:rPr>
        <w:t>Note: Financial targets based on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23"/>
          <w:szCs w:val="23"/>
          <w:color w:val="F3F0EB"/>
        </w:rPr>
        <w:t xml:space="preserve">Free Cash Flow </w:t>
      </w:r>
      <w:r>
        <w:rPr>
          <w:rFonts w:ascii="Arial" w:cs="Arial" w:eastAsia="Arial" w:hAnsi="Arial"/>
          <w:sz w:val="15"/>
          <w:szCs w:val="15"/>
          <w:color w:val="F3F0EB"/>
        </w:rPr>
        <w:t>$ Millions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F3F0EB"/>
        </w:rPr>
        <w:t>excluding interest income on funds held for clients*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60"/>
        <w:spacing w:after="0"/>
        <w:rPr>
          <w:sz w:val="20"/>
          <w:szCs w:val="20"/>
          <w:color w:val="auto"/>
        </w:rPr>
      </w:pPr>
      <w:r>
        <w:rPr>
          <w:rFonts w:ascii="Arial" w:cs="Arial" w:eastAsia="Arial" w:hAnsi="Arial"/>
          <w:sz w:val="23"/>
          <w:szCs w:val="23"/>
          <w:color w:val="F3F0EB"/>
        </w:rPr>
        <w:t xml:space="preserve">Revenue </w:t>
      </w:r>
      <w:r>
        <w:rPr>
          <w:rFonts w:ascii="Arial" w:cs="Arial" w:eastAsia="Arial" w:hAnsi="Arial"/>
          <w:sz w:val="15"/>
          <w:szCs w:val="15"/>
          <w:color w:val="F3F0EB"/>
        </w:rPr>
        <w:t>$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7"/>
              <w:spacing w:after="0"/>
              <w:rPr>
                <w:sz w:val="20"/>
                <w:szCs w:val="20"/>
                <w:color w:val="auto"/>
              </w:rPr>
            </w:pPr>
            <w:r>
              <w:rPr>
                <w:rFonts w:ascii="Arial" w:cs="Arial" w:eastAsia="Arial" w:hAnsi="Arial"/>
                <w:sz w:val="20"/>
                <w:szCs w:val="20"/>
                <w:color w:val="323E48"/>
              </w:rPr>
              <w:t>CAGR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gridSpan w:val="2"/>
          </w:tcPr>
          <w:p>
            <w:pPr>
              <w:jc w:val="right"/>
              <w:ind w:right="227"/>
              <w:spacing w:after="0"/>
              <w:rPr>
                <w:sz w:val="20"/>
                <w:szCs w:val="20"/>
                <w:color w:val="auto"/>
              </w:rPr>
            </w:pPr>
            <w:r>
              <w:rPr>
                <w:rFonts w:ascii="Arial" w:cs="Arial" w:eastAsia="Arial" w:hAnsi="Arial"/>
                <w:sz w:val="20"/>
                <w:szCs w:val="20"/>
                <w:color w:val="323E48"/>
              </w:rPr>
              <w:t>15%</w:t>
            </w:r>
          </w:p>
        </w:tc>
        <w:tc>
          <w:tcPr>
            <w:tcW w:w="380" w:type="dxa"/>
            <w:vAlign w:val="bottom"/>
          </w:tcPr>
          <w:p>
            <w:pPr>
              <w:spacing w:after="0"/>
              <w:rPr>
                <w:sz w:val="23"/>
                <w:szCs w:val="23"/>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16"/>
                <w:szCs w:val="16"/>
                <w:color w:val="898A8D"/>
              </w:rPr>
              <w:t>11%</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898A8D"/>
              </w:rPr>
              <w:t>14%</w:t>
            </w:r>
          </w:p>
        </w:tc>
        <w:tc>
          <w:tcPr>
            <w:tcW w:w="1120" w:type="dxa"/>
            <w:vAlign w:val="bottom"/>
            <w:gridSpan w:val="2"/>
          </w:tcPr>
          <w:p>
            <w:pPr>
              <w:jc w:val="right"/>
              <w:ind w:right="35"/>
              <w:spacing w:after="0"/>
              <w:rPr>
                <w:sz w:val="20"/>
                <w:szCs w:val="20"/>
                <w:color w:val="auto"/>
              </w:rPr>
            </w:pPr>
            <w:r>
              <w:rPr>
                <w:rFonts w:ascii="Arial" w:cs="Arial" w:eastAsia="Arial" w:hAnsi="Arial"/>
                <w:sz w:val="16"/>
                <w:szCs w:val="16"/>
                <w:color w:val="898A8D"/>
              </w:rPr>
              <w:t>YoY growth</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898A8D"/>
              </w:rPr>
              <w:t>19%</w:t>
            </w:r>
          </w:p>
        </w:tc>
        <w:tc>
          <w:tcPr>
            <w:tcW w:w="1060" w:type="dxa"/>
            <w:vAlign w:val="bottom"/>
            <w:gridSpan w:val="2"/>
          </w:tcPr>
          <w:p>
            <w:pPr>
              <w:jc w:val="right"/>
              <w:spacing w:after="0"/>
              <w:rPr>
                <w:sz w:val="20"/>
                <w:szCs w:val="20"/>
                <w:color w:val="auto"/>
              </w:rPr>
            </w:pPr>
            <w:r>
              <w:rPr>
                <w:rFonts w:ascii="Arial" w:cs="Arial" w:eastAsia="Arial" w:hAnsi="Arial"/>
                <w:sz w:val="16"/>
                <w:szCs w:val="16"/>
                <w:color w:val="898A8D"/>
              </w:rPr>
              <w:t>YoY growth</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gridSpan w:val="2"/>
          </w:tcPr>
          <w:p>
            <w:pPr>
              <w:jc w:val="right"/>
              <w:spacing w:after="0"/>
              <w:rPr>
                <w:sz w:val="20"/>
                <w:szCs w:val="20"/>
                <w:color w:val="auto"/>
              </w:rPr>
            </w:pPr>
            <w:r>
              <w:rPr>
                <w:rFonts w:ascii="Arial" w:cs="Arial" w:eastAsia="Arial" w:hAnsi="Arial"/>
                <w:sz w:val="16"/>
                <w:szCs w:val="16"/>
                <w:color w:val="898A8D"/>
              </w:rPr>
              <w:t>YoY growth</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7"/>
        </w:trPr>
        <w:tc>
          <w:tcPr>
            <w:tcW w:w="520" w:type="dxa"/>
            <w:vAlign w:val="bottom"/>
            <w:textDirection w:val="btLr"/>
          </w:tcPr>
          <w:p>
            <w:pPr>
              <w:spacing w:after="0"/>
              <w:rPr>
                <w:sz w:val="20"/>
                <w:szCs w:val="20"/>
                <w:color w:val="auto"/>
              </w:rPr>
            </w:pPr>
            <w:r>
              <w:rPr>
                <w:rFonts w:ascii="Arial" w:cs="Arial" w:eastAsia="Arial" w:hAnsi="Arial"/>
                <w:sz w:val="20"/>
                <w:szCs w:val="20"/>
                <w:color w:val="F3F0EB"/>
              </w:rPr>
              <w:t>$1,098</w:t>
            </w:r>
          </w:p>
        </w:tc>
        <w:tc>
          <w:tcPr>
            <w:tcW w:w="640" w:type="dxa"/>
            <w:vAlign w:val="bottom"/>
            <w:textDirection w:val="btLr"/>
          </w:tcPr>
          <w:p>
            <w:pPr>
              <w:ind w:right="180"/>
              <w:spacing w:after="0"/>
              <w:rPr>
                <w:sz w:val="20"/>
                <w:szCs w:val="20"/>
                <w:color w:val="auto"/>
              </w:rPr>
            </w:pPr>
            <w:r>
              <w:rPr>
                <w:rFonts w:ascii="Arial" w:cs="Arial" w:eastAsia="Arial" w:hAnsi="Arial"/>
                <w:sz w:val="20"/>
                <w:szCs w:val="20"/>
                <w:color w:val="F3F0EB"/>
              </w:rPr>
              <w:t>$1,175</w:t>
            </w:r>
          </w:p>
        </w:tc>
        <w:tc>
          <w:tcPr>
            <w:tcW w:w="400" w:type="dxa"/>
            <w:vAlign w:val="bottom"/>
            <w:textDirection w:val="btLr"/>
          </w:tcPr>
          <w:p>
            <w:pPr>
              <w:spacing w:after="0"/>
              <w:rPr>
                <w:sz w:val="20"/>
                <w:szCs w:val="20"/>
                <w:color w:val="auto"/>
              </w:rPr>
            </w:pPr>
            <w:r>
              <w:rPr>
                <w:rFonts w:ascii="Arial" w:cs="Arial" w:eastAsia="Arial" w:hAnsi="Arial"/>
                <w:sz w:val="20"/>
                <w:szCs w:val="20"/>
                <w:color w:val="F3F0EB"/>
              </w:rPr>
              <w:t>$1,282</w:t>
            </w:r>
          </w:p>
        </w:tc>
        <w:tc>
          <w:tcPr>
            <w:tcW w:w="660" w:type="dxa"/>
            <w:vAlign w:val="bottom"/>
            <w:textDirection w:val="btLr"/>
          </w:tcPr>
          <w:p>
            <w:pPr>
              <w:ind w:right="180"/>
              <w:spacing w:after="0"/>
              <w:rPr>
                <w:sz w:val="20"/>
                <w:szCs w:val="20"/>
                <w:color w:val="auto"/>
              </w:rPr>
            </w:pPr>
            <w:r>
              <w:rPr>
                <w:rFonts w:ascii="Arial" w:cs="Arial" w:eastAsia="Arial" w:hAnsi="Arial"/>
                <w:sz w:val="20"/>
                <w:szCs w:val="20"/>
                <w:color w:val="F3F0EB"/>
              </w:rPr>
              <w:t>$1,403</w:t>
            </w:r>
          </w:p>
        </w:tc>
        <w:tc>
          <w:tcPr>
            <w:tcW w:w="380" w:type="dxa"/>
            <w:vAlign w:val="bottom"/>
            <w:textDirection w:val="btLr"/>
          </w:tcPr>
          <w:p>
            <w:pPr>
              <w:spacing w:after="0"/>
              <w:rPr>
                <w:sz w:val="20"/>
                <w:szCs w:val="20"/>
                <w:color w:val="auto"/>
              </w:rPr>
            </w:pPr>
            <w:r>
              <w:rPr>
                <w:rFonts w:ascii="Arial" w:cs="Arial" w:eastAsia="Arial" w:hAnsi="Arial"/>
                <w:sz w:val="20"/>
                <w:szCs w:val="20"/>
                <w:color w:val="F3F0EB"/>
              </w:rPr>
              <w:t>$ 1,472</w:t>
            </w:r>
          </w:p>
        </w:tc>
        <w:tc>
          <w:tcPr>
            <w:tcW w:w="740" w:type="dxa"/>
            <w:vAlign w:val="bottom"/>
            <w:textDirection w:val="btLr"/>
          </w:tcPr>
          <w:p>
            <w:pPr>
              <w:ind w:right="255"/>
              <w:spacing w:after="0"/>
              <w:rPr>
                <w:sz w:val="20"/>
                <w:szCs w:val="20"/>
                <w:color w:val="auto"/>
              </w:rPr>
            </w:pPr>
            <w:r>
              <w:rPr>
                <w:rFonts w:ascii="Arial" w:cs="Arial" w:eastAsia="Arial" w:hAnsi="Arial"/>
                <w:sz w:val="20"/>
                <w:szCs w:val="20"/>
                <w:color w:val="F3F0EB"/>
              </w:rPr>
              <w:t>$1,595</w:t>
            </w:r>
          </w:p>
        </w:tc>
        <w:tc>
          <w:tcPr>
            <w:tcW w:w="340" w:type="dxa"/>
            <w:vAlign w:val="bottom"/>
            <w:textDirection w:val="btLr"/>
          </w:tcPr>
          <w:p>
            <w:pPr>
              <w:spacing w:after="0"/>
              <w:rPr>
                <w:sz w:val="20"/>
                <w:szCs w:val="20"/>
                <w:color w:val="auto"/>
              </w:rPr>
            </w:pPr>
            <w:r>
              <w:rPr>
                <w:rFonts w:ascii="Arial" w:cs="Arial" w:eastAsia="Arial" w:hAnsi="Arial"/>
                <w:sz w:val="20"/>
                <w:szCs w:val="20"/>
                <w:color w:val="F3F0EB"/>
              </w:rPr>
              <w:t>$ 1,651</w:t>
            </w:r>
          </w:p>
        </w:tc>
        <w:tc>
          <w:tcPr>
            <w:tcW w:w="540" w:type="dxa"/>
            <w:vAlign w:val="bottom"/>
            <w:textDirection w:val="btLr"/>
          </w:tcPr>
          <w:p>
            <w:pPr>
              <w:ind w:right="68"/>
              <w:spacing w:after="0"/>
              <w:rPr>
                <w:sz w:val="20"/>
                <w:szCs w:val="20"/>
                <w:color w:val="auto"/>
              </w:rPr>
            </w:pPr>
            <w:r>
              <w:rPr>
                <w:rFonts w:ascii="Arial" w:cs="Arial" w:eastAsia="Arial" w:hAnsi="Arial"/>
                <w:sz w:val="20"/>
                <w:szCs w:val="20"/>
                <w:color w:val="F3F0EB"/>
              </w:rPr>
              <w:t>$1,771</w:t>
            </w:r>
          </w:p>
        </w:tc>
        <w:tc>
          <w:tcPr>
            <w:tcW w:w="0" w:type="dxa"/>
            <w:vAlign w:val="bottom"/>
          </w:tcPr>
          <w:p>
            <w:pPr>
              <w:spacing w:after="0"/>
              <w:rPr>
                <w:sz w:val="1"/>
                <w:szCs w:val="1"/>
                <w:color w:val="auto"/>
              </w:rPr>
            </w:pPr>
          </w:p>
        </w:tc>
      </w:tr>
      <w:tr>
        <w:trPr>
          <w:trHeight w:val="254"/>
        </w:trPr>
        <w:tc>
          <w:tcPr>
            <w:tcW w:w="1160" w:type="dxa"/>
            <w:vAlign w:val="bottom"/>
            <w:tcBorders>
              <w:bottom w:val="single" w:sz="8" w:color="333D47"/>
            </w:tcBorders>
            <w:gridSpan w:val="2"/>
          </w:tcPr>
          <w:p>
            <w:pPr>
              <w:spacing w:after="0"/>
              <w:rPr>
                <w:sz w:val="22"/>
                <w:szCs w:val="22"/>
                <w:color w:val="auto"/>
              </w:rPr>
            </w:pPr>
          </w:p>
        </w:tc>
        <w:tc>
          <w:tcPr>
            <w:tcW w:w="1060" w:type="dxa"/>
            <w:vAlign w:val="bottom"/>
            <w:tcBorders>
              <w:bottom w:val="single" w:sz="8" w:color="333D47"/>
            </w:tcBorders>
            <w:gridSpan w:val="2"/>
          </w:tcPr>
          <w:p>
            <w:pPr>
              <w:spacing w:after="0"/>
              <w:rPr>
                <w:sz w:val="22"/>
                <w:szCs w:val="22"/>
                <w:color w:val="auto"/>
              </w:rPr>
            </w:pPr>
          </w:p>
        </w:tc>
        <w:tc>
          <w:tcPr>
            <w:tcW w:w="1120" w:type="dxa"/>
            <w:vAlign w:val="bottom"/>
            <w:tcBorders>
              <w:bottom w:val="single" w:sz="8" w:color="333D47"/>
            </w:tcBorders>
            <w:gridSpan w:val="2"/>
          </w:tcPr>
          <w:p>
            <w:pPr>
              <w:spacing w:after="0"/>
              <w:rPr>
                <w:sz w:val="22"/>
                <w:szCs w:val="22"/>
                <w:color w:val="auto"/>
              </w:rPr>
            </w:pPr>
          </w:p>
        </w:tc>
        <w:tc>
          <w:tcPr>
            <w:tcW w:w="880" w:type="dxa"/>
            <w:vAlign w:val="bottom"/>
            <w:tcBorders>
              <w:bottom w:val="single" w:sz="8" w:color="333D47"/>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160" w:type="dxa"/>
            <w:vAlign w:val="bottom"/>
            <w:gridSpan w:val="2"/>
          </w:tcPr>
          <w:p>
            <w:pPr>
              <w:jc w:val="right"/>
              <w:ind w:right="335"/>
              <w:spacing w:after="0"/>
              <w:rPr>
                <w:sz w:val="20"/>
                <w:szCs w:val="20"/>
                <w:color w:val="auto"/>
              </w:rPr>
            </w:pPr>
            <w:r>
              <w:rPr>
                <w:rFonts w:ascii="Arial" w:cs="Arial" w:eastAsia="Arial" w:hAnsi="Arial"/>
                <w:sz w:val="20"/>
                <w:szCs w:val="20"/>
                <w:b w:val="1"/>
                <w:bCs w:val="1"/>
                <w:color w:val="898A8D"/>
              </w:rPr>
              <w:t>FY23</w:t>
            </w:r>
          </w:p>
        </w:tc>
        <w:tc>
          <w:tcPr>
            <w:tcW w:w="1060" w:type="dxa"/>
            <w:vAlign w:val="bottom"/>
            <w:gridSpan w:val="2"/>
          </w:tcPr>
          <w:p>
            <w:pPr>
              <w:jc w:val="right"/>
              <w:ind w:right="307"/>
              <w:spacing w:after="0"/>
              <w:rPr>
                <w:sz w:val="20"/>
                <w:szCs w:val="20"/>
                <w:color w:val="auto"/>
              </w:rPr>
            </w:pPr>
            <w:r>
              <w:rPr>
                <w:rFonts w:ascii="Arial" w:cs="Arial" w:eastAsia="Arial" w:hAnsi="Arial"/>
                <w:sz w:val="20"/>
                <w:szCs w:val="20"/>
                <w:b w:val="1"/>
                <w:bCs w:val="1"/>
                <w:color w:val="898A8D"/>
              </w:rPr>
              <w:t>FY24</w:t>
            </w:r>
          </w:p>
        </w:tc>
        <w:tc>
          <w:tcPr>
            <w:tcW w:w="1120" w:type="dxa"/>
            <w:vAlign w:val="bottom"/>
            <w:gridSpan w:val="2"/>
          </w:tcPr>
          <w:p>
            <w:pPr>
              <w:jc w:val="right"/>
              <w:ind w:right="395"/>
              <w:spacing w:after="0"/>
              <w:rPr>
                <w:sz w:val="20"/>
                <w:szCs w:val="20"/>
                <w:color w:val="auto"/>
              </w:rPr>
            </w:pPr>
            <w:r>
              <w:rPr>
                <w:rFonts w:ascii="Arial" w:cs="Arial" w:eastAsia="Arial" w:hAnsi="Arial"/>
                <w:sz w:val="20"/>
                <w:szCs w:val="20"/>
                <w:b w:val="1"/>
                <w:bCs w:val="1"/>
                <w:color w:val="898A8D"/>
              </w:rPr>
              <w:t>FY25</w:t>
            </w:r>
          </w:p>
        </w:tc>
        <w:tc>
          <w:tcPr>
            <w:tcW w:w="880" w:type="dxa"/>
            <w:vAlign w:val="bottom"/>
            <w:gridSpan w:val="2"/>
          </w:tcPr>
          <w:p>
            <w:pPr>
              <w:jc w:val="right"/>
              <w:ind w:right="201"/>
              <w:spacing w:after="0"/>
              <w:rPr>
                <w:sz w:val="20"/>
                <w:szCs w:val="20"/>
                <w:color w:val="auto"/>
              </w:rPr>
            </w:pPr>
            <w:r>
              <w:rPr>
                <w:rFonts w:ascii="Arial" w:cs="Arial" w:eastAsia="Arial" w:hAnsi="Arial"/>
                <w:sz w:val="20"/>
                <w:szCs w:val="20"/>
                <w:b w:val="1"/>
                <w:bCs w:val="1"/>
                <w:color w:val="898A8D"/>
              </w:rPr>
              <w:t>FY26</w:t>
            </w:r>
          </w:p>
        </w:tc>
        <w:tc>
          <w:tcPr>
            <w:tcW w:w="0" w:type="dxa"/>
            <w:vAlign w:val="bottom"/>
          </w:tcPr>
          <w:p>
            <w:pPr>
              <w:spacing w:after="0"/>
              <w:rPr>
                <w:sz w:val="1"/>
                <w:szCs w:val="1"/>
                <w:color w:val="auto"/>
              </w:rPr>
            </w:pPr>
          </w:p>
        </w:tc>
      </w:tr>
      <w:tr>
        <w:trPr>
          <w:trHeight w:val="448"/>
        </w:trPr>
        <w:tc>
          <w:tcPr>
            <w:tcW w:w="520" w:type="dxa"/>
            <w:vAlign w:val="bottom"/>
          </w:tcPr>
          <w:p>
            <w:pPr>
              <w:spacing w:after="0"/>
              <w:rPr>
                <w:sz w:val="24"/>
                <w:szCs w:val="24"/>
                <w:color w:val="auto"/>
              </w:rPr>
            </w:pPr>
          </w:p>
        </w:tc>
        <w:tc>
          <w:tcPr>
            <w:tcW w:w="1700" w:type="dxa"/>
            <w:vAlign w:val="bottom"/>
            <w:gridSpan w:val="3"/>
          </w:tcPr>
          <w:p>
            <w:pPr>
              <w:ind w:left="300"/>
              <w:spacing w:after="0"/>
              <w:rPr>
                <w:sz w:val="20"/>
                <w:szCs w:val="20"/>
                <w:color w:val="auto"/>
              </w:rPr>
            </w:pPr>
            <w:r>
              <w:rPr>
                <w:rFonts w:ascii="Arial" w:cs="Arial" w:eastAsia="Arial" w:hAnsi="Arial"/>
                <w:sz w:val="16"/>
                <w:szCs w:val="16"/>
                <w:color w:val="898A8D"/>
              </w:rPr>
              <w:t>Recurring and</w:t>
            </w:r>
          </w:p>
        </w:tc>
        <w:tc>
          <w:tcPr>
            <w:tcW w:w="3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898A8D"/>
              </w:rPr>
              <w:t>Total</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700" w:type="dxa"/>
            <w:vAlign w:val="bottom"/>
            <w:gridSpan w:val="3"/>
          </w:tcPr>
          <w:p>
            <w:pPr>
              <w:ind w:left="300"/>
              <w:spacing w:after="0"/>
              <w:rPr>
                <w:sz w:val="20"/>
                <w:szCs w:val="20"/>
                <w:color w:val="auto"/>
              </w:rPr>
            </w:pPr>
            <w:r>
              <w:rPr>
                <w:rFonts w:ascii="Arial" w:cs="Arial" w:eastAsia="Arial" w:hAnsi="Arial"/>
                <w:sz w:val="16"/>
                <w:szCs w:val="16"/>
                <w:color w:val="898A8D"/>
              </w:rPr>
              <w:t>Other Revenue</w:t>
            </w:r>
          </w:p>
        </w:tc>
        <w:tc>
          <w:tcPr>
            <w:tcW w:w="380" w:type="dxa"/>
            <w:vAlign w:val="bottom"/>
          </w:tcPr>
          <w:p>
            <w:pPr>
              <w:spacing w:after="0"/>
              <w:rPr>
                <w:sz w:val="19"/>
                <w:szCs w:val="19"/>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898A8D"/>
                <w:w w:val="99"/>
              </w:rPr>
              <w:t>Revenue</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Arial" w:cs="Arial" w:eastAsia="Arial" w:hAnsi="Arial"/>
          <w:sz w:val="23"/>
          <w:szCs w:val="23"/>
          <w:color w:val="F3F0EB"/>
        </w:rPr>
        <w:t xml:space="preserve">Adjusted EBITDA </w:t>
      </w:r>
      <w:r>
        <w:rPr>
          <w:rFonts w:ascii="Arial" w:cs="Arial" w:eastAsia="Arial" w:hAnsi="Arial"/>
          <w:sz w:val="15"/>
          <w:szCs w:val="15"/>
          <w:color w:val="F3F0EB"/>
        </w:rPr>
        <w:t>$ Millions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F3F0EB"/>
        </w:rPr>
        <w:t>excluding interest income on funds held for clients*</w:t>
      </w:r>
    </w:p>
    <w:p>
      <w:pPr>
        <w:spacing w:after="0" w:line="200" w:lineRule="exact"/>
        <w:rPr>
          <w:sz w:val="20"/>
          <w:szCs w:val="20"/>
          <w:color w:val="auto"/>
        </w:rPr>
      </w:pPr>
    </w:p>
    <w:p>
      <w:pPr>
        <w:sectPr>
          <w:pgSz w:w="11880" w:h="15475" w:orient="portrait"/>
          <w:cols w:equalWidth="0" w:num="2">
            <w:col w:w="4840" w:space="720"/>
            <w:col w:w="4280"/>
          </w:cols>
          <w:pgMar w:left="1020" w:top="1003" w:right="1015" w:bottom="4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spacing w:after="0"/>
        <w:rPr>
          <w:sz w:val="20"/>
          <w:szCs w:val="20"/>
          <w:color w:val="auto"/>
        </w:rPr>
      </w:pPr>
      <w:r>
        <w:rPr>
          <w:rFonts w:ascii="Arial" w:cs="Arial" w:eastAsia="Arial" w:hAnsi="Arial"/>
          <w:sz w:val="18"/>
          <w:szCs w:val="18"/>
          <w:color w:val="323E48"/>
        </w:rPr>
        <w:t>CAGR</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18"/>
          <w:szCs w:val="18"/>
          <w:color w:val="323E48"/>
        </w:rPr>
        <w:t>30%</w:t>
      </w:r>
    </w:p>
    <w:p>
      <w:pPr>
        <w:spacing w:after="0" w:line="192" w:lineRule="exact"/>
        <w:rPr>
          <w:sz w:val="20"/>
          <w:szCs w:val="20"/>
          <w:color w:val="auto"/>
        </w:rPr>
      </w:pPr>
    </w:p>
    <w:p>
      <w:pPr>
        <w:ind w:left="1580"/>
        <w:spacing w:after="0"/>
        <w:rPr>
          <w:sz w:val="20"/>
          <w:szCs w:val="20"/>
          <w:color w:val="auto"/>
        </w:rPr>
      </w:pPr>
      <w:r>
        <w:rPr>
          <w:rFonts w:ascii="Arial" w:cs="Arial" w:eastAsia="Arial" w:hAnsi="Arial"/>
          <w:sz w:val="16"/>
          <w:szCs w:val="16"/>
          <w:color w:val="898A8D"/>
        </w:rPr>
        <w:t>14.4%</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16"/>
          <w:szCs w:val="16"/>
          <w:color w:val="898A8D"/>
        </w:rPr>
        <w:t>Margin</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6"/>
          <w:szCs w:val="16"/>
          <w:color w:val="898A8D"/>
        </w:rPr>
        <w:t>12.7%</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6"/>
          <w:szCs w:val="16"/>
          <w:color w:val="898A8D"/>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6"/>
          <w:szCs w:val="16"/>
          <w:color w:val="898A8D"/>
        </w:rPr>
        <w:t>14.9%</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898A8D"/>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898A8D"/>
        </w:rPr>
        <w:t>18.6%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898A8D"/>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800" w:type="dxa"/>
        <w:tblCellMar>
          <w:top w:w="0" w:type="dxa"/>
          <w:left w:w="0" w:type="dxa"/>
          <w:bottom w:w="0" w:type="dxa"/>
          <w:right w:w="0" w:type="dxa"/>
        </w:tblCellMar>
      </w:tblPr>
      <w:tr>
        <w:trPr>
          <w:trHeight w:val="209"/>
        </w:trPr>
        <w:tc>
          <w:tcPr>
            <w:tcW w:w="1440" w:type="dxa"/>
            <w:vAlign w:val="bottom"/>
            <w:vMerge w:val="restart"/>
          </w:tcPr>
          <w:p>
            <w:pPr>
              <w:jc w:val="right"/>
              <w:ind w:right="319"/>
              <w:spacing w:after="0"/>
              <w:rPr>
                <w:sz w:val="20"/>
                <w:szCs w:val="20"/>
                <w:color w:val="auto"/>
              </w:rPr>
            </w:pPr>
            <w:r>
              <w:rPr>
                <w:rFonts w:ascii="Arial" w:cs="Arial" w:eastAsia="Arial" w:hAnsi="Arial"/>
                <w:sz w:val="19"/>
                <w:szCs w:val="19"/>
                <w:color w:val="323E48"/>
              </w:rPr>
              <w:t>CAGR</w:t>
            </w:r>
          </w:p>
        </w:tc>
        <w:tc>
          <w:tcPr>
            <w:tcW w:w="920" w:type="dxa"/>
            <w:vAlign w:val="bottom"/>
          </w:tcPr>
          <w:p>
            <w:pPr>
              <w:ind w:left="420"/>
              <w:spacing w:after="0"/>
              <w:rPr>
                <w:sz w:val="20"/>
                <w:szCs w:val="20"/>
                <w:color w:val="auto"/>
              </w:rPr>
            </w:pPr>
            <w:r>
              <w:rPr>
                <w:rFonts w:ascii="Arial" w:cs="Arial" w:eastAsia="Arial" w:hAnsi="Arial"/>
                <w:sz w:val="16"/>
                <w:szCs w:val="16"/>
                <w:color w:val="898A8D"/>
              </w:rPr>
              <w:t>32.4%</w:t>
            </w:r>
          </w:p>
        </w:tc>
        <w:tc>
          <w:tcPr>
            <w:tcW w:w="0" w:type="dxa"/>
            <w:vAlign w:val="bottom"/>
          </w:tcPr>
          <w:p>
            <w:pPr>
              <w:spacing w:after="0"/>
              <w:rPr>
                <w:sz w:val="1"/>
                <w:szCs w:val="1"/>
                <w:color w:val="auto"/>
              </w:rPr>
            </w:pPr>
          </w:p>
        </w:tc>
      </w:tr>
      <w:tr>
        <w:trPr>
          <w:trHeight w:val="89"/>
        </w:trPr>
        <w:tc>
          <w:tcPr>
            <w:tcW w:w="1440" w:type="dxa"/>
            <w:vAlign w:val="bottom"/>
            <w:vMerge w:val="continue"/>
          </w:tcPr>
          <w:p>
            <w:pPr>
              <w:spacing w:after="0"/>
              <w:rPr>
                <w:sz w:val="7"/>
                <w:szCs w:val="7"/>
                <w:color w:val="auto"/>
              </w:rPr>
            </w:pPr>
          </w:p>
        </w:tc>
        <w:tc>
          <w:tcPr>
            <w:tcW w:w="920" w:type="dxa"/>
            <w:vAlign w:val="bottom"/>
            <w:vMerge w:val="restart"/>
          </w:tcPr>
          <w:p>
            <w:pPr>
              <w:ind w:left="400"/>
              <w:spacing w:after="0"/>
              <w:rPr>
                <w:sz w:val="20"/>
                <w:szCs w:val="20"/>
                <w:color w:val="auto"/>
              </w:rPr>
            </w:pPr>
            <w:r>
              <w:rPr>
                <w:rFonts w:ascii="Arial" w:cs="Arial" w:eastAsia="Arial" w:hAnsi="Arial"/>
                <w:sz w:val="16"/>
                <w:szCs w:val="16"/>
                <w:color w:val="898A8D"/>
              </w:rPr>
              <w:t>Margin</w:t>
            </w:r>
          </w:p>
        </w:tc>
        <w:tc>
          <w:tcPr>
            <w:tcW w:w="0" w:type="dxa"/>
            <w:vAlign w:val="bottom"/>
          </w:tcPr>
          <w:p>
            <w:pPr>
              <w:spacing w:after="0"/>
              <w:rPr>
                <w:sz w:val="1"/>
                <w:szCs w:val="1"/>
                <w:color w:val="auto"/>
              </w:rPr>
            </w:pPr>
          </w:p>
        </w:tc>
      </w:tr>
      <w:tr>
        <w:trPr>
          <w:trHeight w:val="117"/>
        </w:trPr>
        <w:tc>
          <w:tcPr>
            <w:tcW w:w="1440" w:type="dxa"/>
            <w:vAlign w:val="bottom"/>
          </w:tcPr>
          <w:p>
            <w:pPr>
              <w:jc w:val="right"/>
              <w:ind w:right="899"/>
              <w:spacing w:after="0" w:line="187" w:lineRule="auto"/>
              <w:rPr>
                <w:sz w:val="20"/>
                <w:szCs w:val="20"/>
                <w:color w:val="auto"/>
              </w:rPr>
            </w:pPr>
            <w:r>
              <w:rPr>
                <w:rFonts w:ascii="Arial" w:cs="Arial" w:eastAsia="Arial" w:hAnsi="Arial"/>
                <w:sz w:val="13"/>
                <w:szCs w:val="13"/>
                <w:color w:val="323E48"/>
              </w:rPr>
              <w:t>21%</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0" w:type="dxa"/>
            <w:vAlign w:val="bottom"/>
          </w:tcPr>
          <w:p>
            <w:pPr>
              <w:spacing w:after="0"/>
              <w:rPr>
                <w:sz w:val="18"/>
                <w:szCs w:val="18"/>
                <w:color w:val="auto"/>
              </w:rPr>
            </w:pPr>
          </w:p>
        </w:tc>
        <w:tc>
          <w:tcPr>
            <w:tcW w:w="1580" w:type="dxa"/>
            <w:vAlign w:val="bottom"/>
          </w:tcPr>
          <w:p>
            <w:pPr>
              <w:ind w:left="1100"/>
              <w:spacing w:after="0"/>
              <w:rPr>
                <w:sz w:val="20"/>
                <w:szCs w:val="20"/>
                <w:color w:val="auto"/>
              </w:rPr>
            </w:pPr>
            <w:r>
              <w:rPr>
                <w:rFonts w:ascii="Arial" w:cs="Arial" w:eastAsia="Arial" w:hAnsi="Arial"/>
                <w:sz w:val="16"/>
                <w:szCs w:val="16"/>
                <w:color w:val="898A8D"/>
              </w:rPr>
              <w:t>31.2%</w:t>
            </w: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1580" w:type="dxa"/>
            <w:vAlign w:val="bottom"/>
          </w:tcPr>
          <w:p>
            <w:pPr>
              <w:ind w:left="1060"/>
              <w:spacing w:after="0"/>
              <w:rPr>
                <w:sz w:val="20"/>
                <w:szCs w:val="20"/>
                <w:color w:val="auto"/>
              </w:rPr>
            </w:pPr>
            <w:r>
              <w:rPr>
                <w:rFonts w:ascii="Arial" w:cs="Arial" w:eastAsia="Arial" w:hAnsi="Arial"/>
                <w:sz w:val="16"/>
                <w:szCs w:val="16"/>
                <w:color w:val="898A8D"/>
              </w:rPr>
              <w:t>Margin</w:t>
            </w: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6"/>
                <w:szCs w:val="16"/>
                <w:color w:val="898A8D"/>
              </w:rPr>
              <w:t>30.0%</w:t>
            </w:r>
          </w:p>
        </w:tc>
        <w:tc>
          <w:tcPr>
            <w:tcW w:w="0" w:type="dxa"/>
            <w:vAlign w:val="bottom"/>
          </w:tcPr>
          <w:p>
            <w:pPr>
              <w:spacing w:after="0"/>
              <w:rPr>
                <w:sz w:val="1"/>
                <w:szCs w:val="1"/>
                <w:color w:val="auto"/>
              </w:rPr>
            </w:pPr>
          </w:p>
        </w:tc>
      </w:tr>
      <w:tr>
        <w:trPr>
          <w:trHeight w:val="228"/>
        </w:trPr>
        <w:tc>
          <w:tcPr>
            <w:tcW w:w="680" w:type="dxa"/>
            <w:vAlign w:val="bottom"/>
            <w:vMerge w:val="restart"/>
          </w:tcPr>
          <w:p>
            <w:pPr>
              <w:ind w:left="20"/>
              <w:spacing w:after="0"/>
              <w:rPr>
                <w:sz w:val="20"/>
                <w:szCs w:val="20"/>
                <w:color w:val="auto"/>
              </w:rPr>
            </w:pPr>
            <w:r>
              <w:rPr>
                <w:rFonts w:ascii="Arial" w:cs="Arial" w:eastAsia="Arial" w:hAnsi="Arial"/>
                <w:sz w:val="16"/>
                <w:szCs w:val="16"/>
                <w:color w:val="898A8D"/>
              </w:rPr>
              <w:t>27.2%</w:t>
            </w:r>
          </w:p>
        </w:tc>
        <w:tc>
          <w:tcPr>
            <w:tcW w:w="1580" w:type="dxa"/>
            <w:vAlign w:val="bottom"/>
          </w:tcPr>
          <w:p>
            <w:pPr>
              <w:ind w:left="160"/>
              <w:spacing w:after="0"/>
              <w:rPr>
                <w:sz w:val="20"/>
                <w:szCs w:val="20"/>
                <w:color w:val="auto"/>
              </w:rPr>
            </w:pPr>
            <w:r>
              <w:rPr>
                <w:rFonts w:ascii="Arial" w:cs="Arial" w:eastAsia="Arial" w:hAnsi="Arial"/>
                <w:sz w:val="16"/>
                <w:szCs w:val="16"/>
                <w:color w:val="898A8D"/>
              </w:rPr>
              <w:t>Margin</w:t>
            </w:r>
          </w:p>
        </w:tc>
        <w:tc>
          <w:tcPr>
            <w:tcW w:w="0" w:type="dxa"/>
            <w:vAlign w:val="bottom"/>
          </w:tcPr>
          <w:p>
            <w:pPr>
              <w:spacing w:after="0"/>
              <w:rPr>
                <w:sz w:val="1"/>
                <w:szCs w:val="1"/>
                <w:color w:val="auto"/>
              </w:rPr>
            </w:pPr>
          </w:p>
        </w:tc>
      </w:tr>
      <w:tr>
        <w:trPr>
          <w:trHeight w:val="120"/>
        </w:trPr>
        <w:tc>
          <w:tcPr>
            <w:tcW w:w="6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680" w:type="dxa"/>
            <w:vAlign w:val="bottom"/>
          </w:tcPr>
          <w:p>
            <w:pPr>
              <w:spacing w:after="0"/>
              <w:rPr>
                <w:sz w:val="20"/>
                <w:szCs w:val="20"/>
                <w:color w:val="auto"/>
              </w:rPr>
            </w:pPr>
            <w:r>
              <w:rPr>
                <w:rFonts w:ascii="Arial" w:cs="Arial" w:eastAsia="Arial" w:hAnsi="Arial"/>
                <w:sz w:val="16"/>
                <w:szCs w:val="16"/>
                <w:color w:val="898A8D"/>
              </w:rPr>
              <w:t>Margin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06" w:lineRule="exact"/>
        <w:rPr>
          <w:sz w:val="20"/>
          <w:szCs w:val="20"/>
          <w:color w:val="auto"/>
        </w:rPr>
      </w:pPr>
    </w:p>
    <w:p>
      <w:pPr>
        <w:sectPr>
          <w:pgSz w:w="11880" w:h="15475" w:orient="portrait"/>
          <w:cols w:equalWidth="0" w:num="4">
            <w:col w:w="2340" w:space="100"/>
            <w:col w:w="520" w:space="380"/>
            <w:col w:w="2120" w:space="720"/>
            <w:col w:w="3660"/>
          </w:cols>
          <w:pgMar w:left="1020" w:top="1003" w:right="1015" w:bottom="4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549"/>
        </w:trPr>
        <w:tc>
          <w:tcPr>
            <w:tcW w:w="1220" w:type="dxa"/>
            <w:vAlign w:val="bottom"/>
            <w:textDirection w:val="btLr"/>
          </w:tcPr>
          <w:p>
            <w:pPr>
              <w:ind w:right="212"/>
              <w:spacing w:after="0"/>
              <w:rPr>
                <w:sz w:val="20"/>
                <w:szCs w:val="20"/>
                <w:color w:val="auto"/>
              </w:rPr>
            </w:pPr>
            <w:r>
              <w:rPr>
                <w:rFonts w:ascii="Arial" w:cs="Arial" w:eastAsia="Arial" w:hAnsi="Arial"/>
                <w:sz w:val="20"/>
                <w:szCs w:val="20"/>
                <w:color w:val="F3F0EB"/>
              </w:rPr>
              <w:t>$139</w:t>
            </w:r>
          </w:p>
        </w:tc>
        <w:tc>
          <w:tcPr>
            <w:tcW w:w="900" w:type="dxa"/>
            <w:vAlign w:val="bottom"/>
            <w:textDirection w:val="btLr"/>
          </w:tcPr>
          <w:p>
            <w:pPr>
              <w:ind w:right="219"/>
              <w:spacing w:after="0"/>
              <w:rPr>
                <w:sz w:val="20"/>
                <w:szCs w:val="20"/>
                <w:color w:val="auto"/>
              </w:rPr>
            </w:pPr>
            <w:r>
              <w:rPr>
                <w:rFonts w:ascii="Arial" w:cs="Arial" w:eastAsia="Arial" w:hAnsi="Arial"/>
                <w:sz w:val="20"/>
                <w:szCs w:val="20"/>
                <w:color w:val="F3F0EB"/>
              </w:rPr>
              <w:t>$185</w:t>
            </w:r>
          </w:p>
        </w:tc>
        <w:tc>
          <w:tcPr>
            <w:tcW w:w="880" w:type="dxa"/>
            <w:vAlign w:val="bottom"/>
            <w:textDirection w:val="btLr"/>
          </w:tcPr>
          <w:p>
            <w:pPr>
              <w:ind w:right="206"/>
              <w:spacing w:after="0"/>
              <w:rPr>
                <w:sz w:val="20"/>
                <w:szCs w:val="20"/>
                <w:color w:val="auto"/>
              </w:rPr>
            </w:pPr>
            <w:r>
              <w:rPr>
                <w:rFonts w:ascii="Arial" w:cs="Arial" w:eastAsia="Arial" w:hAnsi="Arial"/>
                <w:sz w:val="20"/>
                <w:szCs w:val="20"/>
                <w:color w:val="F3F0EB"/>
              </w:rPr>
              <w:t>$219</w:t>
            </w:r>
          </w:p>
        </w:tc>
        <w:tc>
          <w:tcPr>
            <w:tcW w:w="1220" w:type="dxa"/>
            <w:vAlign w:val="bottom"/>
            <w:textDirection w:val="btLr"/>
          </w:tcPr>
          <w:p>
            <w:pPr>
              <w:ind w:right="510"/>
              <w:spacing w:after="0"/>
              <w:rPr>
                <w:sz w:val="20"/>
                <w:szCs w:val="20"/>
                <w:color w:val="auto"/>
              </w:rPr>
            </w:pPr>
            <w:r>
              <w:rPr>
                <w:rFonts w:ascii="Arial" w:cs="Arial" w:eastAsia="Arial" w:hAnsi="Arial"/>
                <w:sz w:val="20"/>
                <w:szCs w:val="20"/>
                <w:color w:val="F3F0EB"/>
              </w:rPr>
              <w:t>$308</w:t>
            </w:r>
          </w:p>
        </w:tc>
      </w:tr>
      <w:tr>
        <w:trPr>
          <w:trHeight w:val="292"/>
        </w:trPr>
        <w:tc>
          <w:tcPr>
            <w:tcW w:w="1220" w:type="dxa"/>
            <w:vAlign w:val="bottom"/>
            <w:tcBorders>
              <w:bottom w:val="single" w:sz="8" w:color="333D47"/>
            </w:tcBorders>
          </w:tcPr>
          <w:p>
            <w:pPr>
              <w:spacing w:after="0"/>
              <w:rPr>
                <w:sz w:val="24"/>
                <w:szCs w:val="24"/>
                <w:color w:val="auto"/>
              </w:rPr>
            </w:pPr>
          </w:p>
        </w:tc>
        <w:tc>
          <w:tcPr>
            <w:tcW w:w="900" w:type="dxa"/>
            <w:vAlign w:val="bottom"/>
            <w:tcBorders>
              <w:bottom w:val="single" w:sz="8" w:color="333D47"/>
            </w:tcBorders>
          </w:tcPr>
          <w:p>
            <w:pPr>
              <w:spacing w:after="0"/>
              <w:rPr>
                <w:sz w:val="24"/>
                <w:szCs w:val="24"/>
                <w:color w:val="auto"/>
              </w:rPr>
            </w:pPr>
          </w:p>
        </w:tc>
        <w:tc>
          <w:tcPr>
            <w:tcW w:w="880" w:type="dxa"/>
            <w:vAlign w:val="bottom"/>
            <w:tcBorders>
              <w:bottom w:val="single" w:sz="8" w:color="333D47"/>
            </w:tcBorders>
          </w:tcPr>
          <w:p>
            <w:pPr>
              <w:spacing w:after="0"/>
              <w:rPr>
                <w:sz w:val="24"/>
                <w:szCs w:val="24"/>
                <w:color w:val="auto"/>
              </w:rPr>
            </w:pPr>
          </w:p>
        </w:tc>
        <w:tc>
          <w:tcPr>
            <w:tcW w:w="1220" w:type="dxa"/>
            <w:vAlign w:val="bottom"/>
            <w:tcBorders>
              <w:bottom w:val="single" w:sz="8" w:color="333D47"/>
            </w:tcBorders>
          </w:tcPr>
          <w:p>
            <w:pPr>
              <w:spacing w:after="0"/>
              <w:rPr>
                <w:sz w:val="24"/>
                <w:szCs w:val="24"/>
                <w:color w:val="auto"/>
              </w:rPr>
            </w:pPr>
          </w:p>
        </w:tc>
      </w:tr>
      <w:tr>
        <w:trPr>
          <w:trHeight w:val="284"/>
        </w:trPr>
        <w:tc>
          <w:tcPr>
            <w:tcW w:w="1220" w:type="dxa"/>
            <w:vAlign w:val="bottom"/>
          </w:tcPr>
          <w:p>
            <w:pPr>
              <w:jc w:val="center"/>
              <w:ind w:left="221"/>
              <w:spacing w:after="0"/>
              <w:rPr>
                <w:sz w:val="20"/>
                <w:szCs w:val="20"/>
                <w:color w:val="auto"/>
              </w:rPr>
            </w:pPr>
            <w:r>
              <w:rPr>
                <w:rFonts w:ascii="Arial" w:cs="Arial" w:eastAsia="Arial" w:hAnsi="Arial"/>
                <w:sz w:val="20"/>
                <w:szCs w:val="20"/>
                <w:b w:val="1"/>
                <w:bCs w:val="1"/>
                <w:color w:val="898A8D"/>
                <w:w w:val="96"/>
              </w:rPr>
              <w:t>FY23</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898A8D"/>
                <w:w w:val="96"/>
              </w:rPr>
              <w:t>FY24</w:t>
            </w:r>
          </w:p>
        </w:tc>
        <w:tc>
          <w:tcPr>
            <w:tcW w:w="880" w:type="dxa"/>
            <w:vAlign w:val="bottom"/>
          </w:tcPr>
          <w:p>
            <w:pPr>
              <w:jc w:val="center"/>
              <w:spacing w:after="0"/>
              <w:rPr>
                <w:sz w:val="20"/>
                <w:szCs w:val="20"/>
                <w:color w:val="auto"/>
              </w:rPr>
            </w:pPr>
            <w:r>
              <w:rPr>
                <w:rFonts w:ascii="Arial" w:cs="Arial" w:eastAsia="Arial" w:hAnsi="Arial"/>
                <w:sz w:val="20"/>
                <w:szCs w:val="20"/>
                <w:b w:val="1"/>
                <w:bCs w:val="1"/>
                <w:color w:val="898A8D"/>
                <w:w w:val="96"/>
              </w:rPr>
              <w:t>FY25</w:t>
            </w:r>
          </w:p>
        </w:tc>
        <w:tc>
          <w:tcPr>
            <w:tcW w:w="1220" w:type="dxa"/>
            <w:vAlign w:val="bottom"/>
          </w:tcPr>
          <w:p>
            <w:pPr>
              <w:jc w:val="center"/>
              <w:ind w:right="221"/>
              <w:spacing w:after="0"/>
              <w:rPr>
                <w:sz w:val="20"/>
                <w:szCs w:val="20"/>
                <w:color w:val="auto"/>
              </w:rPr>
            </w:pPr>
            <w:r>
              <w:rPr>
                <w:rFonts w:ascii="Arial" w:cs="Arial" w:eastAsia="Arial" w:hAnsi="Arial"/>
                <w:sz w:val="20"/>
                <w:szCs w:val="20"/>
                <w:b w:val="1"/>
                <w:bCs w:val="1"/>
                <w:color w:val="898A8D"/>
                <w:w w:val="96"/>
              </w:rPr>
              <w:t>FY26</w:t>
            </w: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323E48"/>
        </w:rPr>
        <w:t>Strong Balance Sheet - $272M Cash &amp;</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color w:val="323E48"/>
        </w:rPr>
        <w:t>Cash Equivalents as of June 30,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49"/>
        </w:trPr>
        <w:tc>
          <w:tcPr>
            <w:tcW w:w="1200" w:type="dxa"/>
            <w:vAlign w:val="bottom"/>
            <w:textDirection w:val="btLr"/>
          </w:tcPr>
          <w:p>
            <w:pPr>
              <w:ind w:right="182"/>
              <w:spacing w:after="0"/>
              <w:rPr>
                <w:sz w:val="20"/>
                <w:szCs w:val="20"/>
                <w:color w:val="auto"/>
              </w:rPr>
            </w:pPr>
            <w:r>
              <w:rPr>
                <w:rFonts w:ascii="Arial" w:cs="Arial" w:eastAsia="Arial" w:hAnsi="Arial"/>
                <w:sz w:val="20"/>
                <w:szCs w:val="20"/>
                <w:color w:val="F3F0EB"/>
              </w:rPr>
              <w:t>$299</w:t>
            </w:r>
          </w:p>
        </w:tc>
        <w:tc>
          <w:tcPr>
            <w:tcW w:w="900" w:type="dxa"/>
            <w:vAlign w:val="bottom"/>
            <w:textDirection w:val="btLr"/>
          </w:tcPr>
          <w:p>
            <w:pPr>
              <w:ind w:right="189"/>
              <w:spacing w:after="0"/>
              <w:rPr>
                <w:sz w:val="20"/>
                <w:szCs w:val="20"/>
                <w:color w:val="auto"/>
              </w:rPr>
            </w:pPr>
            <w:r>
              <w:rPr>
                <w:rFonts w:ascii="Arial" w:cs="Arial" w:eastAsia="Arial" w:hAnsi="Arial"/>
                <w:sz w:val="20"/>
                <w:szCs w:val="20"/>
                <w:color w:val="F3F0EB"/>
              </w:rPr>
              <w:t>$385</w:t>
            </w:r>
          </w:p>
        </w:tc>
        <w:tc>
          <w:tcPr>
            <w:tcW w:w="900" w:type="dxa"/>
            <w:vAlign w:val="bottom"/>
            <w:textDirection w:val="btLr"/>
          </w:tcPr>
          <w:p>
            <w:pPr>
              <w:ind w:right="196"/>
              <w:spacing w:after="0"/>
              <w:rPr>
                <w:sz w:val="20"/>
                <w:szCs w:val="20"/>
                <w:color w:val="auto"/>
              </w:rPr>
            </w:pPr>
            <w:r>
              <w:rPr>
                <w:rFonts w:ascii="Arial" w:cs="Arial" w:eastAsia="Arial" w:hAnsi="Arial"/>
                <w:sz w:val="20"/>
                <w:szCs w:val="20"/>
                <w:color w:val="F3F0EB"/>
              </w:rPr>
              <w:t>$460</w:t>
            </w:r>
          </w:p>
        </w:tc>
        <w:tc>
          <w:tcPr>
            <w:tcW w:w="1200" w:type="dxa"/>
            <w:vAlign w:val="bottom"/>
            <w:textDirection w:val="btLr"/>
          </w:tcPr>
          <w:p>
            <w:pPr>
              <w:ind w:right="503"/>
              <w:spacing w:after="0"/>
              <w:rPr>
                <w:sz w:val="20"/>
                <w:szCs w:val="20"/>
                <w:color w:val="auto"/>
              </w:rPr>
            </w:pPr>
            <w:r>
              <w:rPr>
                <w:rFonts w:ascii="Arial" w:cs="Arial" w:eastAsia="Arial" w:hAnsi="Arial"/>
                <w:sz w:val="20"/>
                <w:szCs w:val="20"/>
                <w:color w:val="F3F0EB"/>
              </w:rPr>
              <w:t>$535</w:t>
            </w:r>
          </w:p>
        </w:tc>
      </w:tr>
      <w:tr>
        <w:trPr>
          <w:trHeight w:val="251"/>
        </w:trPr>
        <w:tc>
          <w:tcPr>
            <w:tcW w:w="1200" w:type="dxa"/>
            <w:vAlign w:val="bottom"/>
            <w:tcBorders>
              <w:bottom w:val="single" w:sz="8" w:color="333D47"/>
            </w:tcBorders>
          </w:tcPr>
          <w:p>
            <w:pPr>
              <w:spacing w:after="0"/>
              <w:rPr>
                <w:sz w:val="21"/>
                <w:szCs w:val="21"/>
                <w:color w:val="auto"/>
              </w:rPr>
            </w:pPr>
          </w:p>
        </w:tc>
        <w:tc>
          <w:tcPr>
            <w:tcW w:w="900" w:type="dxa"/>
            <w:vAlign w:val="bottom"/>
            <w:tcBorders>
              <w:bottom w:val="single" w:sz="8" w:color="333D47"/>
            </w:tcBorders>
          </w:tcPr>
          <w:p>
            <w:pPr>
              <w:spacing w:after="0"/>
              <w:rPr>
                <w:sz w:val="21"/>
                <w:szCs w:val="21"/>
                <w:color w:val="auto"/>
              </w:rPr>
            </w:pPr>
          </w:p>
        </w:tc>
        <w:tc>
          <w:tcPr>
            <w:tcW w:w="900" w:type="dxa"/>
            <w:vAlign w:val="bottom"/>
            <w:tcBorders>
              <w:bottom w:val="single" w:sz="8" w:color="333D47"/>
            </w:tcBorders>
          </w:tcPr>
          <w:p>
            <w:pPr>
              <w:spacing w:after="0"/>
              <w:rPr>
                <w:sz w:val="21"/>
                <w:szCs w:val="21"/>
                <w:color w:val="auto"/>
              </w:rPr>
            </w:pPr>
          </w:p>
        </w:tc>
        <w:tc>
          <w:tcPr>
            <w:tcW w:w="1200" w:type="dxa"/>
            <w:vAlign w:val="bottom"/>
            <w:tcBorders>
              <w:bottom w:val="single" w:sz="8" w:color="333D47"/>
            </w:tcBorders>
          </w:tcPr>
          <w:p>
            <w:pPr>
              <w:spacing w:after="0"/>
              <w:rPr>
                <w:sz w:val="21"/>
                <w:szCs w:val="21"/>
                <w:color w:val="auto"/>
              </w:rPr>
            </w:pPr>
          </w:p>
        </w:tc>
      </w:tr>
      <w:tr>
        <w:trPr>
          <w:trHeight w:val="325"/>
        </w:trPr>
        <w:tc>
          <w:tcPr>
            <w:tcW w:w="1200" w:type="dxa"/>
            <w:vAlign w:val="bottom"/>
          </w:tcPr>
          <w:p>
            <w:pPr>
              <w:jc w:val="center"/>
              <w:ind w:left="221"/>
              <w:spacing w:after="0"/>
              <w:rPr>
                <w:sz w:val="20"/>
                <w:szCs w:val="20"/>
                <w:color w:val="auto"/>
              </w:rPr>
            </w:pPr>
            <w:r>
              <w:rPr>
                <w:rFonts w:ascii="Arial" w:cs="Arial" w:eastAsia="Arial" w:hAnsi="Arial"/>
                <w:sz w:val="20"/>
                <w:szCs w:val="20"/>
                <w:b w:val="1"/>
                <w:bCs w:val="1"/>
                <w:color w:val="898A8D"/>
                <w:w w:val="91"/>
              </w:rPr>
              <w:t>FY23</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898A8D"/>
              </w:rPr>
              <w:t>FY24</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898A8D"/>
                <w:w w:val="96"/>
              </w:rPr>
              <w:t>FY25</w:t>
            </w:r>
          </w:p>
        </w:tc>
        <w:tc>
          <w:tcPr>
            <w:tcW w:w="1200" w:type="dxa"/>
            <w:vAlign w:val="bottom"/>
          </w:tcPr>
          <w:p>
            <w:pPr>
              <w:jc w:val="center"/>
              <w:ind w:right="221"/>
              <w:spacing w:after="0"/>
              <w:rPr>
                <w:sz w:val="20"/>
                <w:szCs w:val="20"/>
                <w:color w:val="auto"/>
              </w:rPr>
            </w:pPr>
            <w:r>
              <w:rPr>
                <w:rFonts w:ascii="Arial" w:cs="Arial" w:eastAsia="Arial" w:hAnsi="Arial"/>
                <w:sz w:val="20"/>
                <w:szCs w:val="20"/>
                <w:b w:val="1"/>
                <w:bCs w:val="1"/>
                <w:color w:val="898A8D"/>
              </w:rPr>
              <w:t>FY26</w:t>
            </w:r>
          </w:p>
        </w:tc>
      </w:tr>
    </w:tbl>
    <w:p>
      <w:pPr>
        <w:spacing w:after="0" w:line="770" w:lineRule="exact"/>
        <w:rPr>
          <w:sz w:val="20"/>
          <w:szCs w:val="20"/>
          <w:color w:val="auto"/>
        </w:rPr>
      </w:pPr>
    </w:p>
    <w:p>
      <w:pPr>
        <w:sectPr>
          <w:pgSz w:w="11880" w:h="15475" w:orient="portrait"/>
          <w:cols w:equalWidth="0" w:num="2">
            <w:col w:w="4920" w:space="720"/>
            <w:col w:w="4200"/>
          </w:cols>
          <w:pgMar w:left="1020" w:top="1003" w:right="1015" w:bottom="454"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323E48"/>
        </w:rPr>
        <w:t>* Refer to Appendix A for a reconciliation of GAAP to non-GAAP financial measures.</w:t>
      </w:r>
    </w:p>
    <w:p>
      <w:pPr>
        <w:sectPr>
          <w:pgSz w:w="11880" w:h="15475" w:orient="portrait"/>
          <w:cols w:equalWidth="0" w:num="1">
            <w:col w:w="9840"/>
          </w:cols>
          <w:pgMar w:left="1020" w:top="1003" w:right="1015" w:bottom="454"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708660</wp:posOffset>
            </wp:positionH>
            <wp:positionV relativeFrom="page">
              <wp:posOffset>271780</wp:posOffset>
            </wp:positionV>
            <wp:extent cx="6123305"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3305" cy="50165"/>
                    </a:xfrm>
                    <a:prstGeom prst="rect">
                      <a:avLst/>
                    </a:prstGeom>
                    <a:noFill/>
                  </pic:spPr>
                </pic:pic>
              </a:graphicData>
            </a:graphic>
          </wp:anchor>
        </w:drawing>
        <w:t>UNITED STATES</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129" w:lineRule="exact"/>
        <w:rPr>
          <w:sz w:val="20"/>
          <w:szCs w:val="20"/>
          <w:color w:val="auto"/>
        </w:rPr>
      </w:pPr>
    </w:p>
    <w:p>
      <w:pPr>
        <w:ind w:left="360"/>
        <w:spacing w:after="0"/>
        <w:rPr>
          <w:sz w:val="20"/>
          <w:szCs w:val="20"/>
          <w:color w:val="auto"/>
        </w:rPr>
      </w:pP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For the fiscal year ended June 30, 2026</w:t>
      </w:r>
    </w:p>
    <w:p>
      <w:pPr>
        <w:spacing w:after="0" w:line="1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3" w:lineRule="exact"/>
        <w:rPr>
          <w:sz w:val="20"/>
          <w:szCs w:val="20"/>
          <w:color w:val="auto"/>
        </w:rPr>
      </w:pPr>
    </w:p>
    <w:p>
      <w:pPr>
        <w:ind w:left="360"/>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6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89"/>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gridSpan w:val="6"/>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w w:val="96"/>
              </w:rPr>
              <w:t>Commission File Number 001-36348</w:t>
            </w:r>
          </w:p>
        </w:tc>
      </w:tr>
      <w:tr>
        <w:trPr>
          <w:trHeight w:val="202"/>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920" w:type="dxa"/>
            <w:vAlign w:val="bottom"/>
            <w:gridSpan w:val="5"/>
          </w:tcPr>
          <w:p>
            <w:pPr>
              <w:jc w:val="center"/>
              <w:ind w:right="1810"/>
              <w:spacing w:after="0"/>
              <w:rPr>
                <w:sz w:val="20"/>
                <w:szCs w:val="20"/>
                <w:color w:val="auto"/>
              </w:rPr>
            </w:pPr>
            <w:r>
              <w:rPr>
                <w:rFonts w:ascii="Times New Roman" w:cs="Times New Roman" w:eastAsia="Times New Roman" w:hAnsi="Times New Roman"/>
                <w:sz w:val="16"/>
                <w:szCs w:val="16"/>
                <w:color w:val="auto"/>
                <w:w w:val="96"/>
              </w:rPr>
              <w:t>__________________________________________________</w:t>
            </w:r>
          </w:p>
        </w:tc>
        <w:tc>
          <w:tcPr>
            <w:tcW w:w="20" w:type="dxa"/>
            <w:vAlign w:val="bottom"/>
          </w:tcPr>
          <w:p>
            <w:pPr>
              <w:spacing w:after="0"/>
              <w:rPr>
                <w:sz w:val="17"/>
                <w:szCs w:val="17"/>
                <w:color w:val="auto"/>
              </w:rPr>
            </w:pPr>
          </w:p>
        </w:tc>
      </w:tr>
      <w:tr>
        <w:trPr>
          <w:trHeight w:val="453"/>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20" w:type="dxa"/>
            <w:vAlign w:val="bottom"/>
            <w:gridSpan w:val="7"/>
          </w:tcPr>
          <w:p>
            <w:pPr>
              <w:jc w:val="center"/>
              <w:ind w:right="820"/>
              <w:spacing w:after="0"/>
              <w:rPr>
                <w:sz w:val="20"/>
                <w:szCs w:val="20"/>
                <w:color w:val="auto"/>
              </w:rPr>
            </w:pPr>
            <w:r>
              <w:rPr>
                <w:rFonts w:ascii="Times New Roman" w:cs="Times New Roman" w:eastAsia="Times New Roman" w:hAnsi="Times New Roman"/>
                <w:sz w:val="31"/>
                <w:szCs w:val="31"/>
                <w:b w:val="1"/>
                <w:bCs w:val="1"/>
                <w:color w:val="auto"/>
              </w:rPr>
              <w:t>PAYLOCITY HOLDING CORPORATION</w:t>
            </w:r>
          </w:p>
        </w:tc>
      </w:tr>
      <w:tr>
        <w:trPr>
          <w:trHeight w:val="206"/>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940" w:type="dxa"/>
            <w:vAlign w:val="bottom"/>
            <w:gridSpan w:val="6"/>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w w:val="97"/>
              </w:rPr>
              <w:t>(Exact name of registrant as specified in its charter)</w:t>
            </w:r>
          </w:p>
        </w:tc>
      </w:tr>
      <w:tr>
        <w:trPr>
          <w:trHeight w:val="202"/>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920" w:type="dxa"/>
            <w:vAlign w:val="bottom"/>
            <w:gridSpan w:val="5"/>
          </w:tcPr>
          <w:p>
            <w:pPr>
              <w:jc w:val="center"/>
              <w:ind w:right="1810"/>
              <w:spacing w:after="0"/>
              <w:rPr>
                <w:sz w:val="20"/>
                <w:szCs w:val="20"/>
                <w:color w:val="auto"/>
              </w:rPr>
            </w:pPr>
            <w:r>
              <w:rPr>
                <w:rFonts w:ascii="Times New Roman" w:cs="Times New Roman" w:eastAsia="Times New Roman" w:hAnsi="Times New Roman"/>
                <w:sz w:val="16"/>
                <w:szCs w:val="16"/>
                <w:color w:val="auto"/>
                <w:w w:val="96"/>
              </w:rPr>
              <w:t>__________________________________________________</w:t>
            </w:r>
          </w:p>
        </w:tc>
        <w:tc>
          <w:tcPr>
            <w:tcW w:w="20" w:type="dxa"/>
            <w:vAlign w:val="bottom"/>
          </w:tcPr>
          <w:p>
            <w:pPr>
              <w:spacing w:after="0"/>
              <w:rPr>
                <w:sz w:val="17"/>
                <w:szCs w:val="17"/>
                <w:color w:val="auto"/>
              </w:rPr>
            </w:pPr>
          </w:p>
        </w:tc>
      </w:tr>
      <w:tr>
        <w:trPr>
          <w:trHeight w:val="375"/>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jc w:val="center"/>
              <w:ind w:left="16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46-4066644</w:t>
            </w:r>
          </w:p>
        </w:tc>
        <w:tc>
          <w:tcPr>
            <w:tcW w:w="20" w:type="dxa"/>
            <w:vAlign w:val="bottom"/>
          </w:tcPr>
          <w:p>
            <w:pPr>
              <w:spacing w:after="0"/>
              <w:rPr>
                <w:sz w:val="24"/>
                <w:szCs w:val="24"/>
                <w:color w:val="auto"/>
              </w:rPr>
            </w:pPr>
          </w:p>
        </w:tc>
      </w:tr>
      <w:tr>
        <w:trPr>
          <w:trHeight w:val="231"/>
        </w:trPr>
        <w:tc>
          <w:tcPr>
            <w:tcW w:w="620" w:type="dxa"/>
            <w:vAlign w:val="bottom"/>
          </w:tcPr>
          <w:p>
            <w:pPr>
              <w:spacing w:after="0"/>
              <w:rPr>
                <w:sz w:val="20"/>
                <w:szCs w:val="20"/>
                <w:color w:val="auto"/>
              </w:rPr>
            </w:pPr>
          </w:p>
        </w:tc>
        <w:tc>
          <w:tcPr>
            <w:tcW w:w="4980" w:type="dxa"/>
            <w:vAlign w:val="bottom"/>
            <w:gridSpan w:val="5"/>
          </w:tcPr>
          <w:p>
            <w:pPr>
              <w:jc w:val="center"/>
              <w:ind w:right="1740"/>
              <w:spacing w:after="0"/>
              <w:rPr>
                <w:sz w:val="20"/>
                <w:szCs w:val="20"/>
                <w:color w:val="auto"/>
              </w:rPr>
            </w:pPr>
            <w:r>
              <w:rPr>
                <w:rFonts w:ascii="Times New Roman" w:cs="Times New Roman" w:eastAsia="Times New Roman" w:hAnsi="Times New Roman"/>
                <w:sz w:val="16"/>
                <w:szCs w:val="16"/>
                <w:color w:val="auto"/>
                <w:w w:val="96"/>
              </w:rPr>
              <w:t>(State or other jurisdiction of</w:t>
            </w:r>
          </w:p>
        </w:tc>
        <w:tc>
          <w:tcPr>
            <w:tcW w:w="860" w:type="dxa"/>
            <w:vAlign w:val="bottom"/>
          </w:tcPr>
          <w:p>
            <w:pPr>
              <w:spacing w:after="0"/>
              <w:rPr>
                <w:sz w:val="20"/>
                <w:szCs w:val="20"/>
                <w:color w:val="auto"/>
              </w:rPr>
            </w:pPr>
          </w:p>
        </w:tc>
        <w:tc>
          <w:tcPr>
            <w:tcW w:w="212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color w:val="auto"/>
                <w:w w:val="96"/>
              </w:rPr>
              <w:t>(I.R.S. Employer</w:t>
            </w:r>
          </w:p>
        </w:tc>
      </w:tr>
      <w:tr>
        <w:trPr>
          <w:trHeight w:val="202"/>
        </w:trPr>
        <w:tc>
          <w:tcPr>
            <w:tcW w:w="620" w:type="dxa"/>
            <w:vAlign w:val="bottom"/>
          </w:tcPr>
          <w:p>
            <w:pPr>
              <w:spacing w:after="0"/>
              <w:rPr>
                <w:sz w:val="17"/>
                <w:szCs w:val="17"/>
                <w:color w:val="auto"/>
              </w:rPr>
            </w:pPr>
          </w:p>
        </w:tc>
        <w:tc>
          <w:tcPr>
            <w:tcW w:w="4980" w:type="dxa"/>
            <w:vAlign w:val="bottom"/>
            <w:gridSpan w:val="5"/>
          </w:tcPr>
          <w:p>
            <w:pPr>
              <w:jc w:val="center"/>
              <w:ind w:right="1740"/>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29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7"/>
              </w:rPr>
              <w:t>Identification Number)</w:t>
            </w:r>
          </w:p>
        </w:tc>
      </w:tr>
      <w:tr>
        <w:trPr>
          <w:trHeight w:val="385"/>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1400 American Lane</w:t>
            </w: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gridSpan w:val="3"/>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6"/>
              </w:rPr>
              <w:t>Schaumburg, Illinois 60173</w:t>
            </w:r>
          </w:p>
        </w:tc>
        <w:tc>
          <w:tcPr>
            <w:tcW w:w="8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940" w:type="dxa"/>
            <w:vAlign w:val="bottom"/>
            <w:gridSpan w:val="6"/>
          </w:tcPr>
          <w:p>
            <w:pPr>
              <w:jc w:val="center"/>
              <w:ind w:right="1900"/>
              <w:spacing w:after="0"/>
              <w:rPr>
                <w:sz w:val="20"/>
                <w:szCs w:val="20"/>
                <w:color w:val="auto"/>
              </w:rPr>
            </w:pPr>
            <w:r>
              <w:rPr>
                <w:rFonts w:ascii="Times New Roman" w:cs="Times New Roman" w:eastAsia="Times New Roman" w:hAnsi="Times New Roman"/>
                <w:sz w:val="16"/>
                <w:szCs w:val="16"/>
                <w:color w:val="auto"/>
                <w:w w:val="96"/>
              </w:rPr>
              <w:t>(Address of principal executive offices and zip code)</w:t>
            </w:r>
          </w:p>
        </w:tc>
      </w:tr>
      <w:tr>
        <w:trPr>
          <w:trHeight w:val="304"/>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gridSpan w:val="3"/>
          </w:tcPr>
          <w:p>
            <w:pPr>
              <w:jc w:val="center"/>
              <w:ind w:left="1000"/>
              <w:spacing w:after="0"/>
              <w:rPr>
                <w:sz w:val="20"/>
                <w:szCs w:val="20"/>
                <w:color w:val="auto"/>
              </w:rPr>
            </w:pPr>
            <w:r>
              <w:rPr>
                <w:rFonts w:ascii="Times New Roman" w:cs="Times New Roman" w:eastAsia="Times New Roman" w:hAnsi="Times New Roman"/>
                <w:sz w:val="17"/>
                <w:szCs w:val="17"/>
                <w:b w:val="1"/>
                <w:bCs w:val="1"/>
                <w:color w:val="auto"/>
              </w:rPr>
              <w:t>(847) 463-3200</w:t>
            </w: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gridSpan w:val="6"/>
          </w:tcPr>
          <w:p>
            <w:pPr>
              <w:jc w:val="center"/>
              <w:ind w:right="19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r>
      <w:tr>
        <w:trPr>
          <w:trHeight w:val="204"/>
        </w:trPr>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940" w:type="dxa"/>
            <w:vAlign w:val="bottom"/>
            <w:gridSpan w:val="6"/>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r>
      <w:tr>
        <w:trPr>
          <w:trHeight w:val="320"/>
        </w:trPr>
        <w:tc>
          <w:tcPr>
            <w:tcW w:w="620" w:type="dxa"/>
            <w:vAlign w:val="bottom"/>
          </w:tcPr>
          <w:p>
            <w:pPr>
              <w:spacing w:after="0"/>
              <w:rPr>
                <w:sz w:val="24"/>
                <w:szCs w:val="24"/>
                <w:color w:val="auto"/>
              </w:rPr>
            </w:pPr>
          </w:p>
        </w:tc>
        <w:tc>
          <w:tcPr>
            <w:tcW w:w="2020" w:type="dxa"/>
            <w:vAlign w:val="bottom"/>
            <w:gridSpan w:val="2"/>
          </w:tcPr>
          <w:p>
            <w:pPr>
              <w:jc w:val="center"/>
              <w:ind w:right="964"/>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160" w:type="dxa"/>
            <w:vAlign w:val="bottom"/>
          </w:tcPr>
          <w:p>
            <w:pPr>
              <w:spacing w:after="0"/>
              <w:rPr>
                <w:sz w:val="24"/>
                <w:szCs w:val="24"/>
                <w:color w:val="auto"/>
              </w:rPr>
            </w:pPr>
          </w:p>
        </w:tc>
        <w:tc>
          <w:tcPr>
            <w:tcW w:w="180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86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r>
      <w:tr>
        <w:trPr>
          <w:trHeight w:val="20"/>
        </w:trPr>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640" w:type="dxa"/>
            <w:vAlign w:val="bottom"/>
            <w:gridSpan w:val="3"/>
          </w:tcPr>
          <w:p>
            <w:pPr>
              <w:jc w:val="center"/>
              <w:ind w:right="344"/>
              <w:spacing w:after="0"/>
              <w:rPr>
                <w:sz w:val="20"/>
                <w:szCs w:val="20"/>
                <w:color w:val="auto"/>
              </w:rPr>
            </w:pPr>
            <w:r>
              <w:rPr>
                <w:rFonts w:ascii="Times New Roman" w:cs="Times New Roman" w:eastAsia="Times New Roman" w:hAnsi="Times New Roman"/>
                <w:sz w:val="13"/>
                <w:szCs w:val="13"/>
                <w:color w:val="auto"/>
                <w:w w:val="96"/>
              </w:rPr>
              <w:t>Common Stock, par value $0.001 per share</w:t>
            </w:r>
          </w:p>
        </w:tc>
        <w:tc>
          <w:tcPr>
            <w:tcW w:w="1160" w:type="dxa"/>
            <w:vAlign w:val="bottom"/>
          </w:tcPr>
          <w:p>
            <w:pPr>
              <w:spacing w:after="0"/>
              <w:rPr>
                <w:sz w:val="19"/>
                <w:szCs w:val="19"/>
                <w:color w:val="auto"/>
              </w:rPr>
            </w:pPr>
          </w:p>
        </w:tc>
        <w:tc>
          <w:tcPr>
            <w:tcW w:w="180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color w:val="auto"/>
                <w:w w:val="96"/>
              </w:rPr>
              <w:t>PCTY</w:t>
            </w:r>
          </w:p>
        </w:tc>
        <w:tc>
          <w:tcPr>
            <w:tcW w:w="2980" w:type="dxa"/>
            <w:vAlign w:val="bottom"/>
            <w:gridSpan w:val="3"/>
          </w:tcPr>
          <w:p>
            <w:pPr>
              <w:ind w:left="860"/>
              <w:spacing w:after="0"/>
              <w:rPr>
                <w:sz w:val="20"/>
                <w:szCs w:val="20"/>
                <w:color w:val="auto"/>
              </w:rPr>
            </w:pPr>
            <w:r>
              <w:rPr>
                <w:rFonts w:ascii="Times New Roman" w:cs="Times New Roman" w:eastAsia="Times New Roman" w:hAnsi="Times New Roman"/>
                <w:sz w:val="13"/>
                <w:szCs w:val="13"/>
                <w:color w:val="auto"/>
                <w:w w:val="95"/>
              </w:rPr>
              <w:t>The NASDAQ Global Select Market LLC</w:t>
            </w:r>
          </w:p>
        </w:tc>
      </w:tr>
    </w:tbl>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3" w:lineRule="exact"/>
        <w:rPr>
          <w:sz w:val="20"/>
          <w:szCs w:val="20"/>
          <w:color w:val="auto"/>
        </w:rPr>
      </w:pPr>
    </w:p>
    <w:p>
      <w:pPr>
        <w:ind w:right="2460"/>
        <w:spacing w:after="0" w:line="285"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00" w:type="dxa"/>
            <w:vAlign w:val="bottom"/>
          </w:tcPr>
          <w:p>
            <w:pPr>
              <w:ind w:left="200"/>
              <w:spacing w:after="0"/>
              <w:rPr>
                <w:sz w:val="20"/>
                <w:szCs w:val="20"/>
                <w:color w:val="auto"/>
              </w:rPr>
            </w:pPr>
            <w:r>
              <w:rPr>
                <w:rFonts w:ascii="Wingdings" w:cs="Wingdings" w:eastAsia="Wingdings" w:hAnsi="Wingdings"/>
                <w:sz w:val="15"/>
                <w:szCs w:val="15"/>
                <w:b w:val="1"/>
                <w:bCs w:val="1"/>
                <w:color w:val="auto"/>
              </w:rPr>
              <w:t>x</w:t>
            </w:r>
          </w:p>
        </w:tc>
        <w:tc>
          <w:tcPr>
            <w:tcW w:w="456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Accelerated filer</w:t>
            </w:r>
          </w:p>
        </w:tc>
        <w:tc>
          <w:tcPr>
            <w:tcW w:w="960" w:type="dxa"/>
            <w:vAlign w:val="bottom"/>
          </w:tcPr>
          <w:p>
            <w:pPr>
              <w:ind w:left="820"/>
              <w:spacing w:after="0"/>
              <w:rPr>
                <w:sz w:val="20"/>
                <w:szCs w:val="20"/>
                <w:color w:val="auto"/>
              </w:rPr>
            </w:pPr>
            <w:r>
              <w:rPr>
                <w:rFonts w:ascii="Wingdings" w:cs="Wingdings" w:eastAsia="Wingdings" w:hAnsi="Wingdings"/>
                <w:sz w:val="15"/>
                <w:szCs w:val="15"/>
                <w:b w:val="1"/>
                <w:bCs w:val="1"/>
                <w:color w:val="auto"/>
                <w:w w:val="89"/>
              </w:rPr>
              <w:t>o</w:t>
            </w:r>
          </w:p>
        </w:tc>
      </w:tr>
      <w:tr>
        <w:trPr>
          <w:trHeight w:val="30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00" w:type="dxa"/>
            <w:vAlign w:val="bottom"/>
          </w:tcPr>
          <w:p>
            <w:pPr>
              <w:ind w:left="200"/>
              <w:spacing w:after="0"/>
              <w:rPr>
                <w:sz w:val="20"/>
                <w:szCs w:val="20"/>
                <w:color w:val="auto"/>
              </w:rPr>
            </w:pPr>
            <w:r>
              <w:rPr>
                <w:rFonts w:ascii="Wingdings" w:cs="Wingdings" w:eastAsia="Wingdings" w:hAnsi="Wingdings"/>
                <w:sz w:val="15"/>
                <w:szCs w:val="15"/>
                <w:b w:val="1"/>
                <w:bCs w:val="1"/>
                <w:color w:val="auto"/>
              </w:rPr>
              <w:t>o</w:t>
            </w:r>
          </w:p>
        </w:tc>
        <w:tc>
          <w:tcPr>
            <w:tcW w:w="456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960" w:type="dxa"/>
            <w:vAlign w:val="bottom"/>
          </w:tcPr>
          <w:p>
            <w:pPr>
              <w:ind w:left="820"/>
              <w:spacing w:after="0"/>
              <w:rPr>
                <w:sz w:val="20"/>
                <w:szCs w:val="20"/>
                <w:color w:val="auto"/>
              </w:rPr>
            </w:pPr>
            <w:r>
              <w:rPr>
                <w:rFonts w:ascii="Wingdings" w:cs="Wingdings" w:eastAsia="Wingdings" w:hAnsi="Wingdings"/>
                <w:sz w:val="15"/>
                <w:szCs w:val="15"/>
                <w:b w:val="1"/>
                <w:bCs w:val="1"/>
                <w:color w:val="auto"/>
                <w:w w:val="89"/>
              </w:rPr>
              <w:t>o</w:t>
            </w:r>
          </w:p>
        </w:tc>
      </w:tr>
      <w:tr>
        <w:trPr>
          <w:trHeight w:val="306"/>
        </w:trPr>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6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Emerging growth company</w:t>
            </w:r>
          </w:p>
        </w:tc>
        <w:tc>
          <w:tcPr>
            <w:tcW w:w="960" w:type="dxa"/>
            <w:vAlign w:val="bottom"/>
          </w:tcPr>
          <w:p>
            <w:pPr>
              <w:ind w:left="820"/>
              <w:spacing w:after="0"/>
              <w:rPr>
                <w:sz w:val="20"/>
                <w:szCs w:val="20"/>
                <w:color w:val="auto"/>
              </w:rPr>
            </w:pPr>
            <w:r>
              <w:rPr>
                <w:rFonts w:ascii="Wingdings" w:cs="Wingdings" w:eastAsia="Wingdings" w:hAnsi="Wingdings"/>
                <w:sz w:val="15"/>
                <w:szCs w:val="15"/>
                <w:b w:val="1"/>
                <w:bCs w:val="1"/>
                <w:color w:val="auto"/>
                <w:w w:val="89"/>
              </w:rPr>
              <w:t>o</w:t>
            </w:r>
          </w:p>
        </w:tc>
      </w:tr>
    </w:tbl>
    <w:p>
      <w:pPr>
        <w:spacing w:after="0" w:line="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ind w:right="360"/>
        <w:spacing w:after="0" w:line="27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1"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5"/>
          <w:szCs w:val="15"/>
          <w:b w:val="1"/>
          <w:bCs w:val="1"/>
          <w:color w:val="auto"/>
        </w:rPr>
        <w: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1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5"/>
          <w:szCs w:val="15"/>
          <w:color w:val="auto"/>
        </w:rPr>
        <w:t>The aggregate market value of voting stock held by non-affiliates of the registrant as of December 31, 2025, the last day of registrant’s most recently completed second fiscal quarter, was $6.6 billion (based on the closing price for shares of the registrant’s common stock as reported by the NASDAQ Global Select Market on that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July 29, 2026, there were 53,056,963 shares of the registrant’s common stock issued and outstanding.</w:t>
      </w:r>
    </w:p>
    <w:p>
      <w:pPr>
        <w:spacing w:after="0" w:line="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__________________________________________________</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6"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15"/>
          <w:szCs w:val="15"/>
          <w:color w:val="auto"/>
        </w:rPr>
        <w:t>The information required by Part III of this Report, to the extent not set forth herein, is incorporated herein by reference from the Proxy Statement relating to the registrant’s 2027 annual meeting of stockholders, which shall be filed with the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25400</wp:posOffset>
            </wp:positionV>
            <wp:extent cx="6147435" cy="73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47435" cy="73660"/>
                    </a:xfrm>
                    <a:prstGeom prst="rect">
                      <a:avLst/>
                    </a:prstGeom>
                    <a:noFill/>
                  </pic:spPr>
                </pic:pic>
              </a:graphicData>
            </a:graphic>
          </wp:anchor>
        </w:drawing>
      </w:r>
    </w:p>
    <w:p>
      <w:pPr>
        <w:sectPr>
          <w:pgSz w:w="11880" w:h="15480" w:orient="portrait"/>
          <w:cols w:equalWidth="0" w:num="1">
            <w:col w:w="10260"/>
          </w:cols>
          <w:pgMar w:left="780" w:top="580" w:right="840" w:bottom="393" w:gutter="0" w:footer="0" w:header="0"/>
        </w:sectPr>
      </w:pPr>
    </w:p>
    <w:bookmarkStart w:id="11" w:name="page12"/>
    <w:bookmarkEnd w:id="11"/>
    <w:p>
      <w:pPr>
        <w:ind w:left="2920"/>
        <w:spacing w:after="0"/>
        <w:rPr>
          <w:sz w:val="20"/>
          <w:szCs w:val="20"/>
          <w:color w:val="auto"/>
        </w:rPr>
      </w:pPr>
      <w:r>
        <w:rPr>
          <w:rFonts w:ascii="Times New Roman" w:cs="Times New Roman" w:eastAsia="Times New Roman" w:hAnsi="Times New Roman"/>
          <w:sz w:val="19"/>
          <w:szCs w:val="19"/>
          <w:b w:val="1"/>
          <w:bCs w:val="1"/>
          <w:color w:val="auto"/>
        </w:rPr>
        <w:t>PAYLOCITY HOLDING CORPORATION</w:t>
      </w:r>
    </w:p>
    <w:p>
      <w:pPr>
        <w:spacing w:after="0" w:line="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For the Year Ended June 30, 2026</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1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5635625</wp:posOffset>
                </wp:positionH>
                <wp:positionV relativeFrom="paragraph">
                  <wp:posOffset>22860</wp:posOffset>
                </wp:positionV>
                <wp:extent cx="43434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75pt,1.8pt" to="477.95pt,1.8pt" o:allowincell="f" strokecolor="#000000" strokeweight="1pt"/>
            </w:pict>
          </mc:Fallback>
        </mc:AlternateContent>
      </w:r>
    </w:p>
    <w:p>
      <w:pPr>
        <w:spacing w:after="0" w:line="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PART I</w:t>
      </w:r>
      <w:r>
        <w:rPr>
          <w:rFonts w:ascii="Times New Roman" w:cs="Times New Roman" w:eastAsia="Times New Roman" w:hAnsi="Times New Roman"/>
          <w:sz w:val="19"/>
          <w:szCs w:val="19"/>
          <w:color w:val="B4B4B4"/>
        </w:rPr>
        <w:tab/>
        <w:t>.....</w:t>
      </w:r>
    </w:p>
    <w:p>
      <w:pPr>
        <w:spacing w:after="0" w:line="364" w:lineRule="exact"/>
        <w:rPr>
          <w:sz w:val="20"/>
          <w:szCs w:val="20"/>
          <w:color w:val="auto"/>
        </w:rPr>
      </w:pPr>
    </w:p>
    <w:p>
      <w:pPr>
        <w:spacing w:after="0"/>
        <w:tabs>
          <w:tab w:leader="dot" w:pos="960" w:val="left"/>
          <w:tab w:leader="dot" w:pos="940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Business</w:t>
      </w:r>
      <w:r>
        <w:rPr>
          <w:sz w:val="20"/>
          <w:szCs w:val="20"/>
          <w:color w:val="auto"/>
        </w:rPr>
        <w:tab/>
      </w:r>
      <w:r>
        <w:rPr>
          <w:rFonts w:ascii="Times New Roman" w:cs="Times New Roman" w:eastAsia="Times New Roman" w:hAnsi="Times New Roman"/>
          <w:sz w:val="16"/>
          <w:szCs w:val="16"/>
          <w:color w:val="auto"/>
        </w:rPr>
        <w:t>1</w:t>
      </w:r>
    </w:p>
    <w:p>
      <w:pPr>
        <w:spacing w:after="0" w:line="73" w:lineRule="exact"/>
        <w:rPr>
          <w:sz w:val="20"/>
          <w:szCs w:val="20"/>
          <w:color w:val="auto"/>
        </w:rPr>
      </w:pPr>
    </w:p>
    <w:p>
      <w:pPr>
        <w:spacing w:after="0"/>
        <w:tabs>
          <w:tab w:leader="dot" w:pos="960" w:val="left"/>
          <w:tab w:leader="dot" w:pos="9300" w:val="left"/>
        </w:tabs>
        <w:rPr>
          <w:sz w:val="20"/>
          <w:szCs w:val="20"/>
          <w:color w:val="auto"/>
        </w:rPr>
      </w:pPr>
      <w:r>
        <w:rPr>
          <w:rFonts w:ascii="Times New Roman" w:cs="Times New Roman" w:eastAsia="Times New Roman" w:hAnsi="Times New Roman"/>
          <w:sz w:val="19"/>
          <w:szCs w:val="19"/>
          <w:color w:val="auto"/>
        </w:rPr>
        <w:t>Item 1A.</w:t>
        <w:tab/>
        <w:t>Risk Factors</w:t>
      </w:r>
      <w:r>
        <w:rPr>
          <w:sz w:val="20"/>
          <w:szCs w:val="20"/>
          <w:color w:val="auto"/>
        </w:rPr>
        <w:tab/>
      </w:r>
      <w:r>
        <w:rPr>
          <w:rFonts w:ascii="Times New Roman" w:cs="Times New Roman" w:eastAsia="Times New Roman" w:hAnsi="Times New Roman"/>
          <w:sz w:val="18"/>
          <w:szCs w:val="18"/>
          <w:color w:val="auto"/>
        </w:rPr>
        <w:t>12</w:t>
      </w:r>
    </w:p>
    <w:p>
      <w:pPr>
        <w:spacing w:after="0" w:line="73" w:lineRule="exact"/>
        <w:rPr>
          <w:sz w:val="20"/>
          <w:szCs w:val="20"/>
          <w:color w:val="auto"/>
        </w:rPr>
      </w:pPr>
    </w:p>
    <w:p>
      <w:pPr>
        <w:spacing w:after="0"/>
        <w:tabs>
          <w:tab w:leader="dot" w:pos="960" w:val="left"/>
          <w:tab w:leader="dot" w:pos="9300" w:val="left"/>
        </w:tabs>
        <w:rPr>
          <w:sz w:val="20"/>
          <w:szCs w:val="20"/>
          <w:color w:val="auto"/>
        </w:rPr>
      </w:pPr>
      <w:r>
        <w:rPr>
          <w:rFonts w:ascii="Times New Roman" w:cs="Times New Roman" w:eastAsia="Times New Roman" w:hAnsi="Times New Roman"/>
          <w:sz w:val="19"/>
          <w:szCs w:val="19"/>
          <w:color w:val="auto"/>
        </w:rPr>
        <w:t>Item 1B.</w:t>
      </w:r>
      <w:r>
        <w:rPr>
          <w:sz w:val="20"/>
          <w:szCs w:val="20"/>
          <w:color w:val="auto"/>
        </w:rPr>
        <w:tab/>
      </w:r>
      <w:r>
        <w:rPr>
          <w:rFonts w:ascii="Times New Roman" w:cs="Times New Roman" w:eastAsia="Times New Roman" w:hAnsi="Times New Roman"/>
          <w:sz w:val="19"/>
          <w:szCs w:val="19"/>
          <w:color w:val="auto"/>
        </w:rPr>
        <w:t>Unresolved Staff Comments</w:t>
      </w:r>
      <w:r>
        <w:rPr>
          <w:sz w:val="20"/>
          <w:szCs w:val="20"/>
          <w:color w:val="auto"/>
        </w:rPr>
        <w:tab/>
      </w:r>
      <w:r>
        <w:rPr>
          <w:rFonts w:ascii="Times New Roman" w:cs="Times New Roman" w:eastAsia="Times New Roman" w:hAnsi="Times New Roman"/>
          <w:sz w:val="18"/>
          <w:szCs w:val="18"/>
          <w:color w:val="auto"/>
        </w:rPr>
        <w:t>25</w:t>
      </w:r>
    </w:p>
    <w:p>
      <w:pPr>
        <w:spacing w:after="0" w:line="73" w:lineRule="exact"/>
        <w:rPr>
          <w:sz w:val="20"/>
          <w:szCs w:val="20"/>
          <w:color w:val="auto"/>
        </w:rPr>
      </w:pPr>
    </w:p>
    <w:p>
      <w:pPr>
        <w:spacing w:after="0"/>
        <w:tabs>
          <w:tab w:leader="dot" w:pos="960" w:val="left"/>
          <w:tab w:leader="dot" w:pos="9300" w:val="left"/>
        </w:tabs>
        <w:rPr>
          <w:sz w:val="20"/>
          <w:szCs w:val="20"/>
          <w:color w:val="auto"/>
        </w:rPr>
      </w:pPr>
      <w:r>
        <w:rPr>
          <w:rFonts w:ascii="Times New Roman" w:cs="Times New Roman" w:eastAsia="Times New Roman" w:hAnsi="Times New Roman"/>
          <w:sz w:val="19"/>
          <w:szCs w:val="19"/>
          <w:color w:val="auto"/>
        </w:rPr>
        <w:t>Item 1C.</w:t>
      </w:r>
      <w:r>
        <w:rPr>
          <w:sz w:val="20"/>
          <w:szCs w:val="20"/>
          <w:color w:val="auto"/>
        </w:rPr>
        <w:tab/>
      </w:r>
      <w:r>
        <w:rPr>
          <w:rFonts w:ascii="Times New Roman" w:cs="Times New Roman" w:eastAsia="Times New Roman" w:hAnsi="Times New Roman"/>
          <w:sz w:val="19"/>
          <w:szCs w:val="19"/>
          <w:color w:val="auto"/>
        </w:rPr>
        <w:t>Cybersecurity</w:t>
      </w:r>
      <w:r>
        <w:rPr>
          <w:sz w:val="20"/>
          <w:szCs w:val="20"/>
          <w:color w:val="auto"/>
        </w:rPr>
        <w:tab/>
      </w:r>
      <w:r>
        <w:rPr>
          <w:rFonts w:ascii="Times New Roman" w:cs="Times New Roman" w:eastAsia="Times New Roman" w:hAnsi="Times New Roman"/>
          <w:sz w:val="18"/>
          <w:szCs w:val="18"/>
          <w:color w:val="auto"/>
        </w:rPr>
        <w:t>25</w:t>
      </w:r>
    </w:p>
    <w:p>
      <w:pPr>
        <w:spacing w:after="0" w:line="73" w:lineRule="exact"/>
        <w:rPr>
          <w:sz w:val="20"/>
          <w:szCs w:val="20"/>
          <w:color w:val="auto"/>
        </w:rPr>
      </w:pPr>
    </w:p>
    <w:p>
      <w:pPr>
        <w:spacing w:after="0"/>
        <w:tabs>
          <w:tab w:leader="dot" w:pos="960" w:val="left"/>
          <w:tab w:leader="dot" w:pos="9300" w:val="left"/>
        </w:tabs>
        <w:rPr>
          <w:sz w:val="20"/>
          <w:szCs w:val="20"/>
          <w:color w:val="auto"/>
        </w:rPr>
      </w:pPr>
      <w:r>
        <w:rPr>
          <w:rFonts w:ascii="Times New Roman" w:cs="Times New Roman" w:eastAsia="Times New Roman" w:hAnsi="Times New Roman"/>
          <w:sz w:val="19"/>
          <w:szCs w:val="19"/>
          <w:color w:val="auto"/>
        </w:rPr>
        <w:t>Item 2.</w:t>
      </w:r>
      <w:r>
        <w:rPr>
          <w:sz w:val="20"/>
          <w:szCs w:val="20"/>
          <w:color w:val="auto"/>
        </w:rPr>
        <w:tab/>
      </w:r>
      <w:r>
        <w:rPr>
          <w:rFonts w:ascii="Times New Roman" w:cs="Times New Roman" w:eastAsia="Times New Roman" w:hAnsi="Times New Roman"/>
          <w:sz w:val="19"/>
          <w:szCs w:val="19"/>
          <w:color w:val="auto"/>
        </w:rPr>
        <w:t>Properties</w:t>
      </w:r>
      <w:r>
        <w:rPr>
          <w:sz w:val="20"/>
          <w:szCs w:val="20"/>
          <w:color w:val="auto"/>
        </w:rPr>
        <w:tab/>
      </w:r>
      <w:r>
        <w:rPr>
          <w:rFonts w:ascii="Times New Roman" w:cs="Times New Roman" w:eastAsia="Times New Roman" w:hAnsi="Times New Roman"/>
          <w:sz w:val="18"/>
          <w:szCs w:val="18"/>
          <w:color w:val="auto"/>
        </w:rPr>
        <w:t>27</w:t>
      </w:r>
    </w:p>
    <w:p>
      <w:pPr>
        <w:spacing w:after="0" w:line="73" w:lineRule="exact"/>
        <w:rPr>
          <w:sz w:val="20"/>
          <w:szCs w:val="20"/>
          <w:color w:val="auto"/>
        </w:rPr>
      </w:pPr>
    </w:p>
    <w:p>
      <w:pPr>
        <w:spacing w:after="0"/>
        <w:tabs>
          <w:tab w:leader="dot" w:pos="960" w:val="left"/>
          <w:tab w:leader="dot" w:pos="930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Legal Proceedings</w:t>
      </w:r>
      <w:r>
        <w:rPr>
          <w:sz w:val="20"/>
          <w:szCs w:val="20"/>
          <w:color w:val="auto"/>
        </w:rPr>
        <w:tab/>
      </w:r>
      <w:r>
        <w:rPr>
          <w:rFonts w:ascii="Times New Roman" w:cs="Times New Roman" w:eastAsia="Times New Roman" w:hAnsi="Times New Roman"/>
          <w:sz w:val="18"/>
          <w:szCs w:val="18"/>
          <w:color w:val="auto"/>
        </w:rPr>
        <w:t>27</w:t>
      </w:r>
    </w:p>
    <w:p>
      <w:pPr>
        <w:spacing w:after="0" w:line="73" w:lineRule="exact"/>
        <w:rPr>
          <w:sz w:val="20"/>
          <w:szCs w:val="20"/>
          <w:color w:val="auto"/>
        </w:rPr>
      </w:pPr>
    </w:p>
    <w:p>
      <w:pPr>
        <w:spacing w:after="0"/>
        <w:tabs>
          <w:tab w:leader="dot" w:pos="960" w:val="left"/>
          <w:tab w:leader="dot" w:pos="9300" w:val="left"/>
        </w:tabs>
        <w:rPr>
          <w:sz w:val="20"/>
          <w:szCs w:val="20"/>
          <w:color w:val="auto"/>
        </w:rPr>
      </w:pPr>
      <w:r>
        <w:rPr>
          <w:rFonts w:ascii="Times New Roman" w:cs="Times New Roman" w:eastAsia="Times New Roman" w:hAnsi="Times New Roman"/>
          <w:sz w:val="19"/>
          <w:szCs w:val="19"/>
          <w:color w:val="auto"/>
        </w:rPr>
        <w:t>Item 4.</w:t>
      </w:r>
      <w:r>
        <w:rPr>
          <w:sz w:val="20"/>
          <w:szCs w:val="20"/>
          <w:color w:val="auto"/>
        </w:rPr>
        <w:tab/>
      </w:r>
      <w:r>
        <w:rPr>
          <w:rFonts w:ascii="Times New Roman" w:cs="Times New Roman" w:eastAsia="Times New Roman" w:hAnsi="Times New Roman"/>
          <w:sz w:val="19"/>
          <w:szCs w:val="19"/>
          <w:color w:val="auto"/>
        </w:rPr>
        <w:t>Mine Safety Disclosures</w:t>
      </w:r>
      <w:r>
        <w:rPr>
          <w:sz w:val="20"/>
          <w:szCs w:val="20"/>
          <w:color w:val="auto"/>
        </w:rPr>
        <w:tab/>
      </w:r>
      <w:r>
        <w:rPr>
          <w:rFonts w:ascii="Times New Roman" w:cs="Times New Roman" w:eastAsia="Times New Roman" w:hAnsi="Times New Roman"/>
          <w:sz w:val="18"/>
          <w:szCs w:val="18"/>
          <w:color w:val="auto"/>
        </w:rPr>
        <w:t>27</w:t>
      </w:r>
    </w:p>
    <w:p>
      <w:pPr>
        <w:spacing w:after="0" w:line="36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9"/>
          <w:szCs w:val="19"/>
          <w:color w:val="auto"/>
        </w:rPr>
        <w:t>PART II</w:t>
      </w:r>
      <w:r>
        <w:rPr>
          <w:rFonts w:ascii="Times New Roman" w:cs="Times New Roman" w:eastAsia="Times New Roman" w:hAnsi="Times New Roman"/>
          <w:sz w:val="19"/>
          <w:szCs w:val="19"/>
          <w:color w:val="B4B4B4"/>
        </w:rPr>
        <w:tab/>
        <w:t>....</w:t>
      </w:r>
    </w:p>
    <w:p>
      <w:pPr>
        <w:sectPr>
          <w:pgSz w:w="11880" w:h="15480" w:orient="portrait"/>
          <w:cols w:equalWidth="0" w:num="1">
            <w:col w:w="9500"/>
          </w:cols>
          <w:pgMar w:left="1180" w:top="865" w:right="1200" w:bottom="1440"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5.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Market for Registrant’s Common Equity, Related Stockholder Matters and Issuer Purchases of</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 xml:space="preserve">Equity Securities </w:t>
      </w:r>
      <w:r>
        <w:rPr>
          <w:rFonts w:ascii="Times New Roman" w:cs="Times New Roman" w:eastAsia="Times New Roman" w:hAnsi="Times New Roman"/>
          <w:sz w:val="19"/>
          <w:szCs w:val="19"/>
          <w:color w:val="B4B4B4"/>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6.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[Reserved]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7.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Management’s Discussion and Analysis of Financial Condition and Results of Operations</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7A.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Quantitative and Qualitative Disclosures About Market Risk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8.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Financial Statements and Supplementary Data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9.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Changes in and Disagreements with Accountants on Accounting and Financial Disclosure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9A.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Controls and Procedures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9B.</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Other Information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9C.</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Disclosure Regarding Foreign Jurisdictions that Prevent Inspections </w:t>
      </w:r>
      <w:r>
        <w:rPr>
          <w:rFonts w:ascii="Times New Roman" w:cs="Times New Roman" w:eastAsia="Times New Roman" w:hAnsi="Times New Roman"/>
          <w:sz w:val="19"/>
          <w:szCs w:val="19"/>
          <w:color w:val="B4B4B4"/>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PART III </w:t>
      </w:r>
      <w:r>
        <w:rPr>
          <w:rFonts w:ascii="Times New Roman" w:cs="Times New Roman" w:eastAsia="Times New Roman" w:hAnsi="Times New Roman"/>
          <w:sz w:val="19"/>
          <w:szCs w:val="19"/>
          <w:color w:val="B4B4B4"/>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10.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Directors, Executive Officers and Corporate Governance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11.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Executive Compensation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12.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Security Ownership of Certain Beneficial Owners and Management and Related Stockholder</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 xml:space="preserve">Matters </w:t>
      </w:r>
      <w:r>
        <w:rPr>
          <w:rFonts w:ascii="Times New Roman" w:cs="Times New Roman" w:eastAsia="Times New Roman" w:hAnsi="Times New Roman"/>
          <w:sz w:val="19"/>
          <w:szCs w:val="19"/>
          <w:color w:val="B4B4B4"/>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13.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Certain Relationships and Related Transactions and Director Independence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14.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Principal Accounting Fees and Services </w:t>
      </w:r>
      <w:r>
        <w:rPr>
          <w:rFonts w:ascii="Times New Roman" w:cs="Times New Roman" w:eastAsia="Times New Roman" w:hAnsi="Times New Roman"/>
          <w:sz w:val="19"/>
          <w:szCs w:val="19"/>
          <w:color w:val="B4B4B4"/>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PART IV </w:t>
      </w:r>
      <w:r>
        <w:rPr>
          <w:rFonts w:ascii="Times New Roman" w:cs="Times New Roman" w:eastAsia="Times New Roman" w:hAnsi="Times New Roman"/>
          <w:sz w:val="19"/>
          <w:szCs w:val="19"/>
          <w:color w:val="B4B4B4"/>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15.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Exhibits and Financial Statement Schedules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Item 16. </w:t>
      </w: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auto"/>
        </w:rPr>
        <w:t xml:space="preserve"> Form 10-K Summary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Signatures</w:t>
      </w:r>
      <w:r>
        <w:rPr>
          <w:rFonts w:ascii="Times New Roman" w:cs="Times New Roman" w:eastAsia="Times New Roman" w:hAnsi="Times New Roman"/>
          <w:sz w:val="19"/>
          <w:szCs w:val="19"/>
          <w:color w:val="B4B4B4"/>
        </w:rPr>
        <w:t>.</w:t>
      </w:r>
    </w:p>
    <w:p>
      <w:pPr>
        <w:spacing w:after="0" w:line="2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color w:val="auto"/>
        </w:rPr>
        <w:t>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ectPr>
          <w:pgSz w:w="11880" w:h="15480" w:orient="portrait"/>
          <w:cols w:equalWidth="0" w:num="2">
            <w:col w:w="8820" w:space="500"/>
            <w:col w:w="180"/>
          </w:cols>
          <w:pgMar w:left="1180" w:top="865" w:right="1200"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 Looking Statements</w:t>
      </w:r>
    </w:p>
    <w:p>
      <w:pPr>
        <w:spacing w:after="0" w:line="252" w:lineRule="exact"/>
        <w:rPr>
          <w:sz w:val="20"/>
          <w:szCs w:val="20"/>
          <w:color w:val="auto"/>
        </w:rPr>
      </w:pPr>
    </w:p>
    <w:p>
      <w:pPr>
        <w:ind w:firstLine="69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94" w:lineRule="exact"/>
        <w:rPr>
          <w:sz w:val="20"/>
          <w:szCs w:val="20"/>
          <w:color w:val="auto"/>
        </w:rPr>
      </w:pPr>
    </w:p>
    <w:p>
      <w:pPr>
        <w:ind w:right="20" w:firstLine="698"/>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 “Risk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86" w:lineRule="exact"/>
        <w:rPr>
          <w:sz w:val="20"/>
          <w:szCs w:val="20"/>
          <w:color w:val="auto"/>
        </w:rPr>
      </w:pPr>
    </w:p>
    <w:p>
      <w:pPr>
        <w:jc w:val="both"/>
        <w:ind w:right="160" w:firstLine="698"/>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39" w:lineRule="exact"/>
        <w:rPr>
          <w:sz w:val="20"/>
          <w:szCs w:val="20"/>
          <w:color w:val="auto"/>
        </w:rPr>
      </w:pPr>
    </w:p>
    <w:p>
      <w:pPr>
        <w:ind w:right="60" w:firstLine="698"/>
        <w:spacing w:after="0" w:line="263" w:lineRule="auto"/>
        <w:rPr>
          <w:sz w:val="20"/>
          <w:szCs w:val="20"/>
          <w:color w:val="auto"/>
        </w:rPr>
      </w:pPr>
      <w:r>
        <w:rPr>
          <w:rFonts w:ascii="Times New Roman" w:cs="Times New Roman" w:eastAsia="Times New Roman" w:hAnsi="Times New Roman"/>
          <w:sz w:val="19"/>
          <w:szCs w:val="19"/>
          <w:color w:val="auto"/>
        </w:rPr>
        <w:t>We are a leading cloud-based provider of human capital management (“HCM”), finance and IT software solutions. Our unified, easy-to-use platform helps businesses streamline HR, finance, and IT operations, manage spend and talent, and build culture and connection with artificial intelligence (“AI”) embedded directly into everyday workflows to save time, reduce manual effort, and support better decision-making. Excluding clients acquired through acquisitions, as of June 30, 2026, we provided our software-as-a-service (“SaaS”) solutions to approximately 44,400 clients across the U.S., which on average had over 150 employees.</w:t>
      </w:r>
    </w:p>
    <w:p>
      <w:pPr>
        <w:spacing w:after="0" w:line="193" w:lineRule="exact"/>
        <w:rPr>
          <w:sz w:val="20"/>
          <w:szCs w:val="20"/>
          <w:color w:val="auto"/>
        </w:rPr>
      </w:pPr>
    </w:p>
    <w:p>
      <w:pPr>
        <w:ind w:right="80" w:firstLine="698"/>
        <w:spacing w:after="0" w:line="259" w:lineRule="auto"/>
        <w:rPr>
          <w:sz w:val="20"/>
          <w:szCs w:val="20"/>
          <w:color w:val="auto"/>
        </w:rPr>
      </w:pPr>
      <w:r>
        <w:rPr>
          <w:rFonts w:ascii="Times New Roman" w:cs="Times New Roman" w:eastAsia="Times New Roman" w:hAnsi="Times New Roman"/>
          <w:sz w:val="19"/>
          <w:szCs w:val="19"/>
          <w:color w:val="auto"/>
        </w:rPr>
        <w:t>Effective management of human capital, finance and IT operations is a core function in all organizations and requires a significant commitment of resources. Organizations are faced with an ever-changing employment landscape, the complexity of increasingly geographically dispersed employees, and managing hybrid workplaces. At the same time, employees’ expectations are rising, and organizations need to prioritize communication, connection, and collaboration among their employees to differentiate how they attract and retain talent and build a culture of loyalty. Many companies also operate without the infrastructure, expertise or personnel to implement or support large and complex systems in today’s dynamic environment. Existing solutions offered by third-party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time-to-value, and providing their employees with the most engaging experience available.</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w:t>
      </w:r>
    </w:p>
    <w:p>
      <w:pPr>
        <w:sectPr>
          <w:pgSz w:w="11880" w:h="15480" w:orient="portrait"/>
          <w:cols w:equalWidth="0" w:num="1">
            <w:col w:w="9600"/>
          </w:cols>
          <w:pgMar w:left="1140" w:top="865" w:right="114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721360</wp:posOffset>
            </wp:positionH>
            <wp:positionV relativeFrom="page">
              <wp:posOffset>1080135</wp:posOffset>
            </wp:positionV>
            <wp:extent cx="6097905" cy="3355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97905"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software solutions provide the following key benefits to our clients:</w:t>
      </w:r>
    </w:p>
    <w:p>
      <w:pPr>
        <w:spacing w:after="0" w:line="247" w:lineRule="exact"/>
        <w:rPr>
          <w:sz w:val="20"/>
          <w:szCs w:val="20"/>
          <w:color w:val="auto"/>
        </w:rPr>
      </w:pPr>
    </w:p>
    <w:p>
      <w:pPr>
        <w:ind w:left="700" w:right="80" w:hanging="355"/>
        <w:spacing w:after="0" w:line="268" w:lineRule="auto"/>
        <w:tabs>
          <w:tab w:leader="none" w:pos="70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Our platform automates processes across the employee lifecycle in one place, so organizations save time, reduce administrative burden, and create a more seamless experience for employees and managers alike. From recruiting and onboarding to benefits, payroll, and performance management, our solution is designed to support an organization’s HR needs and provide the flexibility to scale as it grows.</w:t>
      </w:r>
    </w:p>
    <w:p>
      <w:pPr>
        <w:spacing w:after="0" w:line="188" w:lineRule="exact"/>
        <w:rPr>
          <w:rFonts w:ascii="Times New Roman" w:cs="Times New Roman" w:eastAsia="Times New Roman" w:hAnsi="Times New Roman"/>
          <w:sz w:val="19"/>
          <w:szCs w:val="19"/>
          <w:b w:val="1"/>
          <w:bCs w:val="1"/>
          <w:color w:val="auto"/>
        </w:rPr>
      </w:pPr>
    </w:p>
    <w:p>
      <w:pPr>
        <w:ind w:left="700" w:right="180" w:hanging="355"/>
        <w:spacing w:after="0" w:line="268" w:lineRule="auto"/>
        <w:tabs>
          <w:tab w:leader="none" w:pos="70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Our Finance and IT tools support higher efficiency and compliance across the organization. Our Finance tools centralize payroll and non-payroll spend, including expense management, accounts payable, corporate cards and procurement. Our IT tools automate provisioning, access, and updates to software and hardware with a direct connection to the employee record.</w:t>
      </w:r>
    </w:p>
    <w:p>
      <w:pPr>
        <w:spacing w:after="0" w:line="188" w:lineRule="exact"/>
        <w:rPr>
          <w:rFonts w:ascii="Times New Roman" w:cs="Times New Roman" w:eastAsia="Times New Roman" w:hAnsi="Times New Roman"/>
          <w:sz w:val="19"/>
          <w:szCs w:val="19"/>
          <w:b w:val="1"/>
          <w:bCs w:val="1"/>
          <w:color w:val="auto"/>
        </w:rPr>
      </w:pPr>
    </w:p>
    <w:p>
      <w:pPr>
        <w:ind w:left="700" w:right="300" w:hanging="355"/>
        <w:spacing w:after="0" w:line="265" w:lineRule="auto"/>
        <w:tabs>
          <w:tab w:leader="none" w:pos="70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Our platform is built on a single employee record with workflows and integrations designed to automate work across teams and systems. Employees can access their information and tools through a unified web and mobile experience. Analytics and reporting capabilities are embedded throughout the platform to deliver value with intelligent automation, tailored insights, and embedded experiences that provide real-time guidance to administrators and employees.</w:t>
      </w:r>
    </w:p>
    <w:p>
      <w:pPr>
        <w:spacing w:after="0" w:line="190" w:lineRule="exact"/>
        <w:rPr>
          <w:rFonts w:ascii="Times New Roman" w:cs="Times New Roman" w:eastAsia="Times New Roman" w:hAnsi="Times New Roman"/>
          <w:sz w:val="19"/>
          <w:szCs w:val="19"/>
          <w:b w:val="1"/>
          <w:bCs w:val="1"/>
          <w:color w:val="auto"/>
        </w:rPr>
      </w:pPr>
    </w:p>
    <w:p>
      <w:pPr>
        <w:ind w:left="700" w:hanging="355"/>
        <w:spacing w:after="0" w:line="262" w:lineRule="auto"/>
        <w:tabs>
          <w:tab w:leader="none" w:pos="70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Ignite AI, our platform-wide AI with agents, is embedded throughout our platform bringing data, insights, and automation into moments where decisions are made and work gets done. Purpose-built agents automate tasks across pay, time, recruiting, and other places where work often slows down. We also offer the Ignite AI Hub, a centralized dashboard for managing and measuring AI across the organization where leaders can measure business impact and productivity gain, monitor adoptions across teams, control which agents are active and identify new opportunities for automation. It provides the visibility and control organizations need to confidently deploy AI while keeping people at the center of decision-making.</w:t>
      </w:r>
    </w:p>
    <w:p>
      <w:pPr>
        <w:spacing w:after="0" w:line="192" w:lineRule="exact"/>
        <w:rPr>
          <w:rFonts w:ascii="Times New Roman" w:cs="Times New Roman" w:eastAsia="Times New Roman" w:hAnsi="Times New Roman"/>
          <w:sz w:val="19"/>
          <w:szCs w:val="19"/>
          <w:b w:val="1"/>
          <w:bCs w:val="1"/>
          <w:color w:val="auto"/>
        </w:rPr>
      </w:pPr>
    </w:p>
    <w:p>
      <w:pPr>
        <w:ind w:left="700" w:right="560" w:hanging="355"/>
        <w:spacing w:after="0" w:line="293" w:lineRule="auto"/>
        <w:tabs>
          <w:tab w:leader="none" w:pos="70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We supplement our comprehensive software solutions with an integrated implementation and client service organization designed to meet the needs of our clients and prospects.</w:t>
      </w:r>
    </w:p>
    <w:p>
      <w:pPr>
        <w:spacing w:after="0" w:line="164" w:lineRule="exact"/>
        <w:rPr>
          <w:rFonts w:ascii="Times New Roman" w:cs="Times New Roman" w:eastAsia="Times New Roman" w:hAnsi="Times New Roman"/>
          <w:sz w:val="19"/>
          <w:szCs w:val="19"/>
          <w:b w:val="1"/>
          <w:bCs w:val="1"/>
          <w:color w:val="auto"/>
        </w:rPr>
      </w:pPr>
    </w:p>
    <w:p>
      <w:pPr>
        <w:jc w:val="both"/>
        <w:ind w:left="700" w:right="20" w:hanging="355"/>
        <w:spacing w:after="0" w:line="274" w:lineRule="auto"/>
        <w:tabs>
          <w:tab w:leader="none" w:pos="70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Our software solutions offer our clients automated data integration with hundreds of third-party partner systems in our Integration Marketplace, such as 401(k), benefits and insurance provider systems. This integration reduces the complexity and risk of error of manual data transfers and saves time for our clients and their employees. We</w:t>
      </w:r>
    </w:p>
    <w:p>
      <w:pPr>
        <w:sectPr>
          <w:pgSz w:w="11880" w:h="15480" w:orient="portrait"/>
          <w:cols w:equalWidth="0" w:num="1">
            <w:col w:w="9580"/>
          </w:cols>
          <w:pgMar w:left="1140" w:top="1440" w:right="116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880" w:h="15480" w:orient="portrait"/>
          <w:cols w:equalWidth="0" w:num="1">
            <w:col w:w="9580"/>
          </w:cols>
          <w:pgMar w:left="1140" w:top="1440" w:right="1160" w:bottom="0" w:gutter="0" w:footer="0" w:header="0"/>
          <w:type w:val="continuous"/>
        </w:sectPr>
      </w:pPr>
    </w:p>
    <w:bookmarkStart w:id="14" w:name="page15"/>
    <w:bookmarkEnd w:id="14"/>
    <w:p>
      <w:pPr>
        <w:ind w:left="700" w:right="320"/>
        <w:spacing w:after="0" w:line="293" w:lineRule="auto"/>
        <w:rPr>
          <w:sz w:val="20"/>
          <w:szCs w:val="20"/>
          <w:color w:val="auto"/>
        </w:rPr>
      </w:pPr>
      <w:r>
        <w:rPr>
          <w:rFonts w:ascii="Times New Roman" w:cs="Times New Roman" w:eastAsia="Times New Roman" w:hAnsi="Times New Roman"/>
          <w:sz w:val="19"/>
          <w:szCs w:val="19"/>
          <w:color w:val="auto"/>
        </w:rPr>
        <w:t>integrate data with these related systems through a secure connection, which significantly decreases the risk of unauthorized third-party access and other security breaches.</w:t>
      </w:r>
    </w:p>
    <w:p>
      <w:pPr>
        <w:spacing w:after="0" w:line="165" w:lineRule="exact"/>
        <w:rPr>
          <w:sz w:val="20"/>
          <w:szCs w:val="20"/>
          <w:color w:val="auto"/>
        </w:rPr>
      </w:pPr>
    </w:p>
    <w:p>
      <w:pPr>
        <w:ind w:right="20" w:firstLine="698"/>
        <w:spacing w:after="0" w:line="243" w:lineRule="auto"/>
        <w:rPr>
          <w:sz w:val="20"/>
          <w:szCs w:val="20"/>
          <w:color w:val="auto"/>
        </w:rPr>
      </w:pPr>
      <w:r>
        <w:rPr>
          <w:rFonts w:ascii="Times New Roman" w:cs="Times New Roman" w:eastAsia="Times New Roman" w:hAnsi="Times New Roman"/>
          <w:sz w:val="19"/>
          <w:szCs w:val="19"/>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HR consultants and accountants. We derive revenue from a client based on the solutions purchased by the client, the number of client employees and the amount, type and timing of services provided with respect to those client employees. Our annual revenue retention rate was greater than 92% in each of our 2024, 2025 and 2026 fiscal years. Our total revenues increased from $1,402.5 million in fiscal 2024 to $1,595.2 million in fiscal 2025, representing a 14% year-over-year increase, and to $1,771.3 million in fiscal 2026, representing an 11% year-over-year increase. We believe our recurring revenue model and high annual revenue retention rates provide significant visibility into our future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254" w:lineRule="exact"/>
        <w:rPr>
          <w:sz w:val="20"/>
          <w:szCs w:val="20"/>
          <w:color w:val="auto"/>
        </w:rPr>
      </w:pPr>
    </w:p>
    <w:p>
      <w:pPr>
        <w:ind w:right="580" w:firstLine="698"/>
        <w:spacing w:after="0" w:line="293" w:lineRule="auto"/>
        <w:rPr>
          <w:sz w:val="20"/>
          <w:szCs w:val="20"/>
          <w:color w:val="auto"/>
        </w:rPr>
      </w:pPr>
      <w:r>
        <w:rPr>
          <w:rFonts w:ascii="Times New Roman" w:cs="Times New Roman" w:eastAsia="Times New Roman" w:hAnsi="Times New Roman"/>
          <w:sz w:val="19"/>
          <w:szCs w:val="19"/>
          <w:color w:val="auto"/>
        </w:rPr>
        <w:t>We intend to strengthen and extend our position as a leading cloud-based provider of HCM, finance and IT software solutions. Key elements of our strategy include the following:</w:t>
      </w:r>
    </w:p>
    <w:p>
      <w:pPr>
        <w:spacing w:after="0" w:line="163" w:lineRule="exact"/>
        <w:rPr>
          <w:sz w:val="20"/>
          <w:szCs w:val="20"/>
          <w:color w:val="auto"/>
        </w:rPr>
      </w:pPr>
    </w:p>
    <w:p>
      <w:pPr>
        <w:ind w:left="700" w:right="40" w:hanging="355"/>
        <w:spacing w:after="0" w:line="263" w:lineRule="auto"/>
        <w:tabs>
          <w:tab w:leader="none" w:pos="700"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Extend Technological Leadership</w:t>
      </w:r>
      <w:r>
        <w:rPr>
          <w:rFonts w:ascii="Times New Roman" w:cs="Times New Roman" w:eastAsia="Times New Roman" w:hAnsi="Times New Roman"/>
          <w:sz w:val="19"/>
          <w:szCs w:val="19"/>
          <w:color w:val="auto"/>
        </w:rPr>
        <w:t>. We continue to invest in our platform, including AI, automation, analytics,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mobile capabilities, to enhance the functionality and efficiency of our solutions. Built on a unified, cloud-based architecture, our platform helps businesses streamline HR, finance, and IT operations, manage spend and talent and build culture and connection. AI is embedded directly into everyday workflows to save time, reduce manual effort, and support better decision-making. We intend to continue advancing our platform to address evolving client needs and leverage emerging technology opportunities.</w:t>
      </w:r>
    </w:p>
    <w:p>
      <w:pPr>
        <w:spacing w:after="0" w:line="193" w:lineRule="exact"/>
        <w:rPr>
          <w:rFonts w:ascii="Times New Roman" w:cs="Times New Roman" w:eastAsia="Times New Roman" w:hAnsi="Times New Roman"/>
          <w:sz w:val="19"/>
          <w:szCs w:val="19"/>
          <w:b w:val="1"/>
          <w:bCs w:val="1"/>
          <w:color w:val="auto"/>
        </w:rPr>
      </w:pPr>
    </w:p>
    <w:p>
      <w:pPr>
        <w:ind w:left="700" w:hanging="355"/>
        <w:spacing w:after="0" w:line="260" w:lineRule="auto"/>
        <w:tabs>
          <w:tab w:leader="none" w:pos="700"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Grow Our Client Base</w:t>
      </w:r>
      <w:r>
        <w:rPr>
          <w:rFonts w:ascii="Times New Roman" w:cs="Times New Roman" w:eastAsia="Times New Roman" w:hAnsi="Times New Roman"/>
          <w:sz w:val="19"/>
          <w:szCs w:val="19"/>
          <w:color w:val="auto"/>
        </w:rPr>
        <w:t>. We believe that our current client base represents only a small portion of the organizations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could benefit from our solutions. Our clients typically have between 10 to 5,000 employees. While we provide our software solutions to approximately 44,400 clients across the U.S. (excluding clients acquired through acquisitions) as of June 30, 2026, there are approximately 1.3 million businesses with 10 to 5,000 employees in the U.S., employing approximately 73 million people, according to the U.S. Census Bureau in 2022. We believe our realized target addressable market is approximately $22.5 billion as clients, on average, purchase 50% or more of our suite of solutions. As we continue to expand our product offerings, we believe that we have an opportunity to increase the amounts clients spend on our solutions per employee and to expand our addressable market. As we expand our client base and number of client employees, we will also grow our sales organization.</w:t>
      </w:r>
    </w:p>
    <w:p>
      <w:pPr>
        <w:spacing w:after="0" w:line="197" w:lineRule="exact"/>
        <w:rPr>
          <w:rFonts w:ascii="Times New Roman" w:cs="Times New Roman" w:eastAsia="Times New Roman" w:hAnsi="Times New Roman"/>
          <w:sz w:val="19"/>
          <w:szCs w:val="19"/>
          <w:b w:val="1"/>
          <w:bCs w:val="1"/>
          <w:color w:val="auto"/>
        </w:rPr>
      </w:pPr>
    </w:p>
    <w:p>
      <w:pPr>
        <w:ind w:left="700" w:right="120" w:hanging="355"/>
        <w:spacing w:after="0" w:line="275" w:lineRule="auto"/>
        <w:tabs>
          <w:tab w:leader="none" w:pos="700"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Expand Our Product Offerings</w:t>
      </w:r>
      <w:r>
        <w:rPr>
          <w:rFonts w:ascii="Times New Roman" w:cs="Times New Roman" w:eastAsia="Times New Roman" w:hAnsi="Times New Roman"/>
          <w:sz w:val="19"/>
          <w:szCs w:val="19"/>
          <w:color w:val="auto"/>
        </w:rPr>
        <w:t>. We believe a significant part of our leadership position is the result of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investment and innovation in our product offerings. We plan to continue to invest in product development efforts that will allow us to offer a broader selection of products to new and existing clients.</w:t>
      </w:r>
    </w:p>
    <w:p>
      <w:pPr>
        <w:spacing w:after="0" w:line="180" w:lineRule="exact"/>
        <w:rPr>
          <w:rFonts w:ascii="Times New Roman" w:cs="Times New Roman" w:eastAsia="Times New Roman" w:hAnsi="Times New Roman"/>
          <w:sz w:val="19"/>
          <w:szCs w:val="19"/>
          <w:b w:val="1"/>
          <w:bCs w:val="1"/>
          <w:color w:val="auto"/>
        </w:rPr>
      </w:pPr>
    </w:p>
    <w:p>
      <w:pPr>
        <w:ind w:left="700" w:right="80" w:hanging="355"/>
        <w:spacing w:after="0" w:line="262" w:lineRule="auto"/>
        <w:tabs>
          <w:tab w:leader="none" w:pos="700"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Further Develop Our Referral Network</w:t>
      </w:r>
      <w:r>
        <w:rPr>
          <w:rFonts w:ascii="Times New Roman" w:cs="Times New Roman" w:eastAsia="Times New Roman" w:hAnsi="Times New Roman"/>
          <w:sz w:val="19"/>
          <w:szCs w:val="19"/>
          <w:color w:val="auto"/>
        </w:rPr>
        <w:t>. We have developed a strong network of referral participants, such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401(k) advisors, benefits administrators, insurance brokers, third-party administrators, HR consultants and accountants that recommend our solutions and provide referrals. We believe that our platform’s automated data integration with hundreds of related third-party partner systems is valuable to our referral participants, as they are able to access payroll, HR and finance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880" w:h="15480" w:orient="portrait"/>
          <w:cols w:equalWidth="0" w:num="1">
            <w:col w:w="9580"/>
          </w:cols>
          <w:pgMar w:left="1140" w:top="872" w:right="11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color w:val="auto"/>
        </w:rPr>
        <w:t>Our Products</w:t>
      </w:r>
    </w:p>
    <w:p>
      <w:pPr>
        <w:spacing w:after="0" w:line="254" w:lineRule="exact"/>
        <w:rPr>
          <w:sz w:val="20"/>
          <w:szCs w:val="20"/>
          <w:color w:val="auto"/>
        </w:rPr>
      </w:pPr>
    </w:p>
    <w:p>
      <w:pPr>
        <w:ind w:right="220" w:firstLine="698"/>
        <w:spacing w:after="0" w:line="268" w:lineRule="auto"/>
        <w:rPr>
          <w:sz w:val="20"/>
          <w:szCs w:val="20"/>
          <w:color w:val="auto"/>
        </w:rPr>
      </w:pPr>
      <w:r>
        <w:rPr>
          <w:rFonts w:ascii="Times New Roman" w:cs="Times New Roman" w:eastAsia="Times New Roman" w:hAnsi="Times New Roman"/>
          <w:sz w:val="19"/>
          <w:szCs w:val="19"/>
          <w:color w:val="auto"/>
        </w:rPr>
        <w:t>Our HCM, finance and IT software solutions deliver a unified platform for the modern workplace. Our platform offers a unified, easy-to-use product suite that helps businesses streamline HR, finance, and IT operations, manage spend and talent, and build culture and connection with AI embedded directly into everyday workflows to save time, reduce manual effort, and support better decision-making. Our product suite includes the following categories: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Payroll</w:t>
      </w:r>
    </w:p>
    <w:p>
      <w:pPr>
        <w:spacing w:after="0" w:line="25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Payroll and Tax Services </w:t>
      </w:r>
      <w:r>
        <w:rPr>
          <w:rFonts w:ascii="Times New Roman" w:cs="Times New Roman" w:eastAsia="Times New Roman" w:hAnsi="Times New Roman"/>
          <w:sz w:val="19"/>
          <w:szCs w:val="19"/>
          <w:color w:val="auto"/>
        </w:rPr>
        <w:t>– Our Payroll and Tax Services solution is designed to simplify payroll, automate processes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manage complex compliance requirements within one system. Our payroll solution leverages data from our Time &amp; Labor and Human Resources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 Tax Services solutions, we accurately prepare and file the necessary tax withholdings and filing documents for local, state and federal jurisdictions.</w:t>
      </w:r>
    </w:p>
    <w:p>
      <w:pPr>
        <w:spacing w:after="0" w:line="19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Global Payroll – </w:t>
      </w:r>
      <w:r>
        <w:rPr>
          <w:rFonts w:ascii="Times New Roman" w:cs="Times New Roman" w:eastAsia="Times New Roman" w:hAnsi="Times New Roman"/>
          <w:sz w:val="19"/>
          <w:szCs w:val="19"/>
          <w:color w:val="auto"/>
        </w:rPr>
        <w:t>Our cloud-based global payroll solution enables U.S.-based companies to manage payroll for employees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outside the U.S. in line with complex local and country-specific requirements across over 100 countries. It also provides consolidated reporting capabilities to efficiently manage a global employee base with real-time access to payroll data.</w:t>
      </w:r>
    </w:p>
    <w:p>
      <w:pPr>
        <w:spacing w:after="0" w:line="18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On Demand Payment </w:t>
      </w:r>
      <w:r>
        <w:rPr>
          <w:rFonts w:ascii="Times New Roman" w:cs="Times New Roman" w:eastAsia="Times New Roman" w:hAnsi="Times New Roman"/>
          <w:sz w:val="19"/>
          <w:szCs w:val="19"/>
          <w:color w:val="auto"/>
        </w:rPr>
        <w:t>– On Demand Payment provides employees with visibility into their earned wages in between pay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cycles based on their hours worked and offers financial flexibility to employees through access to a portion of their earned wages before their scheduled payday without impacting the client’s standard payroll process.</w:t>
      </w:r>
    </w:p>
    <w:p>
      <w:pPr>
        <w:spacing w:after="0" w:line="18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Garnishments </w:t>
      </w:r>
      <w:r>
        <w:rPr>
          <w:rFonts w:ascii="Times New Roman" w:cs="Times New Roman" w:eastAsia="Times New Roman" w:hAnsi="Times New Roman"/>
          <w:sz w:val="19"/>
          <w:szCs w:val="19"/>
          <w:color w:val="auto"/>
        </w:rPr>
        <w:t>– Our Garnishments solution provides the calculation, setup and maintenance of historical deduction records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performs calculation validation against state and federal legislation to mitigate compliance risk and prevent costly penalties and errors.</w:t>
      </w:r>
    </w:p>
    <w:p>
      <w:pPr>
        <w:spacing w:after="0" w:line="18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Elevate Payroll – </w:t>
      </w:r>
      <w:r>
        <w:rPr>
          <w:rFonts w:ascii="Times New Roman" w:cs="Times New Roman" w:eastAsia="Times New Roman" w:hAnsi="Times New Roman"/>
          <w:sz w:val="19"/>
          <w:szCs w:val="19"/>
          <w:color w:val="auto"/>
        </w:rPr>
        <w:t>A dedicated team of specialists executes critical payroll processes on behalf of clients, reducing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administrative burden and improving execution which allows our clients to better focus on strategic priorities. Our clients remain in control and own decisions, while we manage tasks on their behalf.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Human Resources</w:t>
      </w:r>
    </w:p>
    <w:p>
      <w:pPr>
        <w:spacing w:after="0" w:line="25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Human Resources </w:t>
      </w:r>
      <w:r>
        <w:rPr>
          <w:rFonts w:ascii="Times New Roman" w:cs="Times New Roman" w:eastAsia="Times New Roman" w:hAnsi="Times New Roman"/>
          <w:sz w:val="19"/>
          <w:szCs w:val="19"/>
          <w:color w:val="auto"/>
        </w:rPr>
        <w:t>– Our Human Resources solutions streamline processes using modern, mobile-enabled tools that help</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save time by automating 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8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Employee Self-Service (Home) </w:t>
      </w:r>
      <w:r>
        <w:rPr>
          <w:rFonts w:ascii="Times New Roman" w:cs="Times New Roman" w:eastAsia="Times New Roman" w:hAnsi="Times New Roman"/>
          <w:sz w:val="19"/>
          <w:szCs w:val="19"/>
          <w:color w:val="auto"/>
        </w:rPr>
        <w:t>– Our Home module provides employees with access to their information 24/7, which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allows them to view checks, request time off, clock in and out, update personal data and collaborate with teammates. Employees can also enroll in benefits, view coverage, access training or view course completion status on-the-go via our mobile app. An AI Assistant answers Paylocity-centric questions, as well as client-specific ones based on information in their employee handbooks.</w:t>
      </w:r>
    </w:p>
    <w:p>
      <w:pPr>
        <w:spacing w:after="0" w:line="1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Workflows &amp; Documents </w:t>
      </w:r>
      <w:r>
        <w:rPr>
          <w:rFonts w:ascii="Times New Roman" w:cs="Times New Roman" w:eastAsia="Times New Roman" w:hAnsi="Times New Roman"/>
          <w:sz w:val="19"/>
          <w:szCs w:val="19"/>
          <w:color w:val="auto"/>
        </w:rPr>
        <w:t>– Workflows, the process automation engine embedded throughout our platform, enables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automate manual processes through configurable workflows and pre-built templates, improving efficiency and data accuracy. Documents provides a secure, centralized repository for employee records, helping clients stay organized, manage access through role-based permissions and replace manual, paper-based processes.</w:t>
      </w:r>
    </w:p>
    <w:p>
      <w:pPr>
        <w:spacing w:after="0" w:line="18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HR Compliance Dashboard </w:t>
      </w:r>
      <w:r>
        <w:rPr>
          <w:rFonts w:ascii="Times New Roman" w:cs="Times New Roman" w:eastAsia="Times New Roman" w:hAnsi="Times New Roman"/>
          <w:sz w:val="19"/>
          <w:szCs w:val="19"/>
          <w:color w:val="auto"/>
        </w:rPr>
        <w:t>– With our HR Compliance Dashboard, clients save time and money by staying up to date 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new laws and regulations related to topics such as employment verification, Equal Employment Opportunity and compensation.</w:t>
      </w:r>
    </w:p>
    <w:p>
      <w:pPr>
        <w:spacing w:after="0" w:line="22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Elevate HR &amp; HR Edge </w:t>
      </w:r>
      <w:r>
        <w:rPr>
          <w:rFonts w:ascii="Arial" w:cs="Arial" w:eastAsia="Arial" w:hAnsi="Arial"/>
          <w:sz w:val="23"/>
          <w:szCs w:val="23"/>
          <w:b w:val="1"/>
          <w:bCs w:val="1"/>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In-house experts provide operational HR support like executing HR administration data audits,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providing compliance guidance, developing policies and guiding with best practices while clients retain decision making</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ectPr>
          <w:pgSz w:w="11880" w:h="15480" w:orient="portrait"/>
          <w:cols w:equalWidth="0" w:num="1">
            <w:col w:w="9600"/>
          </w:cols>
          <w:pgMar w:left="1140" w:top="865" w:right="1140" w:bottom="0" w:gutter="0" w:footer="0" w:header="0"/>
          <w:type w:val="continuous"/>
        </w:sectPr>
      </w:pPr>
    </w:p>
    <w:bookmarkStart w:id="16" w:name="page17"/>
    <w:bookmarkEnd w:id="16"/>
    <w:p>
      <w:pPr>
        <w:ind w:right="200"/>
        <w:spacing w:after="0" w:line="293" w:lineRule="auto"/>
        <w:rPr>
          <w:sz w:val="20"/>
          <w:szCs w:val="20"/>
          <w:color w:val="auto"/>
        </w:rPr>
      </w:pPr>
      <w:r>
        <w:rPr>
          <w:rFonts w:ascii="Times New Roman" w:cs="Times New Roman" w:eastAsia="Times New Roman" w:hAnsi="Times New Roman"/>
          <w:sz w:val="19"/>
          <w:szCs w:val="19"/>
          <w:color w:val="auto"/>
        </w:rPr>
        <w:t>authority. HR Edge provides another option for clients looking for advisory and best practice support without the level of hands-on execution offered by Elevate HR.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Time &amp; Labor</w:t>
      </w:r>
    </w:p>
    <w:p>
      <w:pPr>
        <w:spacing w:after="0" w:line="25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Time and Attendance </w:t>
      </w:r>
      <w:r>
        <w:rPr>
          <w:rFonts w:ascii="Times New Roman" w:cs="Times New Roman" w:eastAsia="Times New Roman" w:hAnsi="Times New Roman"/>
          <w:sz w:val="19"/>
          <w:szCs w:val="19"/>
          <w:color w:val="auto"/>
        </w:rPr>
        <w:t>– Our Time and Attendance solution accurately tracks time and attendance data, eliminating the need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manual tracking of accruals and reducing administrative tasks. Employees and supervisors can request and manage time off, edit timecards and manage schedule changes. A customizable supervisor dashboard provides at-a-glance visibility to missed punches, pending time off requests, attendance exceptions and more.</w:t>
      </w:r>
    </w:p>
    <w:p>
      <w:pPr>
        <w:spacing w:after="0" w:line="223" w:lineRule="exact"/>
        <w:rPr>
          <w:sz w:val="20"/>
          <w:szCs w:val="20"/>
          <w:color w:val="auto"/>
        </w:rPr>
      </w:pPr>
    </w:p>
    <w:p>
      <w:pPr>
        <w:jc w:val="both"/>
        <w:ind w:right="320"/>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Scheduling </w:t>
      </w:r>
      <w:r>
        <w:rPr>
          <w:rFonts w:ascii="Times New Roman" w:cs="Times New Roman" w:eastAsia="Times New Roman" w:hAnsi="Times New Roman"/>
          <w:sz w:val="19"/>
          <w:szCs w:val="19"/>
          <w:color w:val="auto"/>
        </w:rPr>
        <w:t>– Clients can simplify scheduling by leveraging AI-driven shift recommendations and budgeting/scheduling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advice, leveraging templates and building policies based on duration, time between shifts and skills/certifications. Shift swapping and open shift claiming offer flexibility to employees, ensuring optimal coverage and controlled labor costs.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Managers and employees can easily manage their schedules from our mobile app to ensure the appropriate shift coverage.</w:t>
      </w:r>
    </w:p>
    <w:p>
      <w:pPr>
        <w:spacing w:after="0" w:line="21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Time Collection </w:t>
      </w:r>
      <w:r>
        <w:rPr>
          <w:rFonts w:ascii="Times New Roman" w:cs="Times New Roman" w:eastAsia="Times New Roman" w:hAnsi="Times New Roman"/>
          <w:sz w:val="19"/>
          <w:szCs w:val="19"/>
          <w:color w:val="auto"/>
        </w:rPr>
        <w:t>– Our wide variety of time collection devices include kiosks, state-of-the-art time clocks, mobile and web</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applications and even smartwatches to meet unique needs of different companies while enabling employees to clock in wherever business is conducted. Advanced features include specifying geographic parameters for mobile punch-in, answering attestation prompts and other health and safety checks.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Talent</w:t>
      </w:r>
    </w:p>
    <w:p>
      <w:pPr>
        <w:spacing w:after="0" w:line="25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Recruiting </w:t>
      </w:r>
      <w:r>
        <w:rPr>
          <w:rFonts w:ascii="Times New Roman" w:cs="Times New Roman" w:eastAsia="Times New Roman" w:hAnsi="Times New Roman"/>
          <w:sz w:val="19"/>
          <w:szCs w:val="19"/>
          <w:color w:val="auto"/>
        </w:rPr>
        <w:t>– Our Recruiting tools help clients streamline talent acquisition processes from application creation 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candidate acceptance. Clients can reach candidates through online job postings and mobile-friendly application methods, reduce bias through candidate masking capabilities, simplify screening and background check processes, coordinate interviews through scheduling tools and calendar integrations and communicate with candidates through email, text messaging and video interviews. The solution also provides real-time access to candidate information to support timely hiring decisions. We also offer an AI-powered add-on that enables organizations to rediscover and re-engage existing candidates within their applicant tracking system while automating outreach, screening and interview scheduling.</w:t>
      </w:r>
    </w:p>
    <w:p>
      <w:pPr>
        <w:spacing w:after="0" w:line="19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Onboarding </w:t>
      </w:r>
      <w:r>
        <w:rPr>
          <w:rFonts w:ascii="Times New Roman" w:cs="Times New Roman" w:eastAsia="Times New Roman" w:hAnsi="Times New Roman"/>
          <w:sz w:val="19"/>
          <w:szCs w:val="19"/>
          <w:color w:val="auto"/>
        </w:rPr>
        <w:t>– Our Onboarding tools enable new employees to complete all pre-hire tasks through digital data collection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gather important personal and 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1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Learning </w:t>
      </w:r>
      <w:r>
        <w:rPr>
          <w:rFonts w:ascii="Times New Roman" w:cs="Times New Roman" w:eastAsia="Times New Roman" w:hAnsi="Times New Roman"/>
          <w:sz w:val="19"/>
          <w:szCs w:val="19"/>
          <w:color w:val="auto"/>
        </w:rPr>
        <w:t>– Our Learning tools enable clients to assign, deliver, and track employee training across a variety of topics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delivery methods, including on-demand courses, webinars and mobile learning. Clients can create and manage custom training content, leverage a library of out-of-the-box compliance and professional development courses and empower employees to share knowledge and expertise through user-generated training content.</w:t>
      </w:r>
    </w:p>
    <w:p>
      <w:pPr>
        <w:spacing w:after="0" w:line="1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Performance </w:t>
      </w:r>
      <w:r>
        <w:rPr>
          <w:rFonts w:ascii="Times New Roman" w:cs="Times New Roman" w:eastAsia="Times New Roman" w:hAnsi="Times New Roman"/>
          <w:sz w:val="19"/>
          <w:szCs w:val="19"/>
          <w:color w:val="auto"/>
        </w:rPr>
        <w:t>– Our Performance tools support ongoing performance management through employee reviews, goal tracking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career development planning. Clients can facilitate continuous, goals-driven conversations and document employee accomplishments through Journals, while succession planning tools, including 9-box assessments, help clients evaluate performance and visualize workforce talent.</w:t>
      </w:r>
    </w:p>
    <w:p>
      <w:pPr>
        <w:spacing w:after="0" w:line="1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Compensation </w:t>
      </w:r>
      <w:r>
        <w:rPr>
          <w:rFonts w:ascii="Times New Roman" w:cs="Times New Roman" w:eastAsia="Times New Roman" w:hAnsi="Times New Roman"/>
          <w:sz w:val="19"/>
          <w:szCs w:val="19"/>
          <w:color w:val="auto"/>
        </w:rPr>
        <w:t>– Our Compensation tools help clients align between organizational goals, budgets and participant eligibility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an efficient process 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 including not just pay, but also benefits, time off, and more.</w:t>
      </w:r>
    </w:p>
    <w:p>
      <w:pPr>
        <w:spacing w:after="0" w:line="19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Market Pay </w:t>
      </w:r>
      <w:r>
        <w:rPr>
          <w:rFonts w:ascii="Times New Roman" w:cs="Times New Roman" w:eastAsia="Times New Roman" w:hAnsi="Times New Roman"/>
          <w:sz w:val="19"/>
          <w:szCs w:val="19"/>
          <w:color w:val="auto"/>
        </w:rPr>
        <w:t>– Market Pay provides real-time insights for HR, leaders and managers making it easy for them to understand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their local market, identify trends and make data-driven decisions about employee compensation so they can pay employees fairly, outpace competitors to attract and retain top talent and remain compliant with laws and regulations.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ectPr>
          <w:pgSz w:w="11880" w:h="15480" w:orient="portrait"/>
          <w:cols w:equalWidth="0" w:num="1">
            <w:col w:w="9600"/>
          </w:cols>
          <w:pgMar w:left="1140" w:top="872" w:right="114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9"/>
          <w:szCs w:val="19"/>
          <w:b w:val="1"/>
          <w:bCs w:val="1"/>
          <w:i w:val="1"/>
          <w:iCs w:val="1"/>
          <w:color w:val="auto"/>
        </w:rPr>
        <w:t>Benefits</w:t>
      </w:r>
    </w:p>
    <w:p>
      <w:pPr>
        <w:spacing w:after="0" w:line="25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Benefit Enrollment &amp; Updates </w:t>
      </w:r>
      <w:r>
        <w:rPr>
          <w:rFonts w:ascii="Times New Roman" w:cs="Times New Roman" w:eastAsia="Times New Roman" w:hAnsi="Times New Roman"/>
          <w:sz w:val="19"/>
          <w:szCs w:val="19"/>
          <w:color w:val="auto"/>
        </w:rPr>
        <w:t>– Our Benefits tools help clients administer benefit plans and provide employees with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streamlined enrollment and management experience across desktop and mobile devices. Clients can manage benefit offerings and enrollment rules, while employees can make and update benefit elections, access account information and receive guidance through AI-powered Benefit Decision Support. Embedded communications and training tools help employees stay informed about important dates and available benefit options.</w:t>
      </w:r>
    </w:p>
    <w:p>
      <w:pPr>
        <w:spacing w:after="0" w:line="19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Third-Party Administrative (TPA) Solutions </w:t>
      </w:r>
      <w:r>
        <w:rPr>
          <w:rFonts w:ascii="Times New Roman" w:cs="Times New Roman" w:eastAsia="Times New Roman" w:hAnsi="Times New Roman"/>
          <w:sz w:val="19"/>
          <w:szCs w:val="19"/>
          <w:color w:val="auto"/>
        </w:rPr>
        <w:t>– Our TPA solutions are designed to modernize the administration of Health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Savings Account (“HSA”), Flexible Savings Account (“FSA”), Health 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These solutions also ease the administration of COBRA coverage and retiree billing.</w:t>
      </w:r>
    </w:p>
    <w:p>
      <w:pPr>
        <w:spacing w:after="0" w:line="193" w:lineRule="exact"/>
        <w:rPr>
          <w:sz w:val="20"/>
          <w:szCs w:val="20"/>
          <w:color w:val="auto"/>
        </w:rPr>
      </w:pPr>
    </w:p>
    <w:p>
      <w:pPr>
        <w:ind w:right="780"/>
        <w:spacing w:after="0" w:line="29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Retirement </w:t>
      </w:r>
      <w:r>
        <w:rPr>
          <w:rFonts w:ascii="Times New Roman" w:cs="Times New Roman" w:eastAsia="Times New Roman" w:hAnsi="Times New Roman"/>
          <w:sz w:val="19"/>
          <w:szCs w:val="19"/>
          <w:color w:val="auto"/>
        </w:rPr>
        <w:t>- Retirement connects payroll and contribution management in one unified experience, helping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streamline plan administration and align payroll and retirement processes.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Employee Experiences</w:t>
      </w:r>
    </w:p>
    <w:p>
      <w:pPr>
        <w:spacing w:after="0" w:line="25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Community </w:t>
      </w:r>
      <w:r>
        <w:rPr>
          <w:rFonts w:ascii="Times New Roman" w:cs="Times New Roman" w:eastAsia="Times New Roman" w:hAnsi="Times New Roman"/>
          <w:sz w:val="19"/>
          <w:szCs w:val="19"/>
          <w:color w:val="auto"/>
        </w:rPr>
        <w:t>– Community is an integrated part of our platform that streamlines communication and fosters employee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engagement across distributed workforces, including employees who are remote, mobile, or do not have corporate email access. Clients can centralize announcements in a company feed, manage communications through an intuitive dashboard and support employees through Ask an Expert groups that enable questions and responses at scale. Community also offers capabilities such as chat, file sharing, team groups, employee profiles, enhanced directory and search functionality to help employees connect, collaborate, and access information.</w:t>
      </w:r>
    </w:p>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Video </w:t>
      </w:r>
      <w:r>
        <w:rPr>
          <w:rFonts w:ascii="Times New Roman" w:cs="Times New Roman" w:eastAsia="Times New Roman" w:hAnsi="Times New Roman"/>
          <w:sz w:val="19"/>
          <w:szCs w:val="19"/>
          <w:color w:val="auto"/>
        </w:rPr>
        <w:t>– Our Video tools enable clients to record, upload and embed videos across our HCM platform to increase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collaboration, morale, engagement and productivity. Clients can embed videos seamlessly into tasks that are critical to their business such as leadership announcements, job postings, onboarding, performance journals, surveys and more.</w:t>
      </w:r>
    </w:p>
    <w:p>
      <w:pPr>
        <w:spacing w:after="0" w:line="180"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Employee Voice </w:t>
      </w:r>
      <w:r>
        <w:rPr>
          <w:rFonts w:ascii="Times New Roman" w:cs="Times New Roman" w:eastAsia="Times New Roman" w:hAnsi="Times New Roman"/>
          <w:sz w:val="19"/>
          <w:szCs w:val="19"/>
          <w:color w:val="auto"/>
        </w:rPr>
        <w:t>– Employee Voice helps clients automatically and continuously collect feedback that is indicative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employee engagement and retention. AI-generated sentiment summaries synthesize feedback alongside dashboards and</w:t>
      </w:r>
    </w:p>
    <w:p>
      <w:pPr>
        <w:spacing w:after="0" w:line="2"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19"/>
          <w:szCs w:val="19"/>
          <w:color w:val="auto"/>
        </w:rPr>
        <w:t>heatmaps that make it simple to understand feedback at scale. It also includes the tools to share relevant insights with leadership and managers and create action plans to drive accountability.</w:t>
      </w:r>
    </w:p>
    <w:p>
      <w:pPr>
        <w:spacing w:after="0" w:line="20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Recognition &amp; Rewards </w:t>
      </w:r>
      <w:r>
        <w:rPr>
          <w:rFonts w:ascii="Times New Roman" w:cs="Times New Roman" w:eastAsia="Times New Roman" w:hAnsi="Times New Roman"/>
          <w:sz w:val="19"/>
          <w:szCs w:val="19"/>
          <w:color w:val="auto"/>
        </w:rPr>
        <w:t>– Recognition &amp; Rewards allows clients to drive engagement and retention via a frictionless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experience embedded throughout our platform. Managers and peer employees can provide direct recognition and rewards for outstanding performance and impact with monetary awards, digital gift cards or charity donations seamlessly processed through our integrated payroll and tax platform. Administrators retain full control and visibility into how rewards are funded and distributed, ensuring alignment with company culture, objectives, budgets and policies.</w:t>
      </w:r>
    </w:p>
    <w:p>
      <w:pPr>
        <w:spacing w:after="0" w:line="191"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Data Insights </w:t>
      </w:r>
      <w:r>
        <w:rPr>
          <w:rFonts w:ascii="Times New Roman" w:cs="Times New Roman" w:eastAsia="Times New Roman" w:hAnsi="Times New Roman"/>
          <w:sz w:val="19"/>
          <w:szCs w:val="19"/>
          <w:color w:val="auto"/>
        </w:rPr>
        <w:t>– With our Data Insights solution, our clients can evaluate their organizations through insights in areas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headcount, turnover, labor costs and composition of their employee populations that allow them to customize, fund and deploy strategies to support employees.</w:t>
      </w:r>
    </w:p>
    <w:p>
      <w:pPr>
        <w:spacing w:after="0" w:line="18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Reporting </w:t>
      </w:r>
      <w:r>
        <w:rPr>
          <w:rFonts w:ascii="Times New Roman" w:cs="Times New Roman" w:eastAsia="Times New Roman" w:hAnsi="Times New Roman"/>
          <w:sz w:val="19"/>
          <w:szCs w:val="19"/>
          <w:color w:val="auto"/>
        </w:rPr>
        <w:t>– Clients can build and customize reports within our platform. We also offer hundreds of standard reports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clients can use as-is or adjust to suit their needs. New reports are added regularly in response to regulatory changes, compliance updates and client feedback.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Paylocity for Finance</w:t>
      </w:r>
    </w:p>
    <w:p>
      <w:pPr>
        <w:spacing w:after="0" w:line="28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b w:val="1"/>
          <w:bCs w:val="1"/>
          <w:i w:val="1"/>
          <w:iCs w:val="1"/>
          <w:color w:val="auto"/>
        </w:rPr>
        <w:t xml:space="preserve">Headcount Planning </w:t>
      </w:r>
      <w:r>
        <w:rPr>
          <w:rFonts w:ascii="Times New Roman" w:cs="Times New Roman" w:eastAsia="Times New Roman" w:hAnsi="Times New Roman"/>
          <w:sz w:val="19"/>
          <w:szCs w:val="19"/>
          <w:color w:val="auto"/>
        </w:rPr>
        <w:t>– Headcount Planning centralizes staffing plans, approvals and forecasts into a streamlined process.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Finance, HR, and hiring managers can collaborate in real time using customizable workflows, visibility controls and dynamic organizational charts to track and update headcount plans as business needs evolve. With integrated analytics and automated notifications, clients can monitor budget versus forecast, drill down into specific teams or roles, open approved roles and stay ahead of staffing needs.</w:t>
      </w:r>
    </w:p>
    <w:p>
      <w:pPr>
        <w:sectPr>
          <w:pgSz w:w="11880" w:h="15480" w:orient="portrait"/>
          <w:cols w:equalWidth="0" w:num="1">
            <w:col w:w="9580"/>
          </w:cols>
          <w:pgMar w:left="1140" w:top="86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880" w:h="15480" w:orient="portrait"/>
          <w:cols w:equalWidth="0" w:num="1">
            <w:col w:w="9580"/>
          </w:cols>
          <w:pgMar w:left="1140" w:top="865" w:right="1160" w:bottom="0" w:gutter="0" w:footer="0" w:header="0"/>
          <w:type w:val="continuous"/>
        </w:sectPr>
      </w:pPr>
    </w:p>
    <w:bookmarkStart w:id="18" w:name="page19"/>
    <w:bookmarkEnd w:id="18"/>
    <w:p>
      <w:pPr>
        <w:ind w:right="280"/>
        <w:spacing w:after="0" w:line="28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Expense Management – </w:t>
      </w:r>
      <w:r>
        <w:rPr>
          <w:rFonts w:ascii="Times New Roman" w:cs="Times New Roman" w:eastAsia="Times New Roman" w:hAnsi="Times New Roman"/>
          <w:sz w:val="19"/>
          <w:szCs w:val="19"/>
          <w:color w:val="auto"/>
        </w:rPr>
        <w:t>Expense Management provides AI-powered expense reports with real-time policy enforcement,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categorization and compliance.</w:t>
      </w:r>
    </w:p>
    <w:p>
      <w:pPr>
        <w:spacing w:after="0" w:line="15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Accounts Payable Automation </w:t>
      </w:r>
      <w:r>
        <w:rPr>
          <w:rFonts w:ascii="Times New Roman" w:cs="Times New Roman" w:eastAsia="Times New Roman" w:hAnsi="Times New Roman"/>
          <w:sz w:val="19"/>
          <w:szCs w:val="19"/>
          <w:color w:val="auto"/>
        </w:rPr>
        <w:t>– AI-powered Accounts Payable Automation automates every step of the AP process, from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vendor onboarding and invoice processing to bill coding, approvals, payments, syncing to the enterprise resource planning system and reconciliation.</w:t>
      </w:r>
    </w:p>
    <w:p>
      <w:pPr>
        <w:spacing w:after="0" w:line="21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Corporate Cards </w:t>
      </w:r>
      <w:r>
        <w:rPr>
          <w:rFonts w:ascii="Times New Roman" w:cs="Times New Roman" w:eastAsia="Times New Roman" w:hAnsi="Times New Roman"/>
          <w:sz w:val="19"/>
          <w:szCs w:val="19"/>
          <w:color w:val="auto"/>
        </w:rPr>
        <w:t>– Corporate Cards enables clients to issue virtual or physical cards with built-in controls and real-time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tracking, while integrating with existing credit card programs to provide centralized visibility and control of all card spend.</w:t>
      </w:r>
    </w:p>
    <w:p>
      <w:pPr>
        <w:spacing w:after="0" w:line="1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b w:val="1"/>
          <w:bCs w:val="1"/>
          <w:i w:val="1"/>
          <w:iCs w:val="1"/>
          <w:color w:val="auto"/>
        </w:rPr>
        <w:t xml:space="preserve">Guided Procurement </w:t>
      </w:r>
      <w:r>
        <w:rPr>
          <w:rFonts w:ascii="Times New Roman" w:cs="Times New Roman" w:eastAsia="Times New Roman" w:hAnsi="Times New Roman"/>
          <w:sz w:val="19"/>
          <w:szCs w:val="19"/>
          <w:color w:val="auto"/>
        </w:rPr>
        <w:t>– Guided Procurement centralizes purchase requests with automated workflows to ensure compliance,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efficiency and collaboration across finance, procurement, HR and business stakeholders such as IT and Legal.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Paylocity for IT</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Access Management &amp; Identity </w:t>
      </w:r>
      <w:r>
        <w:rPr>
          <w:rFonts w:ascii="Times New Roman" w:cs="Times New Roman" w:eastAsia="Times New Roman" w:hAnsi="Times New Roman"/>
          <w:sz w:val="19"/>
          <w:szCs w:val="19"/>
          <w:color w:val="auto"/>
        </w:rPr>
        <w:t>– Access Management &amp; Identity connects employee data with IT systems to automate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access throughout the employee lifecycle, from onboarding and role changes to offboarding. With automated account provisioning, single sign-on, multi-factor authentication, directory integrations and access monitoring, clients can help employees get productive faster while strengthening security and compliance.</w:t>
      </w:r>
    </w:p>
    <w:p>
      <w:pPr>
        <w:spacing w:after="0" w:line="17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Asset Management </w:t>
      </w:r>
      <w:r>
        <w:rPr>
          <w:rFonts w:ascii="Times New Roman" w:cs="Times New Roman" w:eastAsia="Times New Roman" w:hAnsi="Times New Roman"/>
          <w:sz w:val="19"/>
          <w:szCs w:val="19"/>
          <w:color w:val="auto"/>
        </w:rPr>
        <w:t>– Asset Management centralizes the tracking and management of employee hardware,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laptops, desktops, key cards, accessories, and specialty tools. Using real-time employee data and automated workflows, clients can streamline device requests during onboarding, manage inventory and refresh cycles, automate repairs and returns and help ensure employees have the equipment they need from day one through offboarding.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Client Support Teams</w:t>
      </w:r>
    </w:p>
    <w:p>
      <w:pPr>
        <w:spacing w:after="0" w:line="254"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Implementation and Training Services</w:t>
      </w:r>
    </w:p>
    <w:p>
      <w:pPr>
        <w:spacing w:after="0" w:line="254" w:lineRule="exact"/>
        <w:rPr>
          <w:sz w:val="20"/>
          <w:szCs w:val="20"/>
          <w:color w:val="auto"/>
        </w:rPr>
      </w:pPr>
    </w:p>
    <w:p>
      <w:pPr>
        <w:ind w:right="180" w:firstLine="698"/>
        <w:spacing w:after="0" w:line="263" w:lineRule="auto"/>
        <w:rPr>
          <w:sz w:val="20"/>
          <w:szCs w:val="20"/>
          <w:color w:val="auto"/>
        </w:rPr>
      </w:pPr>
      <w:r>
        <w:rPr>
          <w:rFonts w:ascii="Times New Roman" w:cs="Times New Roman" w:eastAsia="Times New Roman" w:hAnsi="Times New Roman"/>
          <w:sz w:val="19"/>
          <w:szCs w:val="19"/>
          <w:color w:val="auto"/>
        </w:rPr>
        <w:t>Our clients are typically either migrating to our platform from a competitive solution or are adopting their first online HCM, finance or IT solution. These organizations often have limited internal resources and rely on us for the implementation of our solutions.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93" w:lineRule="exact"/>
        <w:rPr>
          <w:sz w:val="20"/>
          <w:szCs w:val="20"/>
          <w:color w:val="auto"/>
        </w:rPr>
      </w:pPr>
    </w:p>
    <w:p>
      <w:pPr>
        <w:jc w:val="both"/>
        <w:ind w:right="200" w:firstLine="698"/>
        <w:spacing w:after="0" w:line="274" w:lineRule="auto"/>
        <w:rPr>
          <w:sz w:val="20"/>
          <w:szCs w:val="20"/>
          <w:color w:val="auto"/>
        </w:rPr>
      </w:pPr>
      <w:r>
        <w:rPr>
          <w:rFonts w:ascii="Times New Roman" w:cs="Times New Roman" w:eastAsia="Times New Roman" w:hAnsi="Times New Roman"/>
          <w:sz w:val="19"/>
          <w:szCs w:val="19"/>
          <w:color w:val="auto"/>
        </w:rPr>
        <w:t>We offer clients the opportunity to utilize on-demand or in-class training designed to provide them with general knowledge on our solutions. We also host an annual conference for our clients to allow them to learn about new products and features and to provide feedback and learn best practices.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Client Service</w:t>
      </w:r>
    </w:p>
    <w:p>
      <w:pPr>
        <w:spacing w:after="0" w:line="254" w:lineRule="exact"/>
        <w:rPr>
          <w:sz w:val="20"/>
          <w:szCs w:val="20"/>
          <w:color w:val="auto"/>
        </w:rPr>
      </w:pPr>
    </w:p>
    <w:p>
      <w:pPr>
        <w:ind w:right="100" w:firstLine="698"/>
        <w:spacing w:after="0" w:line="259" w:lineRule="auto"/>
        <w:rPr>
          <w:sz w:val="20"/>
          <w:szCs w:val="20"/>
          <w:color w:val="auto"/>
        </w:rPr>
      </w:pPr>
      <w:r>
        <w:rPr>
          <w:rFonts w:ascii="Times New Roman" w:cs="Times New Roman" w:eastAsia="Times New Roman" w:hAnsi="Times New Roman"/>
          <w:sz w:val="19"/>
          <w:szCs w:val="19"/>
          <w:color w:val="auto"/>
        </w:rPr>
        <w:t>Our client service model is designed to serve and support the needs of our clients and to build loyalty by developing strong relationships with them. We strive to achieve high revenue retention, in part, by delivering high-quality service. Our revenue retention was greater than 92% in each of fiscal 2024, 2025 and 2026. Each client is assigned an account management team that serves as the central point of contact for any questions or support needs. We believe this approach enhances client service by providing clients with access to knowledgeable resources who understand their businesses,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provides industry content and Paylocity product and service information.</w:t>
      </w:r>
    </w:p>
    <w:p>
      <w:pPr>
        <w:sectPr>
          <w:pgSz w:w="11880" w:h="15480" w:orient="portrait"/>
          <w:cols w:equalWidth="0" w:num="1">
            <w:col w:w="9600"/>
          </w:cols>
          <w:pgMar w:left="1140" w:top="87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ectPr>
          <w:pgSz w:w="11880" w:h="15480" w:orient="portrait"/>
          <w:cols w:equalWidth="0" w:num="1">
            <w:col w:w="9600"/>
          </w:cols>
          <w:pgMar w:left="1140" w:top="870" w:right="1140" w:bottom="0" w:gutter="0" w:footer="0" w:header="0"/>
          <w:type w:val="continuous"/>
        </w:sectPr>
      </w:pPr>
    </w:p>
    <w:bookmarkStart w:id="19" w:name="page20"/>
    <w:bookmarkEnd w:id="19"/>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Tax and Regulatory Services</w:t>
      </w:r>
    </w:p>
    <w:p>
      <w:pPr>
        <w:spacing w:after="0" w:line="254"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allow clients to remit timely and accurate tax payments. In addition, these teams execute a series of audit routines to ensure that quarterly tax filings are accurate and submitted on a timely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Clients</w:t>
      </w:r>
    </w:p>
    <w:p>
      <w:pPr>
        <w:spacing w:after="0" w:line="254" w:lineRule="exact"/>
        <w:rPr>
          <w:sz w:val="20"/>
          <w:szCs w:val="20"/>
          <w:color w:val="auto"/>
        </w:rPr>
      </w:pPr>
    </w:p>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Excluding clients acquired through acquisitions, as of June 30, 2026, we provided our HCM, finance and IT software solutions to approximately 44,400 clients across the U.S. The rate at which we add clients is variable period-to-period and is also seasonal, as many clients switch solutions during the first calendar quarter of the year. Clients include for-profit and non-profit organizations across industries including business services, financial services, healthcare, manufacturing, restaurants, retail, technology and others. For each of the three years ended June 30, 2024, 2025 and 2026, no client accounted for more than 1% of our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Sales and Marketing</w:t>
      </w:r>
    </w:p>
    <w:p>
      <w:pPr>
        <w:spacing w:after="0" w:line="254" w:lineRule="exact"/>
        <w:rPr>
          <w:sz w:val="20"/>
          <w:szCs w:val="20"/>
          <w:color w:val="auto"/>
        </w:rPr>
      </w:pPr>
    </w:p>
    <w:p>
      <w:pPr>
        <w:ind w:right="60" w:firstLine="698"/>
        <w:spacing w:after="0" w:line="268" w:lineRule="auto"/>
        <w:rPr>
          <w:sz w:val="20"/>
          <w:szCs w:val="20"/>
          <w:color w:val="auto"/>
        </w:rPr>
      </w:pPr>
      <w:r>
        <w:rPr>
          <w:rFonts w:ascii="Times New Roman" w:cs="Times New Roman" w:eastAsia="Times New Roman" w:hAnsi="Times New Roman"/>
          <w:sz w:val="19"/>
          <w:szCs w:val="19"/>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88"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The sales cycle begins with a sales lead generated by the sales representative, through our third-party referral network, a client referral, our telemarketing team, our external website, marketing lead generation strategies or other territory-based activities. We support our sales force with a marketing program that includes seminars and webinars, email marketing, social media marketing, broker events and web marketing.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Referral Network</w:t>
      </w:r>
    </w:p>
    <w:p>
      <w:pPr>
        <w:spacing w:after="0" w:line="254" w:lineRule="exact"/>
        <w:rPr>
          <w:sz w:val="20"/>
          <w:szCs w:val="20"/>
          <w:color w:val="auto"/>
        </w:rPr>
      </w:pPr>
    </w:p>
    <w:p>
      <w:pPr>
        <w:ind w:right="220" w:firstLine="698"/>
        <w:spacing w:after="0" w:line="268" w:lineRule="auto"/>
        <w:rPr>
          <w:sz w:val="20"/>
          <w:szCs w:val="20"/>
          <w:color w:val="auto"/>
        </w:rPr>
      </w:pPr>
      <w:r>
        <w:rPr>
          <w:rFonts w:ascii="Times New Roman" w:cs="Times New Roman" w:eastAsia="Times New Roman" w:hAnsi="Times New Roman"/>
          <w:sz w:val="19"/>
          <w:szCs w:val="19"/>
          <w:color w:val="auto"/>
        </w:rPr>
        <w:t>We have developed a strong network of referral participants, such as 401(k) advisors, benefits administrators, insurance brokers, third-party administrators, HR consultants and accountants that recommend our solutions and provide referrals. Our referral network has become an increasingly important component of our sales process, and in fiscal 2026, more than 25% of our new client revenue originated through referrals from participants in our referral network.</w:t>
      </w:r>
    </w:p>
    <w:p>
      <w:pPr>
        <w:spacing w:after="0" w:line="188" w:lineRule="exact"/>
        <w:rPr>
          <w:sz w:val="20"/>
          <w:szCs w:val="20"/>
          <w:color w:val="auto"/>
        </w:rPr>
      </w:pPr>
    </w:p>
    <w:p>
      <w:pPr>
        <w:ind w:right="60" w:firstLine="698"/>
        <w:spacing w:after="0" w:line="261" w:lineRule="auto"/>
        <w:rPr>
          <w:sz w:val="20"/>
          <w:szCs w:val="20"/>
          <w:color w:val="auto"/>
        </w:rPr>
      </w:pPr>
      <w:r>
        <w:rPr>
          <w:rFonts w:ascii="Times New Roman" w:cs="Times New Roman" w:eastAsia="Times New Roman" w:hAnsi="Times New Roman"/>
          <w:sz w:val="19"/>
          <w:szCs w:val="19"/>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providers who also provide retirement plans, health insurance and other products and services competitive with the offerings of the participants in our referral network, we focus only on our core business of providing HCM, finance and IT solutions. In some cases, we have formalized relationships in which we are a recommended vendor of these participants. In other cases, the relationships are informal. We typically do not compensate these participants for referrals.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Marketplace</w:t>
      </w:r>
    </w:p>
    <w:p>
      <w:pPr>
        <w:spacing w:after="0" w:line="254" w:lineRule="exact"/>
        <w:rPr>
          <w:sz w:val="20"/>
          <w:szCs w:val="20"/>
          <w:color w:val="auto"/>
        </w:rPr>
      </w:pPr>
    </w:p>
    <w:p>
      <w:pPr>
        <w:ind w:right="80" w:firstLine="698"/>
        <w:spacing w:after="0" w:line="261" w:lineRule="auto"/>
        <w:rPr>
          <w:sz w:val="20"/>
          <w:szCs w:val="20"/>
          <w:color w:val="auto"/>
        </w:rPr>
      </w:pPr>
      <w:r>
        <w:rPr>
          <w:rFonts w:ascii="Times New Roman" w:cs="Times New Roman" w:eastAsia="Times New Roman" w:hAnsi="Times New Roman"/>
          <w:sz w:val="19"/>
          <w:szCs w:val="19"/>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ectPr>
          <w:pgSz w:w="11880" w:h="15480" w:orient="portrait"/>
          <w:cols w:equalWidth="0" w:num="1">
            <w:col w:w="9580"/>
          </w:cols>
          <w:pgMar w:left="1140" w:top="86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880" w:h="15480" w:orient="portrait"/>
          <w:cols w:equalWidth="0" w:num="1">
            <w:col w:w="9580"/>
          </w:cols>
          <w:pgMar w:left="1140" w:top="865" w:right="1160" w:bottom="0" w:gutter="0" w:footer="0" w:header="0"/>
          <w:type w:val="continuous"/>
        </w:sectPr>
      </w:pPr>
    </w:p>
    <w:bookmarkStart w:id="20" w:name="page21"/>
    <w:bookmarkEnd w:id="20"/>
    <w:p>
      <w:pPr>
        <w:ind w:right="60" w:firstLine="698"/>
        <w:spacing w:after="0" w:line="268" w:lineRule="auto"/>
        <w:rPr>
          <w:sz w:val="20"/>
          <w:szCs w:val="20"/>
          <w:color w:val="auto"/>
        </w:rPr>
      </w:pPr>
      <w:r>
        <w:rPr>
          <w:rFonts w:ascii="Times New Roman" w:cs="Times New Roman" w:eastAsia="Times New Roman" w:hAnsi="Times New Roman"/>
          <w:sz w:val="19"/>
          <w:szCs w:val="19"/>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an HCM, finance and IT provider differentiates partners’ product offerings, strengthening their competitive positioning in their own markets.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Technology</w:t>
      </w:r>
    </w:p>
    <w:p>
      <w:pPr>
        <w:spacing w:after="0" w:line="254" w:lineRule="exact"/>
        <w:rPr>
          <w:sz w:val="20"/>
          <w:szCs w:val="20"/>
          <w:color w:val="auto"/>
        </w:rPr>
      </w:pPr>
    </w:p>
    <w:p>
      <w:pPr>
        <w:ind w:firstLine="698"/>
        <w:spacing w:after="0" w:line="263" w:lineRule="auto"/>
        <w:rPr>
          <w:sz w:val="20"/>
          <w:szCs w:val="20"/>
          <w:color w:val="auto"/>
        </w:rPr>
      </w:pPr>
      <w:r>
        <w:rPr>
          <w:rFonts w:ascii="Times New Roman" w:cs="Times New Roman" w:eastAsia="Times New Roman" w:hAnsi="Times New Roman"/>
          <w:sz w:val="19"/>
          <w:szCs w:val="19"/>
          <w:color w:val="auto"/>
        </w:rPr>
        <w:t>Our platform is built on a unified, cloud-based architecture that gives us an advantage over many traditional systems, which are disparate, less flexible and require longer and more costly development and upgrade cycles. Clients do not need to install our software in their data centers and can access our solutions through any mobile device or web browser with Internet access. Our platform helps businesses across HR, finance, and IT streamline operations, manage spend and talent and build culture and connection. AI is embedded directly into everyday workflows to save time, reduce manual effort, and support better decision-making.</w:t>
      </w:r>
    </w:p>
    <w:p>
      <w:pPr>
        <w:spacing w:after="0" w:line="193" w:lineRule="exact"/>
        <w:rPr>
          <w:sz w:val="20"/>
          <w:szCs w:val="20"/>
          <w:color w:val="auto"/>
        </w:rPr>
      </w:pPr>
    </w:p>
    <w:p>
      <w:pPr>
        <w:ind w:right="40" w:firstLine="698"/>
        <w:spacing w:after="0" w:line="274" w:lineRule="auto"/>
        <w:rPr>
          <w:sz w:val="20"/>
          <w:szCs w:val="20"/>
          <w:color w:val="auto"/>
        </w:rPr>
      </w:pPr>
      <w:r>
        <w:rPr>
          <w:rFonts w:ascii="Times New Roman" w:cs="Times New Roman" w:eastAsia="Times New Roman" w:hAnsi="Times New Roman"/>
          <w:sz w:val="19"/>
          <w:szCs w:val="19"/>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83" w:lineRule="exact"/>
        <w:rPr>
          <w:sz w:val="20"/>
          <w:szCs w:val="20"/>
          <w:color w:val="auto"/>
        </w:rPr>
      </w:pPr>
    </w:p>
    <w:p>
      <w:pPr>
        <w:jc w:val="both"/>
        <w:ind w:right="700" w:firstLine="698"/>
        <w:spacing w:after="0" w:line="274" w:lineRule="auto"/>
        <w:rPr>
          <w:sz w:val="20"/>
          <w:szCs w:val="20"/>
          <w:color w:val="auto"/>
        </w:rPr>
      </w:pPr>
      <w:r>
        <w:rPr>
          <w:rFonts w:ascii="Times New Roman" w:cs="Times New Roman" w:eastAsia="Times New Roman" w:hAnsi="Times New Roman"/>
          <w:sz w:val="19"/>
          <w:szCs w:val="19"/>
          <w:color w:val="auto"/>
        </w:rPr>
        <w:t>We maintain comprehensive security programs designed to protect the security and integrity of client and employee data, protect against security threats or data breaches and prevent unauthorized access. Refer to Item 1C. Cybersecurity for more information on our security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54" w:lineRule="exact"/>
        <w:rPr>
          <w:sz w:val="20"/>
          <w:szCs w:val="20"/>
          <w:color w:val="auto"/>
        </w:rPr>
      </w:pPr>
    </w:p>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The market for HCM, finance and IT software solutions is both fragmented and highly competitive. Our competitors vary for each of our solutions and primarily include payroll and HR service and software providers, such as Automatic Data Processing, Inc., Dayforce, Inc., Paychex, Inc., Paycom Software, Inc., Ultimate Kronos Group and other local and regional providers.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We believe the principal factors on which we compete in our market include the following:</w:t>
      </w:r>
    </w:p>
    <w:p>
      <w:pPr>
        <w:spacing w:after="0" w:line="247" w:lineRule="exact"/>
        <w:rPr>
          <w:sz w:val="20"/>
          <w:szCs w:val="20"/>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Solutions built to connect with today’s modern workforce;</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Comprehensive product suite on a single platform;</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Breadth and depth of product functionality;</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Configurability and ease of use of our solutions;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Modern, mobile, intuitive and consumer-oriented user experience;</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Benefits of a cloud-based technology platform;</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Ability to innovate and respond to client needs rapidly;</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Domain expertise in HCM and payroll;</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Quality of implementation and client service;</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Ease of implementation;</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Real-time web-based payroll processing; and</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Access to a wide variety of complementary third-party service providers.</w:t>
      </w:r>
    </w:p>
    <w:p>
      <w:pPr>
        <w:spacing w:after="0" w:line="247" w:lineRule="exact"/>
        <w:rPr>
          <w:sz w:val="20"/>
          <w:szCs w:val="20"/>
          <w:color w:val="auto"/>
        </w:rPr>
      </w:pPr>
    </w:p>
    <w:p>
      <w:pPr>
        <w:ind w:right="180" w:firstLine="698"/>
        <w:spacing w:after="0" w:line="274" w:lineRule="auto"/>
        <w:rPr>
          <w:sz w:val="20"/>
          <w:szCs w:val="20"/>
          <w:color w:val="auto"/>
        </w:rPr>
      </w:pPr>
      <w:r>
        <w:rPr>
          <w:rFonts w:ascii="Times New Roman" w:cs="Times New Roman" w:eastAsia="Times New Roman" w:hAnsi="Times New Roman"/>
          <w:sz w:val="19"/>
          <w:szCs w:val="19"/>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ectPr>
          <w:pgSz w:w="11880" w:h="15480" w:orient="portrait"/>
          <w:cols w:equalWidth="0" w:num="1">
            <w:col w:w="9600"/>
          </w:cols>
          <w:pgMar w:left="1140" w:top="872" w:right="114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9"/>
          <w:szCs w:val="19"/>
          <w:b w:val="1"/>
          <w:bCs w:val="1"/>
          <w:color w:val="auto"/>
        </w:rPr>
        <w:t>Research and Development</w:t>
      </w:r>
    </w:p>
    <w:p>
      <w:pPr>
        <w:spacing w:after="0" w:line="254"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We invest heavily in research and development to continuously introduce new modules, technologies, features and functionality. We are organized into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88" w:lineRule="exact"/>
        <w:rPr>
          <w:sz w:val="20"/>
          <w:szCs w:val="20"/>
          <w:color w:val="auto"/>
        </w:rPr>
      </w:pPr>
    </w:p>
    <w:p>
      <w:pPr>
        <w:ind w:right="320" w:firstLine="698"/>
        <w:spacing w:after="0" w:line="293" w:lineRule="auto"/>
        <w:rPr>
          <w:sz w:val="20"/>
          <w:szCs w:val="20"/>
          <w:color w:val="auto"/>
        </w:rPr>
      </w:pPr>
      <w:r>
        <w:rPr>
          <w:rFonts w:ascii="Times New Roman" w:cs="Times New Roman" w:eastAsia="Times New Roman" w:hAnsi="Times New Roman"/>
          <w:sz w:val="19"/>
          <w:szCs w:val="19"/>
          <w:color w:val="auto"/>
        </w:rPr>
        <w:t>Research and development costs, including research and development costs that were capitalized, were $253.9 million, $281.7 million and $303.2 million for the years ended June 30, 2024, 2025 and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54" w:lineRule="exact"/>
        <w:rPr>
          <w:sz w:val="20"/>
          <w:szCs w:val="20"/>
          <w:color w:val="auto"/>
        </w:rPr>
      </w:pPr>
    </w:p>
    <w:p>
      <w:pPr>
        <w:ind w:right="80" w:firstLine="698"/>
        <w:spacing w:after="0" w:line="260" w:lineRule="auto"/>
        <w:rPr>
          <w:sz w:val="20"/>
          <w:szCs w:val="20"/>
          <w:color w:val="auto"/>
        </w:rPr>
      </w:pPr>
      <w:r>
        <w:rPr>
          <w:rFonts w:ascii="Times New Roman" w:cs="Times New Roman" w:eastAsia="Times New Roman" w:hAnsi="Times New Roman"/>
          <w:sz w:val="19"/>
          <w:szCs w:val="19"/>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the most essential means to establishing and maintaining our technology leadership position.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Governmental Regulation</w:t>
      </w:r>
    </w:p>
    <w:p>
      <w:pPr>
        <w:spacing w:after="0" w:line="254" w:lineRule="exact"/>
        <w:rPr>
          <w:sz w:val="20"/>
          <w:szCs w:val="20"/>
          <w:color w:val="auto"/>
        </w:rPr>
      </w:pPr>
    </w:p>
    <w:p>
      <w:pPr>
        <w:ind w:right="20" w:firstLine="698"/>
        <w:spacing w:after="0" w:line="259" w:lineRule="auto"/>
        <w:rPr>
          <w:sz w:val="20"/>
          <w:szCs w:val="20"/>
          <w:color w:val="auto"/>
        </w:rPr>
      </w:pPr>
      <w:r>
        <w:rPr>
          <w:rFonts w:ascii="Times New Roman" w:cs="Times New Roman" w:eastAsia="Times New Roman" w:hAnsi="Times New Roman"/>
          <w:sz w:val="19"/>
          <w:szCs w:val="19"/>
          <w:color w:val="auto"/>
        </w:rPr>
        <w:t>As a leading cloud-based provider of HCM, finance and IT software solutions, our platform contains a significant amount of sensitive data related to clients, employees of our clients, business partners and our employees. Data privacy represents a major risk for organizations globally, including those in the United States. The global regulatory landscape for data privacy is rapidly evolving and is expected to continue doing so for the foreseeable future. 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and the Illinois Biometric Information Privacy Act (“BIPA”). Because we and some of our clients have international operations and employees, the European Union General Data Protection Regulation (“GDPR”) and other international data privacy laws may also impact certain aspects of our processing of client and employee information.</w:t>
      </w:r>
    </w:p>
    <w:p>
      <w:pPr>
        <w:spacing w:after="0" w:line="200" w:lineRule="exact"/>
        <w:rPr>
          <w:sz w:val="20"/>
          <w:szCs w:val="20"/>
          <w:color w:val="auto"/>
        </w:rPr>
      </w:pPr>
    </w:p>
    <w:p>
      <w:pPr>
        <w:ind w:right="40" w:firstLine="698"/>
        <w:spacing w:after="0" w:line="259" w:lineRule="auto"/>
        <w:rPr>
          <w:sz w:val="20"/>
          <w:szCs w:val="20"/>
          <w:color w:val="auto"/>
        </w:rPr>
      </w:pPr>
      <w:r>
        <w:rPr>
          <w:rFonts w:ascii="Times New Roman" w:cs="Times New Roman" w:eastAsia="Times New Roman" w:hAnsi="Times New Roman"/>
          <w:sz w:val="19"/>
          <w:szCs w:val="19"/>
          <w:color w:val="auto"/>
        </w:rPr>
        <w:t>Many of our solutions are designed to help clients in complying with applicable U.S. federal, state and local laws and regulations. Consequently, our products and services may be subject to increasing and evolving regulatory requirements, including those related to tax, benefits and other laws. As these requirements proliferate, we may be required to modify our products and services to maintain compliance. These regulatory changes could reduce or eliminate the need for some of our products and services, hinder our development of new products and services or adversely affect the functionality and acceptance of our solutions. This could, in turn, impose additional costs to comply, modify or further develop our products and services. Additionally, it could also increase the costs or time needed to introduce new products and services or even prevent their introduction altogether. For example, the adoption of new money transmitter or money services business statutes in jurisdictions, or changes in regulators’ interpretation of statutes, could require us to register, obtain licenses or limit our business activities until we secure the appropriate licenses.</w:t>
      </w:r>
    </w:p>
    <w:p>
      <w:pPr>
        <w:spacing w:after="0" w:line="203" w:lineRule="exact"/>
        <w:rPr>
          <w:sz w:val="20"/>
          <w:szCs w:val="20"/>
          <w:color w:val="auto"/>
        </w:rPr>
      </w:pPr>
    </w:p>
    <w:p>
      <w:pPr>
        <w:ind w:right="20" w:firstLine="698"/>
        <w:spacing w:after="0" w:line="263" w:lineRule="auto"/>
        <w:rPr>
          <w:sz w:val="20"/>
          <w:szCs w:val="20"/>
          <w:color w:val="auto"/>
        </w:rPr>
      </w:pPr>
      <w:r>
        <w:rPr>
          <w:rFonts w:ascii="Times New Roman" w:cs="Times New Roman" w:eastAsia="Times New Roman" w:hAnsi="Times New Roman"/>
          <w:sz w:val="19"/>
          <w:szCs w:val="19"/>
          <w:color w:val="auto"/>
        </w:rPr>
        <w:t>Our ability to comply with and address these evolving requirements and regulations applicable to our business depends on several factors, including the functionality and design of our solutions and how our clients and their employees use them. We have implemented established frameworks and policies and procedures to protect the accuracy, privacy and security of the information we handle for our employees and on behalf of our clients and their employees. Additionally, we voluntarily undergo periodic audits and examinations and maintain certain certifications to demonstrate our commitment to regulatory compliance.</w:t>
      </w:r>
    </w:p>
    <w:p>
      <w:pPr>
        <w:spacing w:after="0" w:line="193"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The foregoing description does not provide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sectPr>
          <w:pgSz w:w="11880" w:h="15480" w:orient="portrait"/>
          <w:cols w:equalWidth="0" w:num="1">
            <w:col w:w="9580"/>
          </w:cols>
          <w:pgMar w:left="1140" w:top="865" w:right="116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580"/>
          </w:cols>
          <w:pgMar w:left="1140" w:top="865" w:right="11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9"/>
          <w:szCs w:val="19"/>
          <w:b w:val="1"/>
          <w:bCs w:val="1"/>
          <w:color w:val="auto"/>
        </w:rPr>
        <w:t>Human Capital</w:t>
      </w:r>
    </w:p>
    <w:p>
      <w:pPr>
        <w:spacing w:after="0" w:line="254"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As a leading cloud-based provider of HCM, finance and IT software solutions, we are committed to delivering the most modern suite of solutions that drive employee engagement and a more connected culture for both our clients and our employees. Our senior executive team, together with our board of directors, drives our human capital strategy, which includes key initiatives related to our employees and company culture.</w:t>
      </w:r>
    </w:p>
    <w:p>
      <w:pPr>
        <w:spacing w:after="0" w:line="188" w:lineRule="exact"/>
        <w:rPr>
          <w:sz w:val="20"/>
          <w:szCs w:val="20"/>
          <w:color w:val="auto"/>
        </w:rPr>
      </w:pPr>
    </w:p>
    <w:p>
      <w:pPr>
        <w:ind w:right="100" w:firstLine="698"/>
        <w:spacing w:after="0" w:line="293" w:lineRule="auto"/>
        <w:rPr>
          <w:sz w:val="20"/>
          <w:szCs w:val="20"/>
          <w:color w:val="auto"/>
        </w:rPr>
      </w:pPr>
      <w:r>
        <w:rPr>
          <w:rFonts w:ascii="Times New Roman" w:cs="Times New Roman" w:eastAsia="Times New Roman" w:hAnsi="Times New Roman"/>
          <w:sz w:val="19"/>
          <w:szCs w:val="19"/>
          <w:color w:val="auto"/>
        </w:rPr>
        <w:t>As of June 30, 2026, our workforce consisted of approximately 6,900 employees, substantially all of which were located in the United States and employed on a full-time basis.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Culture &amp; Engagement</w:t>
      </w:r>
    </w:p>
    <w:p>
      <w:pPr>
        <w:spacing w:after="0" w:line="254" w:lineRule="exact"/>
        <w:rPr>
          <w:sz w:val="20"/>
          <w:szCs w:val="20"/>
          <w:color w:val="auto"/>
        </w:rPr>
      </w:pPr>
    </w:p>
    <w:p>
      <w:pPr>
        <w:ind w:right="20" w:firstLine="698"/>
        <w:spacing w:after="0" w:line="262" w:lineRule="auto"/>
        <w:rPr>
          <w:sz w:val="20"/>
          <w:szCs w:val="20"/>
          <w:color w:val="auto"/>
        </w:rPr>
      </w:pPr>
      <w:r>
        <w:rPr>
          <w:rFonts w:ascii="Times New Roman" w:cs="Times New Roman" w:eastAsia="Times New Roman" w:hAnsi="Times New Roman"/>
          <w:sz w:val="19"/>
          <w:szCs w:val="19"/>
          <w:color w:val="auto"/>
        </w:rPr>
        <w:t>At Paylocity, we strive to be an organization where every employee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Newsweek Greatest Workplaces for Parents &amp; Families 2026, Time America’s Top WorkTech Companies 2026 and was also Great Place To Work certified for several consecutive years.</w:t>
      </w:r>
    </w:p>
    <w:p>
      <w:pPr>
        <w:spacing w:after="0" w:line="193" w:lineRule="exact"/>
        <w:rPr>
          <w:sz w:val="20"/>
          <w:szCs w:val="20"/>
          <w:color w:val="auto"/>
        </w:rPr>
      </w:pPr>
    </w:p>
    <w:p>
      <w:pPr>
        <w:jc w:val="both"/>
        <w:ind w:right="120" w:firstLine="698"/>
        <w:spacing w:after="0" w:line="268" w:lineRule="auto"/>
        <w:rPr>
          <w:sz w:val="20"/>
          <w:szCs w:val="20"/>
          <w:color w:val="auto"/>
        </w:rPr>
      </w:pPr>
      <w:r>
        <w:rPr>
          <w:rFonts w:ascii="Times New Roman" w:cs="Times New Roman" w:eastAsia="Times New Roman" w:hAnsi="Times New Roman"/>
          <w:sz w:val="19"/>
          <w:szCs w:val="19"/>
          <w:color w:val="auto"/>
        </w:rPr>
        <w:t>We also support a number of employee resource groups (“ERGs”), including PCTY Equality, PCTY OneWorld, PCTY Sheroes, PCTY Sustainability, and PCTY Mental Health. Each of these groups is organized to give employees the chance to build community and connections, voice their ideas and perspectives, personally develop and grow, and shape our culture to make a difference at work and in our local communities.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Learning &amp; Development</w:t>
      </w:r>
    </w:p>
    <w:p>
      <w:pPr>
        <w:spacing w:after="0" w:line="254" w:lineRule="exact"/>
        <w:rPr>
          <w:sz w:val="20"/>
          <w:szCs w:val="20"/>
          <w:color w:val="auto"/>
        </w:rPr>
      </w:pPr>
    </w:p>
    <w:p>
      <w:pPr>
        <w:ind w:right="180" w:firstLine="698"/>
        <w:spacing w:after="0" w:line="260" w:lineRule="auto"/>
        <w:rPr>
          <w:sz w:val="20"/>
          <w:szCs w:val="20"/>
          <w:color w:val="auto"/>
        </w:rPr>
      </w:pPr>
      <w:r>
        <w:rPr>
          <w:rFonts w:ascii="Times New Roman" w:cs="Times New Roman" w:eastAsia="Times New Roman" w:hAnsi="Times New Roman"/>
          <w:sz w:val="19"/>
          <w:szCs w:val="19"/>
          <w:color w:val="auto"/>
        </w:rPr>
        <w:t>We are committed to fostering employee growth and career development through upskilling, development experiences, and networking opportunities. By providing employees with the tools, resources, and support needed to advance their careers, we seek to foster engagement, build skills and expertise, and support the long-term success of our organization. We invest in employee development through a variety of training programs, including role-specific development initiatives for operations team members, sales training programs, and leadership development programs for new and first-time managers. These programs are designed to build technical, professional, and leadership capabilities, with training in areas such as coaching, performance management, employee relations, and compliance-related responsibilities. These development programs, combined with our strong culture, increasingly results in our employees stepping into larger roles within the organization.</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Talent Acquisition &amp; Compensation</w:t>
      </w:r>
    </w:p>
    <w:p>
      <w:pPr>
        <w:spacing w:after="0" w:line="254"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We focus on attracting, developing and retaining talent that supports our short and long-term goals as an organization. Our "talent anywhere" approach enables us to recruit qualified employees regardless of geographic location. We seek individuals who align with our values, demonstrate a commitment to learning and development, and contribute perspectives that support innovation and business performance.</w:t>
      </w:r>
    </w:p>
    <w:p>
      <w:pPr>
        <w:spacing w:after="0" w:line="188" w:lineRule="exact"/>
        <w:rPr>
          <w:sz w:val="20"/>
          <w:szCs w:val="20"/>
          <w:color w:val="auto"/>
        </w:rPr>
      </w:pPr>
    </w:p>
    <w:p>
      <w:pPr>
        <w:ind w:right="100" w:firstLine="698"/>
        <w:spacing w:after="0" w:line="265" w:lineRule="auto"/>
        <w:rPr>
          <w:sz w:val="20"/>
          <w:szCs w:val="20"/>
          <w:color w:val="auto"/>
        </w:rPr>
      </w:pPr>
      <w:r>
        <w:rPr>
          <w:rFonts w:ascii="Times New Roman" w:cs="Times New Roman" w:eastAsia="Times New Roman" w:hAnsi="Times New Roman"/>
          <w:sz w:val="19"/>
          <w:szCs w:val="19"/>
          <w:color w:val="auto"/>
        </w:rPr>
        <w:t>Our compensation philosophy is designed to attract and retain talent through competitive, equitable, and market-based compensation programs. Total rewards include base compensation, equity-based awards, an employee stock purchase program, retirement benefits, paid time off, and many other employee benefits. We also provide employees with access to earned wages before the end of the payroll cycle through our On Demand Payment product, as well as financial wellness resources. We utilize market data and industry benchmarking to help inform our compensation practices.</w:t>
      </w:r>
    </w:p>
    <w:p>
      <w:pPr>
        <w:spacing w:after="0" w:line="191"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We are also committed to supporting the health and well-being of our employees through a broad range of benefit programs and resources. In addition to traditional health and welfare benefits, we also offer employees benefits such as paid parental leave, adoption assistance, health advocacy services, volunteer time off, tuition reimbursement, mental health support, fertility treatment, family planning services and many others.</w:t>
      </w:r>
    </w:p>
    <w:p>
      <w:pPr>
        <w:sectPr>
          <w:pgSz w:w="11880" w:h="15480" w:orient="portrait"/>
          <w:cols w:equalWidth="0" w:num="1">
            <w:col w:w="9540"/>
          </w:cols>
          <w:pgMar w:left="1140" w:top="865"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540"/>
          </w:cols>
          <w:pgMar w:left="1140" w:top="865" w:right="1200" w:bottom="0" w:gutter="0" w:footer="0" w:header="0"/>
          <w:type w:val="continuous"/>
        </w:sectPr>
      </w:pPr>
    </w:p>
    <w:bookmarkStart w:id="23" w:name="page24"/>
    <w:bookmarkEnd w:id="23"/>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PCTY Gives</w:t>
      </w:r>
    </w:p>
    <w:p>
      <w:pPr>
        <w:spacing w:after="0" w:line="254" w:lineRule="exact"/>
        <w:rPr>
          <w:sz w:val="20"/>
          <w:szCs w:val="20"/>
          <w:color w:val="auto"/>
        </w:rPr>
      </w:pPr>
    </w:p>
    <w:p>
      <w:pPr>
        <w:ind w:right="180" w:firstLine="698"/>
        <w:spacing w:after="0" w:line="263" w:lineRule="auto"/>
        <w:rPr>
          <w:sz w:val="20"/>
          <w:szCs w:val="20"/>
          <w:color w:val="auto"/>
        </w:rPr>
      </w:pPr>
      <w:r>
        <w:rPr>
          <w:rFonts w:ascii="Times New Roman" w:cs="Times New Roman" w:eastAsia="Times New Roman" w:hAnsi="Times New Roman"/>
          <w:sz w:val="19"/>
          <w:szCs w:val="19"/>
          <w:color w:val="auto"/>
        </w:rPr>
        <w:t>Through our PCTY Gives program, we support charitable organizations and communities through employee volunteerism, charitable contributions, grant programs, and other community-focused initiatives. Our Elevate Your Passions program provides donations to nonprofit organizations nominated by employees. In addition to supporting local charities, we partner with national organizations, including Girls Who Code, the American Red Cross, and the National Alliance on Mental Illness. To support the dependents of Paylocity employees, the Peter J. McGrail Scholarship Program provides higher education tuition assistance for selected recipients.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54"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Our Internet address is www.paylocity.com and our investor relations website is located at http:// 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an Internet site, www.sec.gov, that includes filings of and information about issuers that file electronically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52" w:lineRule="exact"/>
        <w:rPr>
          <w:sz w:val="20"/>
          <w:szCs w:val="20"/>
          <w:color w:val="auto"/>
        </w:rPr>
      </w:pPr>
    </w:p>
    <w:p>
      <w:pPr>
        <w:ind w:right="40" w:firstLine="698"/>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business, growth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Risks Related to our Business and Industry</w:t>
      </w:r>
    </w:p>
    <w:p>
      <w:pPr>
        <w:spacing w:after="0" w:line="247"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quarterly operating results have fluctuated in the past and may continue to fluctuate due to a variety of factors, many of which are outside of our control.</w:t>
      </w:r>
    </w:p>
    <w:p>
      <w:pPr>
        <w:spacing w:after="0" w:line="165" w:lineRule="exact"/>
        <w:rPr>
          <w:sz w:val="20"/>
          <w:szCs w:val="20"/>
          <w:color w:val="auto"/>
        </w:rPr>
      </w:pPr>
    </w:p>
    <w:p>
      <w:pPr>
        <w:ind w:firstLine="698"/>
        <w:spacing w:after="0" w:line="261" w:lineRule="auto"/>
        <w:rPr>
          <w:sz w:val="20"/>
          <w:szCs w:val="20"/>
          <w:color w:val="auto"/>
        </w:rPr>
      </w:pPr>
      <w:r>
        <w:rPr>
          <w:rFonts w:ascii="Times New Roman" w:cs="Times New Roman" w:eastAsia="Times New Roman" w:hAnsi="Times New Roman"/>
          <w:sz w:val="19"/>
          <w:szCs w:val="19"/>
          <w:color w:val="auto"/>
        </w:rPr>
        <w:t>Our quarterly operating results, including our revenues, operating income, and cash flow, have fluctuated and may continue to fluctuate in the future due to a variety of factors, many of which are outside of our control. Additionally, 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Accordingly, quarter-to-quarter comparisons of our operations are not necessarily meaningful and such comparisons should not be relied upon as indications of future performance.</w:t>
      </w:r>
    </w:p>
    <w:p>
      <w:pPr>
        <w:spacing w:after="0" w:line="194" w:lineRule="exact"/>
        <w:rPr>
          <w:sz w:val="20"/>
          <w:szCs w:val="20"/>
          <w:color w:val="auto"/>
        </w:rPr>
      </w:pPr>
    </w:p>
    <w:p>
      <w:pPr>
        <w:ind w:right="400" w:firstLine="698"/>
        <w:spacing w:after="0" w:line="293" w:lineRule="auto"/>
        <w:rPr>
          <w:sz w:val="20"/>
          <w:szCs w:val="20"/>
          <w:color w:val="auto"/>
        </w:rPr>
      </w:pPr>
      <w:r>
        <w:rPr>
          <w:rFonts w:ascii="Times New Roman" w:cs="Times New Roman" w:eastAsia="Times New Roman" w:hAnsi="Times New Roman"/>
          <w:sz w:val="19"/>
          <w:szCs w:val="19"/>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165" w:lineRule="exact"/>
        <w:rPr>
          <w:sz w:val="20"/>
          <w:szCs w:val="20"/>
          <w:color w:val="auto"/>
        </w:rPr>
      </w:pPr>
    </w:p>
    <w:p>
      <w:pPr>
        <w:ind w:left="1400" w:hanging="356"/>
        <w:spacing w:after="0"/>
        <w:tabs>
          <w:tab w:leader="none" w:pos="140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number of our clients’ employees;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Client renewal rates;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extent to which our products achieve or maintain market acceptance;</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Changes in client budgets and procurement policies;</w:t>
      </w:r>
    </w:p>
    <w:p>
      <w:pPr>
        <w:spacing w:after="0" w:line="247" w:lineRule="exact"/>
        <w:rPr>
          <w:rFonts w:ascii="Times New Roman" w:cs="Times New Roman" w:eastAsia="Times New Roman" w:hAnsi="Times New Roman"/>
          <w:sz w:val="19"/>
          <w:szCs w:val="19"/>
          <w:b w:val="1"/>
          <w:bCs w:val="1"/>
          <w:color w:val="auto"/>
        </w:rPr>
      </w:pPr>
    </w:p>
    <w:p>
      <w:pPr>
        <w:ind w:left="1400" w:right="540" w:hanging="356"/>
        <w:spacing w:after="0" w:line="293" w:lineRule="auto"/>
        <w:tabs>
          <w:tab w:leader="none" w:pos="140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amount and timing of our investment in research and development activities and whether such investments are capitalized or expensed as incurred;</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Business disruptions caused by public health issues, natural disasters or other catastrophic events;</w:t>
      </w:r>
    </w:p>
    <w:p>
      <w:pPr>
        <w:sectPr>
          <w:pgSz w:w="11880" w:h="15480" w:orient="portrait"/>
          <w:cols w:equalWidth="0" w:num="1">
            <w:col w:w="9580"/>
          </w:cols>
          <w:pgMar w:left="1140" w:top="86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580"/>
          </w:cols>
          <w:pgMar w:left="1140" w:top="865" w:right="1160" w:bottom="0" w:gutter="0" w:footer="0" w:header="0"/>
          <w:type w:val="continuous"/>
        </w:sectPr>
      </w:pPr>
    </w:p>
    <w:bookmarkStart w:id="24" w:name="page25"/>
    <w:bookmarkEnd w:id="24"/>
    <w:p>
      <w:pPr>
        <w:ind w:left="1400" w:right="560" w:hanging="356"/>
        <w:spacing w:after="0" w:line="293" w:lineRule="auto"/>
        <w:tabs>
          <w:tab w:leader="none" w:pos="1400"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Macroeconomic factors, including changes in interest rates, inflationary pressures, and uncertainty around tariffs and trade policies; and</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Unforeseen legal expenses, including litigation and settlement costs.</w:t>
      </w:r>
    </w:p>
    <w:p>
      <w:pPr>
        <w:spacing w:after="0" w:line="247" w:lineRule="exact"/>
        <w:rPr>
          <w:sz w:val="20"/>
          <w:szCs w:val="20"/>
          <w:color w:val="auto"/>
        </w:rPr>
      </w:pPr>
    </w:p>
    <w:p>
      <w:pPr>
        <w:ind w:right="200" w:firstLine="698"/>
        <w:spacing w:after="0" w:line="268" w:lineRule="auto"/>
        <w:rPr>
          <w:sz w:val="20"/>
          <w:szCs w:val="20"/>
          <w:color w:val="auto"/>
        </w:rPr>
      </w:pPr>
      <w:r>
        <w:rPr>
          <w:rFonts w:ascii="Times New Roman" w:cs="Times New Roman" w:eastAsia="Times New Roman" w:hAnsi="Times New Roman"/>
          <w:sz w:val="19"/>
          <w:szCs w:val="19"/>
          <w:color w:val="auto"/>
        </w:rPr>
        <w:t>Moreover, a significant portion of our operating expenses are related to compensation and other items which are relatively fixed in the short term, and we plan expenditures based in part on our expectations regarding future needs and opportunities. Changes in our business or revenue shortfalls could decrease our gross and operating margins and could negatively impact our operating results from period to period.</w:t>
      </w:r>
    </w:p>
    <w:p>
      <w:pPr>
        <w:spacing w:after="0" w:line="181"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65" w:lineRule="exact"/>
        <w:rPr>
          <w:sz w:val="20"/>
          <w:szCs w:val="20"/>
          <w:color w:val="auto"/>
        </w:rPr>
      </w:pPr>
    </w:p>
    <w:p>
      <w:pPr>
        <w:ind w:firstLine="698"/>
        <w:spacing w:after="0" w:line="259" w:lineRule="auto"/>
        <w:rPr>
          <w:sz w:val="20"/>
          <w:szCs w:val="20"/>
          <w:color w:val="auto"/>
        </w:rPr>
      </w:pPr>
      <w:r>
        <w:rPr>
          <w:rFonts w:ascii="Times New Roman" w:cs="Times New Roman" w:eastAsia="Times New Roman" w:hAnsi="Times New Roman"/>
          <w:sz w:val="19"/>
          <w:szCs w:val="19"/>
          <w:color w:val="auto"/>
        </w:rPr>
        <w:t>The market for our solutions is characterized by rapid technological advancements, including but not limited to artificial intelligence (“AI”) and machine learning,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 New technologies that involve AI or machine learning or that are created using AI or machine learning may emerge that are able to deliver solutions at lower prices, more efficiently or more conveniently than our solutions, which could adversely impact our ability to compete. Additionally, if new technologies used in our products fail to operate as expected, or if products utilizing generative AI are trained on inaccurate, biased or misleading data or generate unreliable outputs, the reliability, transparency, or accuracy of our products could be impacted, which may result in customer dissatisfaction, reputational harm or litigation.</w:t>
      </w:r>
    </w:p>
    <w:p>
      <w:pPr>
        <w:spacing w:after="0" w:line="200" w:lineRule="exact"/>
        <w:rPr>
          <w:sz w:val="20"/>
          <w:szCs w:val="20"/>
          <w:color w:val="auto"/>
        </w:rPr>
      </w:pPr>
    </w:p>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186"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65" w:lineRule="exact"/>
        <w:rPr>
          <w:sz w:val="20"/>
          <w:szCs w:val="20"/>
          <w:color w:val="auto"/>
        </w:rPr>
      </w:pPr>
    </w:p>
    <w:p>
      <w:pPr>
        <w:ind w:right="20" w:firstLine="698"/>
        <w:spacing w:after="0" w:line="259" w:lineRule="auto"/>
        <w:rPr>
          <w:sz w:val="20"/>
          <w:szCs w:val="20"/>
          <w:color w:val="auto"/>
        </w:rPr>
      </w:pPr>
      <w:r>
        <w:rPr>
          <w:rFonts w:ascii="Times New Roman" w:cs="Times New Roman" w:eastAsia="Times New Roman" w:hAnsi="Times New Roman"/>
          <w:sz w:val="19"/>
          <w:szCs w:val="19"/>
          <w:color w:val="auto"/>
        </w:rPr>
        <w:t>We have experienced revenue and client base growth and intend to pursue continued growth as part of our business strategy.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HR consultants and accountants,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9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markets in which we participate are highly competitive, and if we do not compete effectively, our operating results could be adversely affected.</w:t>
      </w:r>
    </w:p>
    <w:p>
      <w:pPr>
        <w:spacing w:after="0" w:line="165" w:lineRule="exact"/>
        <w:rPr>
          <w:sz w:val="20"/>
          <w:szCs w:val="20"/>
          <w:color w:val="auto"/>
        </w:rPr>
      </w:pPr>
    </w:p>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The market for HCM and payroll solutions is fragmented, highly competitive and rapidly changing. Our competitors vary for each of our solutions and primarily include payroll and HR service and software providers, such as Automatic Data Processing, Inc., Dayforce, Inc., Paychex, Inc., Paycom Software, Inc., Ultimate Kronos Group and other local and regional providers.</w:t>
      </w:r>
    </w:p>
    <w:p>
      <w:pPr>
        <w:spacing w:after="0" w:line="188" w:lineRule="exact"/>
        <w:rPr>
          <w:sz w:val="20"/>
          <w:szCs w:val="20"/>
          <w:color w:val="auto"/>
        </w:rPr>
      </w:pPr>
    </w:p>
    <w:p>
      <w:pPr>
        <w:ind w:right="920" w:firstLine="698"/>
        <w:spacing w:after="0" w:line="293" w:lineRule="auto"/>
        <w:rPr>
          <w:sz w:val="20"/>
          <w:szCs w:val="20"/>
          <w:color w:val="auto"/>
        </w:rPr>
      </w:pPr>
      <w:r>
        <w:rPr>
          <w:rFonts w:ascii="Times New Roman" w:cs="Times New Roman" w:eastAsia="Times New Roman" w:hAnsi="Times New Roman"/>
          <w:sz w:val="19"/>
          <w:szCs w:val="19"/>
          <w:color w:val="auto"/>
        </w:rPr>
        <w:t>Several of our competitors are larger and have greater name recognition, longer operating histories and significantly greater resources than we do. Many of these competitors are able to devote greater resources to the</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600"/>
          </w:cols>
          <w:pgMar w:left="1140" w:top="872" w:right="1140" w:bottom="0" w:gutter="0" w:footer="0" w:header="0"/>
          <w:type w:val="continuous"/>
        </w:sectPr>
      </w:pPr>
    </w:p>
    <w:bookmarkStart w:id="25" w:name="page26"/>
    <w:bookmarkEnd w:id="25"/>
    <w:p>
      <w:pPr>
        <w:ind w:right="120"/>
        <w:spacing w:after="0" w:line="263" w:lineRule="auto"/>
        <w:rPr>
          <w:sz w:val="20"/>
          <w:szCs w:val="20"/>
          <w:color w:val="auto"/>
        </w:rPr>
      </w:pPr>
      <w:r>
        <w:rPr>
          <w:rFonts w:ascii="Times New Roman" w:cs="Times New Roman" w:eastAsia="Times New Roman" w:hAnsi="Times New Roman"/>
          <w:sz w:val="19"/>
          <w:szCs w:val="19"/>
          <w:color w:val="auto"/>
        </w:rPr>
        <w:t>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such as AI or machine learning, regulations or client requirements.</w:t>
      </w:r>
    </w:p>
    <w:p>
      <w:pPr>
        <w:spacing w:after="0" w:line="193" w:lineRule="exact"/>
        <w:rPr>
          <w:sz w:val="20"/>
          <w:szCs w:val="20"/>
          <w:color w:val="auto"/>
        </w:rPr>
      </w:pPr>
    </w:p>
    <w:p>
      <w:pPr>
        <w:ind w:right="100" w:firstLine="698"/>
        <w:spacing w:after="0" w:line="261" w:lineRule="auto"/>
        <w:rPr>
          <w:sz w:val="20"/>
          <w:szCs w:val="20"/>
          <w:color w:val="auto"/>
        </w:rPr>
      </w:pPr>
      <w:r>
        <w:rPr>
          <w:rFonts w:ascii="Times New Roman" w:cs="Times New Roman" w:eastAsia="Times New Roman" w:hAnsi="Times New Roman"/>
          <w:sz w:val="19"/>
          <w:szCs w:val="19"/>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factors, current or potential clients might accept competitive offerings in lieu of purchasing our offerings. We expect competition to continue for these reasons, and such competition could negatively impact our sales, profitability or market share.</w:t>
      </w:r>
    </w:p>
    <w:p>
      <w:pPr>
        <w:spacing w:after="0" w:line="187"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65" w:lineRule="exact"/>
        <w:rPr>
          <w:sz w:val="20"/>
          <w:szCs w:val="20"/>
          <w:color w:val="auto"/>
        </w:rPr>
      </w:pPr>
    </w:p>
    <w:p>
      <w:pPr>
        <w:ind w:right="40" w:firstLine="698"/>
        <w:spacing w:after="0" w:line="259" w:lineRule="auto"/>
        <w:rPr>
          <w:sz w:val="20"/>
          <w:szCs w:val="20"/>
          <w:color w:val="auto"/>
        </w:rPr>
      </w:pPr>
      <w:r>
        <w:rPr>
          <w:rFonts w:ascii="Times New Roman" w:cs="Times New Roman" w:eastAsia="Times New Roman" w:hAnsi="Times New Roman"/>
          <w:sz w:val="19"/>
          <w:szCs w:val="19"/>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have in the past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quickly identify the cause or causes of these performance problems. If we do not accurately predict our infrastructure requirements, our existing clients may experience service outages that may subject us to financial penalties, financial liabilities and client losses and adversely affect our reputation.</w:t>
      </w:r>
    </w:p>
    <w:p>
      <w:pPr>
        <w:spacing w:after="0" w:line="200" w:lineRule="exact"/>
        <w:rPr>
          <w:sz w:val="20"/>
          <w:szCs w:val="20"/>
          <w:color w:val="auto"/>
        </w:rPr>
      </w:pPr>
    </w:p>
    <w:p>
      <w:pPr>
        <w:ind w:right="20" w:firstLine="698"/>
        <w:spacing w:after="0" w:line="261" w:lineRule="auto"/>
        <w:rPr>
          <w:sz w:val="20"/>
          <w:szCs w:val="20"/>
          <w:color w:val="auto"/>
        </w:rPr>
      </w:pPr>
      <w:r>
        <w:rPr>
          <w:rFonts w:ascii="Times New Roman" w:cs="Times New Roman" w:eastAsia="Times New Roman" w:hAnsi="Times New Roman"/>
          <w:sz w:val="19"/>
          <w:szCs w:val="19"/>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 In the event of a catastrophic event with respect to one or more of our systems, we may experience an extended period of system unavailability, which could negatively impact our relationship with clients.</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To operate without interruption, both we and our clients must guard against:</w:t>
      </w:r>
    </w:p>
    <w:p>
      <w:pPr>
        <w:spacing w:after="0" w:line="247" w:lineRule="exact"/>
        <w:rPr>
          <w:sz w:val="20"/>
          <w:szCs w:val="20"/>
          <w:color w:val="auto"/>
        </w:rPr>
      </w:pPr>
    </w:p>
    <w:p>
      <w:pPr>
        <w:ind w:left="1400" w:right="220" w:hanging="356"/>
        <w:spacing w:after="0" w:line="293" w:lineRule="auto"/>
        <w:tabs>
          <w:tab w:leader="none" w:pos="140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Damage from fire, power loss, natural disasters, pandemics and other force majeure events outside our control;</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Communications failures;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Software and hardware errors, failures and crashes;</w:t>
      </w:r>
    </w:p>
    <w:p>
      <w:pPr>
        <w:spacing w:after="0" w:line="247" w:lineRule="exact"/>
        <w:rPr>
          <w:rFonts w:ascii="Times New Roman" w:cs="Times New Roman" w:eastAsia="Times New Roman" w:hAnsi="Times New Roman"/>
          <w:sz w:val="19"/>
          <w:szCs w:val="19"/>
          <w:b w:val="1"/>
          <w:bCs w:val="1"/>
          <w:color w:val="auto"/>
        </w:rPr>
      </w:pPr>
    </w:p>
    <w:p>
      <w:pPr>
        <w:ind w:left="1400" w:right="220" w:hanging="356"/>
        <w:spacing w:after="0" w:line="293" w:lineRule="auto"/>
        <w:tabs>
          <w:tab w:leader="none" w:pos="140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Security breaches, computer viruses, hacking, worms, malware, ransomware, denial-of-service attacks and similar disruptive problems; and</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Other potential interruptions.</w:t>
      </w:r>
    </w:p>
    <w:p>
      <w:pPr>
        <w:spacing w:after="0" w:line="247"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w:t>
      </w:r>
    </w:p>
    <w:p>
      <w:pPr>
        <w:sectPr>
          <w:pgSz w:w="11880" w:h="15480" w:orient="portrait"/>
          <w:cols w:equalWidth="0" w:num="1">
            <w:col w:w="9560"/>
          </w:cols>
          <w:pgMar w:left="1140" w:top="872" w:right="118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560"/>
          </w:cols>
          <w:pgMar w:left="1140" w:top="872" w:right="1180" w:bottom="0" w:gutter="0" w:footer="0" w:header="0"/>
          <w:type w:val="continuous"/>
        </w:sectPr>
      </w:pPr>
    </w:p>
    <w:bookmarkStart w:id="26" w:name="page27"/>
    <w:bookmarkEnd w:id="26"/>
    <w:p>
      <w:pPr>
        <w:ind w:right="40"/>
        <w:spacing w:after="0" w:line="262" w:lineRule="auto"/>
        <w:rPr>
          <w:sz w:val="20"/>
          <w:szCs w:val="20"/>
          <w:color w:val="auto"/>
        </w:rPr>
      </w:pPr>
      <w:r>
        <w:rPr>
          <w:rFonts w:ascii="Times New Roman" w:cs="Times New Roman" w:eastAsia="Times New Roman" w:hAnsi="Times New Roman"/>
          <w:sz w:val="19"/>
          <w:szCs w:val="19"/>
          <w:color w:val="auto"/>
        </w:rPr>
        <w:t>contract, or with the systems by which our telecommunications providers allocate capacity among their clients, including us, could adversely affect the availability and processing of our solutions and related services and the experience of our clients. In addition, our data center providers may be unable to keep up with our growing needs for capacity, may implement changes in service levels, may not renew these agreements on commercially reasonable terms, or may be acquired. We may be required to transfer our servers and other infrastructure to new data center facilities, and we may incur costs and experience service interruption in doing so. Interruptions in our services might reduce our revenues, subject us to potential liability or other expenses and adversely affect our reputation.</w:t>
      </w:r>
    </w:p>
    <w:p>
      <w:pPr>
        <w:spacing w:after="0" w:line="18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We typically pay client employees, taxing authorities and vendors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5" w:lineRule="exact"/>
        <w:rPr>
          <w:sz w:val="20"/>
          <w:szCs w:val="20"/>
          <w:color w:val="auto"/>
        </w:rPr>
      </w:pPr>
    </w:p>
    <w:p>
      <w:pPr>
        <w:ind w:right="40" w:firstLine="698"/>
        <w:spacing w:after="0" w:line="259" w:lineRule="auto"/>
        <w:rPr>
          <w:sz w:val="20"/>
          <w:szCs w:val="20"/>
          <w:color w:val="auto"/>
        </w:rPr>
      </w:pPr>
      <w:r>
        <w:rPr>
          <w:rFonts w:ascii="Times New Roman" w:cs="Times New Roman" w:eastAsia="Times New Roman" w:hAnsi="Times New Roman"/>
          <w:sz w:val="19"/>
          <w:szCs w:val="19"/>
          <w:color w:val="auto"/>
        </w:rPr>
        <w:t>Our payroll processing and spend management businesses involve the movement of significant funds from client accounts to its employees, relevant taxing authorities and vendors. Although we debit a client’s account prior to any disbursement on its behalf, due to Automated Clearing House, or ACH, banking regulations, funds previously credited could be reversed under certain circumstances and timeframes after our payment of amounts are due. There is therefore a risk that the client’s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business could be negatively impacted by disruptions in the operations of third-party service providers.</w:t>
      </w:r>
    </w:p>
    <w:p>
      <w:pPr>
        <w:spacing w:after="0" w:line="254" w:lineRule="exact"/>
        <w:rPr>
          <w:sz w:val="20"/>
          <w:szCs w:val="20"/>
          <w:color w:val="auto"/>
        </w:rPr>
      </w:pPr>
    </w:p>
    <w:p>
      <w:pPr>
        <w:jc w:val="both"/>
        <w:ind w:right="80" w:firstLine="698"/>
        <w:spacing w:after="0" w:line="265" w:lineRule="auto"/>
        <w:rPr>
          <w:sz w:val="20"/>
          <w:szCs w:val="20"/>
          <w:color w:val="auto"/>
        </w:rPr>
      </w:pPr>
      <w:r>
        <w:rPr>
          <w:rFonts w:ascii="Times New Roman" w:cs="Times New Roman" w:eastAsia="Times New Roman" w:hAnsi="Times New Roman"/>
          <w:sz w:val="19"/>
          <w:szCs w:val="19"/>
          <w:color w:val="auto"/>
        </w:rPr>
        <w:t>We depend on relationships with certain third-party service providers to operate our business. 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in which we currently do not have operations and as a result may subject us to regulatory, economic and political risks that are different from those in the United States.</w:t>
      </w:r>
    </w:p>
    <w:p>
      <w:pPr>
        <w:spacing w:after="0" w:line="191" w:lineRule="exact"/>
        <w:rPr>
          <w:sz w:val="20"/>
          <w:szCs w:val="20"/>
          <w:color w:val="auto"/>
        </w:rPr>
      </w:pPr>
    </w:p>
    <w:p>
      <w:pPr>
        <w:ind w:firstLine="698"/>
        <w:spacing w:after="0" w:line="259" w:lineRule="auto"/>
        <w:rPr>
          <w:sz w:val="20"/>
          <w:szCs w:val="20"/>
          <w:color w:val="auto"/>
        </w:rPr>
      </w:pPr>
      <w:r>
        <w:rPr>
          <w:rFonts w:ascii="Times New Roman" w:cs="Times New Roman" w:eastAsia="Times New Roman" w:hAnsi="Times New Roman"/>
          <w:sz w:val="19"/>
          <w:szCs w:val="19"/>
          <w:color w:val="auto"/>
        </w:rPr>
        <w:t>We currently have agreements with various major U.S. banks to execute ACH and wire transfers to support our client payroll, benefit, payroll tax and spend management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 or restrict the dollar amounts of funds that they will process on behalf of our clients, their doing so may impede our ability to process funds and could have an adverse impact on our business. We have contingency plans in place in case of any failures of banks to process transfers that may impact our operations. However, a failure of one of our banking partners or a systemic shutdown of the banking industry could result in the loss of client funds or prevent us from accessing and processing funds on our clients’ behalf, which could have an adverse impact on our business and liquidity.</w:t>
      </w:r>
    </w:p>
    <w:p>
      <w:pPr>
        <w:spacing w:after="0" w:line="203"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In addition, we utilize certain third-party software in some of our products. Although we believe there are alternatives for the functionality provided by such software, any significant interruption in its availability, defects or errors in the software, or risks arising from the third party's use of AI technologies, including but not limited to inaccurate, biased, misleading, or unreliable outputs, could adversely affect our products and business unless and until we can replace the functionality provided by such software at a similar cost.</w:t>
      </w:r>
    </w:p>
    <w:p>
      <w:pPr>
        <w:spacing w:after="0" w:line="184" w:lineRule="exact"/>
        <w:rPr>
          <w:sz w:val="20"/>
          <w:szCs w:val="20"/>
          <w:color w:val="auto"/>
        </w:rPr>
      </w:pPr>
    </w:p>
    <w:p>
      <w:pPr>
        <w:jc w:val="both"/>
        <w:ind w:right="32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85" w:lineRule="exact"/>
        <w:rPr>
          <w:sz w:val="20"/>
          <w:szCs w:val="20"/>
          <w:color w:val="auto"/>
        </w:rPr>
      </w:pPr>
    </w:p>
    <w:p>
      <w:pPr>
        <w:ind w:right="160" w:firstLine="698"/>
        <w:spacing w:after="0" w:line="265" w:lineRule="auto"/>
        <w:rPr>
          <w:sz w:val="20"/>
          <w:szCs w:val="20"/>
          <w:color w:val="auto"/>
        </w:rPr>
      </w:pPr>
      <w:r>
        <w:rPr>
          <w:rFonts w:ascii="Times New Roman" w:cs="Times New Roman" w:eastAsia="Times New Roman" w:hAnsi="Times New Roman"/>
          <w:sz w:val="19"/>
          <w:szCs w:val="19"/>
          <w:color w:val="auto"/>
        </w:rPr>
        <w:t>Our success depends largely upon the continued services of our key executive officers. We also rely on our leadership team in the areas of product development, sales, implementation,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600"/>
          </w:cols>
          <w:pgMar w:left="1140" w:top="872" w:right="1140" w:bottom="0" w:gutter="0" w:footer="0" w:header="0"/>
          <w:type w:val="continuous"/>
        </w:sectPr>
      </w:pPr>
    </w:p>
    <w:bookmarkStart w:id="27" w:name="page28"/>
    <w:bookmarkEnd w:id="27"/>
    <w:p>
      <w:pPr>
        <w:ind w:right="160"/>
        <w:spacing w:after="0" w:line="293" w:lineRule="auto"/>
        <w:rPr>
          <w:sz w:val="20"/>
          <w:szCs w:val="20"/>
          <w:color w:val="auto"/>
        </w:rPr>
      </w:pPr>
      <w:r>
        <w:rPr>
          <w:rFonts w:ascii="Times New Roman" w:cs="Times New Roman" w:eastAsia="Times New Roman" w:hAnsi="Times New Roman"/>
          <w:sz w:val="19"/>
          <w:szCs w:val="19"/>
          <w:color w:val="auto"/>
        </w:rPr>
        <w:t>therefore, they could terminate their employment with us at any time. The loss of one or more of our executive officers or key employees could have an adverse effect on our business.</w:t>
      </w:r>
    </w:p>
    <w:p>
      <w:pPr>
        <w:spacing w:after="0" w:line="165" w:lineRule="exact"/>
        <w:rPr>
          <w:sz w:val="20"/>
          <w:szCs w:val="20"/>
          <w:color w:val="auto"/>
        </w:rPr>
      </w:pPr>
    </w:p>
    <w:p>
      <w:pPr>
        <w:ind w:right="20" w:firstLine="698"/>
        <w:spacing w:after="0" w:line="259" w:lineRule="auto"/>
        <w:rPr>
          <w:sz w:val="20"/>
          <w:szCs w:val="20"/>
          <w:color w:val="auto"/>
        </w:rPr>
      </w:pPr>
      <w:r>
        <w:rPr>
          <w:rFonts w:ascii="Times New Roman" w:cs="Times New Roman" w:eastAsia="Times New Roman" w:hAnsi="Times New Roman"/>
          <w:sz w:val="19"/>
          <w:szCs w:val="19"/>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Hiring for skilled employees across the United States and globally is highly competitive.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90"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65" w:lineRule="exact"/>
        <w:rPr>
          <w:sz w:val="20"/>
          <w:szCs w:val="20"/>
          <w:color w:val="auto"/>
        </w:rPr>
      </w:pPr>
    </w:p>
    <w:p>
      <w:pPr>
        <w:ind w:right="200" w:firstLine="698"/>
        <w:spacing w:after="0" w:line="262" w:lineRule="auto"/>
        <w:rPr>
          <w:sz w:val="20"/>
          <w:szCs w:val="20"/>
          <w:color w:val="auto"/>
        </w:rPr>
      </w:pPr>
      <w:r>
        <w:rPr>
          <w:rFonts w:ascii="Times New Roman" w:cs="Times New Roman" w:eastAsia="Times New Roman" w:hAnsi="Times New Roman"/>
          <w:sz w:val="19"/>
          <w:szCs w:val="19"/>
          <w:color w:val="auto"/>
        </w:rPr>
        <w:t>Our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w:t>
      </w:r>
    </w:p>
    <w:p>
      <w:pPr>
        <w:spacing w:after="0" w:line="193" w:lineRule="exact"/>
        <w:rPr>
          <w:sz w:val="20"/>
          <w:szCs w:val="20"/>
          <w:color w:val="auto"/>
        </w:rPr>
      </w:pPr>
    </w:p>
    <w:p>
      <w:pPr>
        <w:ind w:firstLine="698"/>
        <w:spacing w:after="0" w:line="261" w:lineRule="auto"/>
        <w:rPr>
          <w:sz w:val="20"/>
          <w:szCs w:val="20"/>
          <w:color w:val="auto"/>
        </w:rPr>
      </w:pPr>
      <w:r>
        <w:rPr>
          <w:rFonts w:ascii="Times New Roman" w:cs="Times New Roman" w:eastAsia="Times New Roman" w:hAnsi="Times New Roman"/>
          <w:sz w:val="19"/>
          <w:szCs w:val="19"/>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Any product liability claim or errors or omissions claim could subject us to significant legal defense costs and adverse publicity regardless of the merits or eventual outcome of such a claim.</w:t>
      </w:r>
    </w:p>
    <w:p>
      <w:pPr>
        <w:spacing w:after="0" w:line="194" w:lineRule="exact"/>
        <w:rPr>
          <w:sz w:val="20"/>
          <w:szCs w:val="20"/>
          <w:color w:val="auto"/>
        </w:rPr>
      </w:pPr>
    </w:p>
    <w:p>
      <w:pPr>
        <w:ind w:right="60" w:firstLine="698"/>
        <w:spacing w:after="0" w:line="262" w:lineRule="auto"/>
        <w:rPr>
          <w:sz w:val="20"/>
          <w:szCs w:val="20"/>
          <w:color w:val="auto"/>
        </w:rPr>
      </w:pPr>
      <w:r>
        <w:rPr>
          <w:rFonts w:ascii="Times New Roman" w:cs="Times New Roman" w:eastAsia="Times New Roman" w:hAnsi="Times New Roman"/>
          <w:sz w:val="19"/>
          <w:szCs w:val="19"/>
          <w:color w:val="auto"/>
        </w:rPr>
        <w:t>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acquire other companies or technologies, which could divert our management’s attention, result in dilution to our stockholders, disrupt our operations and adversely affect our operating results.</w:t>
      </w:r>
    </w:p>
    <w:p>
      <w:pPr>
        <w:spacing w:after="0" w:line="165" w:lineRule="exact"/>
        <w:rPr>
          <w:sz w:val="20"/>
          <w:szCs w:val="20"/>
          <w:color w:val="auto"/>
        </w:rPr>
      </w:pPr>
    </w:p>
    <w:p>
      <w:pPr>
        <w:jc w:val="both"/>
        <w:ind w:right="140" w:firstLine="698"/>
        <w:spacing w:after="0" w:line="274" w:lineRule="auto"/>
        <w:rPr>
          <w:sz w:val="20"/>
          <w:szCs w:val="20"/>
          <w:color w:val="auto"/>
        </w:rPr>
      </w:pPr>
      <w:r>
        <w:rPr>
          <w:rFonts w:ascii="Times New Roman" w:cs="Times New Roman" w:eastAsia="Times New Roman" w:hAnsi="Times New Roman"/>
          <w:sz w:val="19"/>
          <w:szCs w:val="19"/>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83" w:lineRule="exact"/>
        <w:rPr>
          <w:sz w:val="20"/>
          <w:szCs w:val="20"/>
          <w:color w:val="auto"/>
        </w:rPr>
      </w:pPr>
    </w:p>
    <w:p>
      <w:pPr>
        <w:jc w:val="both"/>
        <w:ind w:right="200" w:firstLine="698"/>
        <w:spacing w:after="0" w:line="268" w:lineRule="auto"/>
        <w:rPr>
          <w:sz w:val="20"/>
          <w:szCs w:val="20"/>
          <w:color w:val="auto"/>
        </w:rPr>
      </w:pPr>
      <w:r>
        <w:rPr>
          <w:rFonts w:ascii="Times New Roman" w:cs="Times New Roman" w:eastAsia="Times New Roman" w:hAnsi="Times New Roman"/>
          <w:sz w:val="19"/>
          <w:szCs w:val="19"/>
          <w:color w:val="auto"/>
        </w:rPr>
        <w:t>We may not be able to integrate the acquired personnel, operations and technologies successfully, or effectively manage the combined business following the acquisition, in which case we may not realize the expected benefits of such acquisitions. Factors that may negatively impact our operating results, business and financial position, without limitation, include the following:</w:t>
      </w:r>
    </w:p>
    <w:p>
      <w:pPr>
        <w:spacing w:after="0" w:line="188" w:lineRule="exact"/>
        <w:rPr>
          <w:sz w:val="20"/>
          <w:szCs w:val="20"/>
          <w:color w:val="auto"/>
        </w:rPr>
      </w:pPr>
    </w:p>
    <w:p>
      <w:pPr>
        <w:ind w:left="1400" w:hanging="356"/>
        <w:spacing w:after="0"/>
        <w:tabs>
          <w:tab w:leader="none" w:pos="1400" w:val="left"/>
        </w:tabs>
        <w:numPr>
          <w:ilvl w:val="0"/>
          <w:numId w:val="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Inability to integrate or benefit from acquired technologies, operations, or services in a profitable manner;</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600"/>
          </w:cols>
          <w:pgMar w:left="1140" w:top="872" w:right="1140" w:bottom="0" w:gutter="0" w:footer="0" w:header="0"/>
          <w:type w:val="continuous"/>
        </w:sectPr>
      </w:pPr>
    </w:p>
    <w:bookmarkStart w:id="28" w:name="page29"/>
    <w:bookmarkEnd w:id="28"/>
    <w:p>
      <w:pPr>
        <w:ind w:left="1400" w:hanging="356"/>
        <w:spacing w:after="0"/>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Unanticipated costs or liabilities associated with the acquisition;</w:t>
      </w:r>
    </w:p>
    <w:p>
      <w:pPr>
        <w:spacing w:after="0" w:line="247" w:lineRule="exact"/>
        <w:rPr>
          <w:rFonts w:ascii="Times New Roman" w:cs="Times New Roman" w:eastAsia="Times New Roman" w:hAnsi="Times New Roman"/>
          <w:sz w:val="19"/>
          <w:szCs w:val="19"/>
          <w:b w:val="1"/>
          <w:bCs w:val="1"/>
          <w:color w:val="auto"/>
        </w:rPr>
      </w:pPr>
    </w:p>
    <w:p>
      <w:pPr>
        <w:ind w:left="1400" w:right="80" w:hanging="356"/>
        <w:spacing w:after="0" w:line="293" w:lineRule="auto"/>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Difficulty converting the clients of the acquired business onto our modules and contract terms, including disparities in the revenues, licensing, support or professional services model of the acquired company;</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Diversion of management’s attention from other business concerns;</w:t>
      </w:r>
    </w:p>
    <w:p>
      <w:pPr>
        <w:spacing w:after="0" w:line="247" w:lineRule="exact"/>
        <w:rPr>
          <w:rFonts w:ascii="Times New Roman" w:cs="Times New Roman" w:eastAsia="Times New Roman" w:hAnsi="Times New Roman"/>
          <w:sz w:val="19"/>
          <w:szCs w:val="19"/>
          <w:b w:val="1"/>
          <w:bCs w:val="1"/>
          <w:color w:val="auto"/>
        </w:rPr>
      </w:pPr>
    </w:p>
    <w:p>
      <w:pPr>
        <w:ind w:left="1400" w:right="100" w:hanging="356"/>
        <w:spacing w:after="0" w:line="293" w:lineRule="auto"/>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Adverse effects to our existing business relationships with business partners and clients as a result of the acquisition;</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potential loss of key employees;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Use of resources that are needed in other parts of our business;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Use of substantial portions of our available cash to consummate the acquisition; and</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Dilutive issuances of equity securities or the incurrence of debt.</w:t>
      </w:r>
    </w:p>
    <w:p>
      <w:pPr>
        <w:spacing w:after="0" w:line="247" w:lineRule="exact"/>
        <w:rPr>
          <w:sz w:val="20"/>
          <w:szCs w:val="20"/>
          <w:color w:val="auto"/>
        </w:rPr>
      </w:pPr>
    </w:p>
    <w:p>
      <w:pPr>
        <w:ind w:right="460" w:firstLine="698"/>
        <w:spacing w:after="0" w:line="268" w:lineRule="auto"/>
        <w:rPr>
          <w:sz w:val="20"/>
          <w:szCs w:val="20"/>
          <w:color w:val="auto"/>
        </w:rPr>
      </w:pPr>
      <w:r>
        <w:rPr>
          <w:rFonts w:ascii="Times New Roman" w:cs="Times New Roman" w:eastAsia="Times New Roman" w:hAnsi="Times New Roman"/>
          <w:sz w:val="19"/>
          <w:szCs w:val="19"/>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Risks Related to Cybersecurity and Intellectual Property Rights</w:t>
      </w:r>
    </w:p>
    <w:p>
      <w:pPr>
        <w:spacing w:after="0" w:line="24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our security measures are unable to prevent a breach or unauthorized access to our information systems, our proprietary and other information, our client data or funds, we may be subject to numerous adverse financial and other consequences, including that our solutions may be perceived as not being secure, clients may reduce the use of or stop using our solutions, and that we may incur significant liabilities to our clients and others.</w:t>
      </w:r>
    </w:p>
    <w:p>
      <w:pPr>
        <w:spacing w:after="0" w:line="192"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auto"/>
        </w:rPr>
        <w:t>The solutions that we provide to clients involve the processing, storage and transmission of our clients’ proprietary and confidential information regarding their employees, consultants, independent contractors, other service providers and other groups or individuals. This information includes, among other things,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similar information regarding our own employees, consultants, independent contractors, other service providers and other groups or individuals. Our business also involves the storage and transmission of funds from the accounts of our clients to other persons, including taxing and regulatory authorities and others.</w:t>
      </w:r>
    </w:p>
    <w:p>
      <w:pPr>
        <w:spacing w:after="0" w:line="200" w:lineRule="exact"/>
        <w:rPr>
          <w:sz w:val="20"/>
          <w:szCs w:val="20"/>
          <w:color w:val="auto"/>
        </w:rPr>
      </w:pPr>
    </w:p>
    <w:p>
      <w:pPr>
        <w:spacing w:after="0" w:line="231"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We also rely on the security and availability of our information systems and solutions and those of third parties in the operation of our business. This includes, among other things, human capital solutions, financial solutions, customer relationship management solutions, software development solutions and tools, cybersecurity solutions and tools, and data center processing.</w:t>
      </w:r>
    </w:p>
    <w:p>
      <w:pPr>
        <w:spacing w:after="0" w:line="188" w:lineRule="exact"/>
        <w:rPr>
          <w:sz w:val="20"/>
          <w:szCs w:val="20"/>
          <w:color w:val="auto"/>
        </w:rPr>
      </w:pPr>
    </w:p>
    <w:p>
      <w:pPr>
        <w:ind w:right="60" w:firstLine="698"/>
        <w:spacing w:after="0" w:line="259" w:lineRule="auto"/>
        <w:rPr>
          <w:sz w:val="20"/>
          <w:szCs w:val="20"/>
          <w:color w:val="auto"/>
        </w:rPr>
      </w:pPr>
      <w:r>
        <w:rPr>
          <w:rFonts w:ascii="Times New Roman" w:cs="Times New Roman" w:eastAsia="Times New Roman" w:hAnsi="Times New Roman"/>
          <w:sz w:val="19"/>
          <w:szCs w:val="19"/>
          <w:color w:val="auto"/>
        </w:rPr>
        <w:t>We have experienced cybersecurity attacks and incidents in the past, though we do not believe that any of them have been material to our business. Although we maintain security measures and controls that we continually monitor and invest in, there can be no assurance that our measures or controls will be effective in all instances or that we will not experience cybersecurity attacks or incidents in the future. Our systems and solutions and the third-party systems on which we rely are susceptible to such attacks and incidents as unauthorized access, supply-chain attacks, exfiltration or destruction of data, disruptions of service, phishing attempts and other forms of social engineering, malware, ransomware and other forms of cyber extortion, computer viruses or other malicious code and similar events. These threats may come from cybercriminals, cyberterrorists and hacktivists, nation-state and nation-state-supported actors (including advanced persistent threat intrusions) and computer hackers. They also may result from the malicious or accidental acts of insiders. Any unauthorized access to, or security breaches of, our systems or solutions or those of our clients or third-party partners and suppliers could result in numerous adverse consequences, including the unauthorized disclosure of proprietary and confidential information we or they obtain in the ordinary course of business, identity theft and financial theft. We also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6010910</wp:posOffset>
                </wp:positionH>
                <wp:positionV relativeFrom="paragraph">
                  <wp:posOffset>-375285</wp:posOffset>
                </wp:positionV>
                <wp:extent cx="304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4763"/>
                        </a:xfrm>
                        <a:prstGeom prst="line">
                          <a:avLst/>
                        </a:prstGeom>
                        <a:solidFill>
                          <a:srgbClr val="FFFFFF"/>
                        </a:solidFill>
                        <a:ln w="4311">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3pt,-29.5499pt" to="475.7pt,-29.5499pt" o:allowincell="f" strokecolor="#000000" strokeweight="0.3394pt"/>
            </w:pict>
          </mc:Fallback>
        </mc:AlternateConten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580"/>
          </w:cols>
          <w:pgMar w:left="1140" w:top="872" w:right="1160" w:bottom="0" w:gutter="0" w:footer="0" w:header="0"/>
          <w:type w:val="continuous"/>
        </w:sectPr>
      </w:pPr>
    </w:p>
    <w:bookmarkStart w:id="29" w:name="page30"/>
    <w:bookmarkEnd w:id="29"/>
    <w:p>
      <w:pPr>
        <w:ind w:right="20"/>
        <w:spacing w:after="0" w:line="268" w:lineRule="auto"/>
        <w:rPr>
          <w:sz w:val="20"/>
          <w:szCs w:val="20"/>
          <w:color w:val="auto"/>
        </w:rPr>
      </w:pPr>
      <w:r>
        <w:rPr>
          <w:rFonts w:ascii="Times New Roman" w:cs="Times New Roman" w:eastAsia="Times New Roman" w:hAnsi="Times New Roman"/>
          <w:sz w:val="19"/>
          <w:szCs w:val="19"/>
          <w:color w:val="auto"/>
        </w:rPr>
        <w:t>could be subjected to periods in which our systems and solutions or the third-party systems on which we rely are negatively impacted, degraded or unavailable, potentially for extended periods of time. If any of these events were to occur, we could be subject to client loss, reputational harm, litigation, government enforcement actions, indemnity obligations and other liabilities, and our business, revenues, profitability and financial condition could be negatively impacted.</w:t>
      </w:r>
    </w:p>
    <w:p>
      <w:pPr>
        <w:spacing w:after="0" w:line="188" w:lineRule="exact"/>
        <w:rPr>
          <w:sz w:val="20"/>
          <w:szCs w:val="20"/>
          <w:color w:val="auto"/>
        </w:rPr>
      </w:pPr>
    </w:p>
    <w:p>
      <w:pPr>
        <w:ind w:firstLine="698"/>
        <w:spacing w:after="0" w:line="259" w:lineRule="auto"/>
        <w:rPr>
          <w:sz w:val="20"/>
          <w:szCs w:val="20"/>
          <w:color w:val="auto"/>
        </w:rPr>
      </w:pPr>
      <w:r>
        <w:rPr>
          <w:rFonts w:ascii="Times New Roman" w:cs="Times New Roman" w:eastAsia="Times New Roman" w:hAnsi="Times New Roman"/>
          <w:sz w:val="19"/>
          <w:szCs w:val="19"/>
          <w:color w:val="auto"/>
        </w:rPr>
        <w:t>Because the tactics and techniques used by threat actors to obtain unauthorized access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We also have incorporated and will continue to incorporate AI and machine learning features into our solutions and various processes across our business, which may increase vulnerability to cybersecurity risks. Additionally, AI and machine learning may be used for certain cybersecurity attacks, improving or expanding the existing capabilities of threat actors in manners we cannot predict at this time, resulting in greater risks of security incidents and breaches. Cybersecurity attacks and incidents could have a material adverse effect on our business, operations or financial condition, so as cyber threats continue to evolve, we are focused on ensuring that our operating environments safeguard and protect personal and business information, which requires us to devote significant resources to prevent and mitigate cybersecurity incidents and protect our systems, solutions and data.</w:t>
      </w:r>
    </w:p>
    <w:p>
      <w:pPr>
        <w:spacing w:after="0" w:line="200" w:lineRule="exact"/>
        <w:rPr>
          <w:sz w:val="20"/>
          <w:szCs w:val="20"/>
          <w:color w:val="auto"/>
        </w:rPr>
      </w:pPr>
    </w:p>
    <w:p>
      <w:pPr>
        <w:ind w:right="20" w:firstLine="698"/>
        <w:spacing w:after="0" w:line="259" w:lineRule="auto"/>
        <w:rPr>
          <w:sz w:val="20"/>
          <w:szCs w:val="20"/>
          <w:color w:val="auto"/>
        </w:rPr>
      </w:pPr>
      <w:r>
        <w:rPr>
          <w:rFonts w:ascii="Times New Roman" w:cs="Times New Roman" w:eastAsia="Times New Roman" w:hAnsi="Times New Roman"/>
          <w:sz w:val="19"/>
          <w:szCs w:val="19"/>
          <w:color w:val="auto"/>
        </w:rPr>
        <w:t>Additionally, while we monitor and reassess our third-party relationships over time, we have no control over those third parties’ cybersecurity programs and controls, infrastructure, physical facilities or personnel. If our security measures, or the security measures of our third-party partners and suppliers, are breached, or if our third-party partners and suppliers experience supply-chain attacks, system errors or outages, our business could be substantially harmed, and we could incur significant liabilities. The costs of investigating, mitigating, and reporting such an incident to affected individuals (if required) can be substantial. In addition, if a security breach occurs with respect to an industry peer, our clients and potential clients may lose trust in the security of our platform. Any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 Furthermore, the continuing and evolving threat of cyberattacks has resulted in increased regulatory focus and we may be required to invest significant additional resources to comply with evolving cybersecurity regulations.</w:t>
      </w:r>
    </w:p>
    <w:p>
      <w:pPr>
        <w:spacing w:after="0" w:line="200" w:lineRule="exact"/>
        <w:rPr>
          <w:sz w:val="20"/>
          <w:szCs w:val="20"/>
          <w:color w:val="auto"/>
        </w:rPr>
      </w:pPr>
    </w:p>
    <w:p>
      <w:pPr>
        <w:spacing w:after="0" w:line="233" w:lineRule="exact"/>
        <w:rPr>
          <w:sz w:val="20"/>
          <w:szCs w:val="20"/>
          <w:color w:val="auto"/>
        </w:rPr>
      </w:pPr>
    </w:p>
    <w:p>
      <w:pPr>
        <w:ind w:right="20" w:firstLine="698"/>
        <w:spacing w:after="0" w:line="261" w:lineRule="auto"/>
        <w:rPr>
          <w:sz w:val="20"/>
          <w:szCs w:val="20"/>
          <w:color w:val="auto"/>
        </w:rPr>
      </w:pPr>
      <w:r>
        <w:rPr>
          <w:rFonts w:ascii="Times New Roman" w:cs="Times New Roman" w:eastAsia="Times New Roman" w:hAnsi="Times New Roman"/>
          <w:sz w:val="19"/>
          <w:szCs w:val="19"/>
          <w:color w:val="auto"/>
        </w:rPr>
        <w:t>There can be no assurance that the limitations of liability in our contracts would be enforceable or adequate or would otherwise protect us from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87"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Any failure to protect our intellectual property rights could impair our ability to protect our proprietary technology and our brand.</w:t>
      </w:r>
    </w:p>
    <w:p>
      <w:pPr>
        <w:spacing w:after="0" w:line="165" w:lineRule="exact"/>
        <w:rPr>
          <w:sz w:val="20"/>
          <w:szCs w:val="20"/>
          <w:color w:val="auto"/>
        </w:rPr>
      </w:pPr>
    </w:p>
    <w:p>
      <w:pPr>
        <w:ind w:right="40" w:firstLine="698"/>
        <w:spacing w:after="0" w:line="260" w:lineRule="auto"/>
        <w:rPr>
          <w:sz w:val="20"/>
          <w:szCs w:val="20"/>
          <w:color w:val="auto"/>
        </w:rPr>
      </w:pPr>
      <w:r>
        <w:rPr>
          <w:rFonts w:ascii="Times New Roman" w:cs="Times New Roman" w:eastAsia="Times New Roman" w:hAnsi="Times New Roman"/>
          <w:sz w:val="19"/>
          <w:szCs w:val="19"/>
          <w:color w:val="auto"/>
        </w:rPr>
        <w:t>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fail to detect unauthorized use or disclosure of our intellectual property or confidential proprietary information, including through the use of AI tools.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8" w:lineRule="exact"/>
        <w:rPr>
          <w:sz w:val="20"/>
          <w:szCs w:val="20"/>
          <w:color w:val="auto"/>
        </w:rPr>
      </w:pPr>
    </w:p>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600"/>
          </w:cols>
          <w:pgMar w:left="1140" w:top="872" w:right="1140" w:bottom="0" w:gutter="0" w:footer="0" w:header="0"/>
          <w:type w:val="continuous"/>
        </w:sectPr>
      </w:pPr>
    </w:p>
    <w:bookmarkStart w:id="30" w:name="page31"/>
    <w:bookmarkEnd w:id="30"/>
    <w:p>
      <w:pPr>
        <w:ind w:firstLine="698"/>
        <w:spacing w:after="0" w:line="258" w:lineRule="auto"/>
        <w:rPr>
          <w:sz w:val="20"/>
          <w:szCs w:val="20"/>
          <w:color w:val="auto"/>
        </w:rPr>
      </w:pPr>
      <w:r>
        <w:rPr>
          <w:rFonts w:ascii="Times New Roman" w:cs="Times New Roman" w:eastAsia="Times New Roman" w:hAnsi="Times New Roman"/>
          <w:sz w:val="19"/>
          <w:szCs w:val="19"/>
          <w:color w:val="auto"/>
        </w:rPr>
        <w:t>Our intellectual property could be wrongfully acquired as a result of a cyberattack, other wrongful conduct by employees or third parties or as a result of increased use of AI tools by us or our vendors. In order to protect our intellectual property rights, we may be required to spend significant resources, including cybersecurity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sued by third parties for alleged infringement of their proprietary rights.</w:t>
      </w:r>
    </w:p>
    <w:p>
      <w:pPr>
        <w:spacing w:after="0" w:line="254" w:lineRule="exact"/>
        <w:rPr>
          <w:sz w:val="20"/>
          <w:szCs w:val="20"/>
          <w:color w:val="auto"/>
        </w:rPr>
      </w:pPr>
    </w:p>
    <w:p>
      <w:pPr>
        <w:ind w:right="20" w:firstLine="698"/>
        <w:spacing w:after="0" w:line="258" w:lineRule="auto"/>
        <w:rPr>
          <w:sz w:val="20"/>
          <w:szCs w:val="20"/>
          <w:color w:val="auto"/>
        </w:rPr>
      </w:pPr>
      <w:r>
        <w:rPr>
          <w:rFonts w:ascii="Times New Roman" w:cs="Times New Roman" w:eastAsia="Times New Roman" w:hAnsi="Times New Roman"/>
          <w:sz w:val="19"/>
          <w:szCs w:val="19"/>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However, we may be unaware of the intellectual property rights that others may claim cover some or all of our technology or services, particularly as we expand our use of AI which is subject to uncertainty regarding intellectual property ownership and license rights of AI algorithms and content generated by AI.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00" w:lineRule="exact"/>
        <w:rPr>
          <w:sz w:val="20"/>
          <w:szCs w:val="20"/>
          <w:color w:val="auto"/>
        </w:rPr>
      </w:pPr>
    </w:p>
    <w:p>
      <w:pPr>
        <w:spacing w:after="0" w:line="232" w:lineRule="exact"/>
        <w:rPr>
          <w:sz w:val="20"/>
          <w:szCs w:val="20"/>
          <w:color w:val="auto"/>
        </w:rPr>
      </w:pPr>
    </w:p>
    <w:p>
      <w:pPr>
        <w:ind w:right="7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use of open source software in our products and solutions may expose us to additional risks and harm our intellectual property rights.</w:t>
      </w:r>
    </w:p>
    <w:p>
      <w:pPr>
        <w:spacing w:after="0" w:line="165" w:lineRule="exact"/>
        <w:rPr>
          <w:sz w:val="20"/>
          <w:szCs w:val="20"/>
          <w:color w:val="auto"/>
        </w:rPr>
      </w:pPr>
    </w:p>
    <w:p>
      <w:pPr>
        <w:ind w:right="40" w:firstLine="698"/>
        <w:spacing w:after="0" w:line="264" w:lineRule="auto"/>
        <w:rPr>
          <w:sz w:val="20"/>
          <w:szCs w:val="20"/>
          <w:color w:val="auto"/>
        </w:rPr>
      </w:pPr>
      <w:r>
        <w:rPr>
          <w:rFonts w:ascii="Times New Roman" w:cs="Times New Roman" w:eastAsia="Times New Roman" w:hAnsi="Times New Roman"/>
          <w:sz w:val="19"/>
          <w:szCs w:val="19"/>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200" w:lineRule="exact"/>
        <w:rPr>
          <w:sz w:val="20"/>
          <w:szCs w:val="20"/>
          <w:color w:val="auto"/>
        </w:rPr>
      </w:pPr>
    </w:p>
    <w:p>
      <w:pPr>
        <w:spacing w:after="0" w:line="228" w:lineRule="exact"/>
        <w:rPr>
          <w:sz w:val="20"/>
          <w:szCs w:val="20"/>
          <w:color w:val="auto"/>
        </w:rPr>
      </w:pPr>
    </w:p>
    <w:p>
      <w:pPr>
        <w:ind w:right="20" w:firstLine="698"/>
        <w:spacing w:after="0" w:line="260" w:lineRule="auto"/>
        <w:rPr>
          <w:sz w:val="20"/>
          <w:szCs w:val="20"/>
          <w:color w:val="auto"/>
        </w:rPr>
      </w:pPr>
      <w:r>
        <w:rPr>
          <w:rFonts w:ascii="Times New Roman" w:cs="Times New Roman" w:eastAsia="Times New Roman" w:hAnsi="Times New Roman"/>
          <w:sz w:val="19"/>
          <w:szCs w:val="19"/>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re-develop our products or solutions, to discontinue sales of our products or solutions, or to release our proprietary software code under the terms of an open source license, any of which could harm our business. Similarly, open source AI models may be trained on data of unknown or uncertain sources, which could include copyrighted or otherwise proprietary, confidential or private information. Further, given the nature of open source software, it may be more likely that third parties might assert copyright and other intellectual property infringement claims against us based on our use of these open source software programs.</w:t>
      </w:r>
    </w:p>
    <w:p>
      <w:pPr>
        <w:spacing w:after="0" w:line="200" w:lineRule="exact"/>
        <w:rPr>
          <w:sz w:val="20"/>
          <w:szCs w:val="20"/>
          <w:color w:val="auto"/>
        </w:rPr>
      </w:pPr>
    </w:p>
    <w:p>
      <w:pPr>
        <w:spacing w:after="0" w:line="235" w:lineRule="exact"/>
        <w:rPr>
          <w:sz w:val="20"/>
          <w:szCs w:val="20"/>
          <w:color w:val="auto"/>
        </w:rPr>
      </w:pPr>
    </w:p>
    <w:p>
      <w:pPr>
        <w:ind w:right="120" w:firstLine="698"/>
        <w:spacing w:after="0" w:line="265" w:lineRule="auto"/>
        <w:rPr>
          <w:sz w:val="20"/>
          <w:szCs w:val="20"/>
          <w:color w:val="auto"/>
        </w:rPr>
      </w:pPr>
      <w:r>
        <w:rPr>
          <w:rFonts w:ascii="Times New Roman" w:cs="Times New Roman" w:eastAsia="Times New Roman" w:hAnsi="Times New Roman"/>
          <w:sz w:val="19"/>
          <w:szCs w:val="19"/>
          <w:color w:val="auto"/>
        </w:rPr>
        <w:t>While we monitor the use of open source software in our solutions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600"/>
          </w:cols>
          <w:pgMar w:left="1140" w:top="872" w:right="1140" w:bottom="0" w:gutter="0" w:footer="0" w:header="0"/>
          <w:type w:val="continuous"/>
        </w:sectPr>
      </w:pPr>
    </w:p>
    <w:bookmarkStart w:id="31" w:name="page32"/>
    <w:bookmarkEnd w:id="31"/>
    <w:p>
      <w:pPr>
        <w:ind w:right="80"/>
        <w:spacing w:after="0" w:line="293" w:lineRule="auto"/>
        <w:rPr>
          <w:sz w:val="20"/>
          <w:szCs w:val="20"/>
          <w:color w:val="auto"/>
        </w:rPr>
      </w:pPr>
      <w:r>
        <w:rPr>
          <w:rFonts w:ascii="Times New Roman" w:cs="Times New Roman" w:eastAsia="Times New Roman" w:hAnsi="Times New Roman"/>
          <w:sz w:val="19"/>
          <w:szCs w:val="19"/>
          <w:color w:val="auto"/>
        </w:rPr>
        <w:t>disclose the source code to our products and solutions. This could harm our intellectual property position and our business, results of operations and financial condition.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Risks Related to Legal and Regulatory Matters</w:t>
      </w:r>
    </w:p>
    <w:p>
      <w:pPr>
        <w:spacing w:after="0" w:line="24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85" w:lineRule="exact"/>
        <w:rPr>
          <w:sz w:val="20"/>
          <w:szCs w:val="20"/>
          <w:color w:val="auto"/>
        </w:rPr>
      </w:pPr>
    </w:p>
    <w:p>
      <w:pPr>
        <w:ind w:right="60" w:firstLine="698"/>
        <w:spacing w:after="0" w:line="258" w:lineRule="auto"/>
        <w:rPr>
          <w:sz w:val="20"/>
          <w:szCs w:val="20"/>
          <w:color w:val="auto"/>
        </w:rPr>
      </w:pPr>
      <w:r>
        <w:rPr>
          <w:rFonts w:ascii="Times New Roman" w:cs="Times New Roman" w:eastAsia="Times New Roman" w:hAnsi="Times New Roman"/>
          <w:sz w:val="19"/>
          <w:szCs w:val="19"/>
          <w:color w:val="auto"/>
        </w:rPr>
        <w:t>Our products and services may become subject to increasing and evolving regulatory requirements, including changes in tax, benefits, wage and hour, employment, intellectual property, artificial intelligence, data privacy and other domestic and international laws and regulations, and, as these requirements proliferate, we may be required to modify or adapt our products and services to comply. Changing regulatory requirements could reduce or eliminate the need for some of our products and services, delay or prevent the development or introduction of new products and services or adversely affect the functionality, marketability or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200" w:lineRule="exact"/>
        <w:rPr>
          <w:sz w:val="20"/>
          <w:szCs w:val="20"/>
          <w:color w:val="auto"/>
        </w:rPr>
      </w:pPr>
    </w:p>
    <w:p>
      <w:pPr>
        <w:ind w:right="20" w:firstLine="698"/>
        <w:spacing w:after="0" w:line="261" w:lineRule="auto"/>
        <w:rPr>
          <w:sz w:val="20"/>
          <w:szCs w:val="20"/>
          <w:color w:val="auto"/>
        </w:rPr>
      </w:pPr>
      <w:r>
        <w:rPr>
          <w:rFonts w:ascii="Times New Roman" w:cs="Times New Roman" w:eastAsia="Times New Roman" w:hAnsi="Times New Roman"/>
          <w:sz w:val="19"/>
          <w:szCs w:val="19"/>
          <w:color w:val="auto"/>
        </w:rPr>
        <w:t>Some of our products incorporate new technologies such as AI and machine learning. The development, deployment, and use of these technologies are subject to evolving legal, regulatory, and industry standards, including requirements and expectations relating to privacy, intellectual property, employment, civil rights, transparency, explainability, and the prevention of bias or discriminatory outcomes. Additionally, failures or misuse of these technologies by others in our industry, or by our clients, employees, vendors or other end users could negatively affect market acceptance of our solutions, increase regulatory scrutiny and restrict our ability to develop or deploy these technologies and subject us to reputational harm, regulatory action, or legal liability, which could harm our business, financial condition and operating results.</w:t>
      </w:r>
    </w:p>
    <w:p>
      <w:pPr>
        <w:spacing w:after="0" w:line="194" w:lineRule="exact"/>
        <w:rPr>
          <w:sz w:val="20"/>
          <w:szCs w:val="20"/>
          <w:color w:val="auto"/>
        </w:rPr>
      </w:pPr>
    </w:p>
    <w:p>
      <w:pPr>
        <w:ind w:right="20" w:firstLine="698"/>
        <w:spacing w:after="0" w:line="260" w:lineRule="auto"/>
        <w:rPr>
          <w:sz w:val="20"/>
          <w:szCs w:val="20"/>
          <w:color w:val="auto"/>
        </w:rPr>
      </w:pPr>
      <w:r>
        <w:rPr>
          <w:rFonts w:ascii="Times New Roman" w:cs="Times New Roman" w:eastAsia="Times New Roman" w:hAnsi="Times New Roman"/>
          <w:sz w:val="19"/>
          <w:szCs w:val="19"/>
          <w:color w:val="auto"/>
        </w:rPr>
        <w:t>As we continue to pursue such new technologies, our failure to adequately address legal risks relating to the use of AI and machine learning in our applications could result in litigation regarding, among other things, intellectual property, privacy, employment, civil rights and other claims that could result in liability. The use of AI and machine learning may also result in new or increased governmental or regulatory scrutiny as regulatory and legislative authorities in the United States, the European Union and other jurisdictions have enacted or proposed legislation that imposes or would impose restrictions on the development of generative AI and machine learning. Any actual or alleged noncompliance with applicable laws and regulations, or failure to meet client expectations with respect to the use of AI and machine learning, could result in negative publicity or harm to our reputation and subject us to investigations, claims or other remedies, and expose us to significant fines, penalties and other damages.</w:t>
      </w:r>
    </w:p>
    <w:p>
      <w:pPr>
        <w:spacing w:after="0" w:line="19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Failure to comply with data privacy laws and regulations may have a material adverse effect on reputation, financial condition, and/or operations.</w:t>
      </w:r>
    </w:p>
    <w:p>
      <w:pPr>
        <w:spacing w:after="0" w:line="165" w:lineRule="exact"/>
        <w:rPr>
          <w:sz w:val="20"/>
          <w:szCs w:val="20"/>
          <w:color w:val="auto"/>
        </w:rPr>
      </w:pPr>
    </w:p>
    <w:p>
      <w:pPr>
        <w:ind w:right="20" w:firstLine="698"/>
        <w:spacing w:after="0" w:line="262" w:lineRule="auto"/>
        <w:rPr>
          <w:sz w:val="20"/>
          <w:szCs w:val="20"/>
          <w:color w:val="auto"/>
        </w:rPr>
      </w:pPr>
      <w:r>
        <w:rPr>
          <w:rFonts w:ascii="Times New Roman" w:cs="Times New Roman" w:eastAsia="Times New Roman" w:hAnsi="Times New Roman"/>
          <w:sz w:val="19"/>
          <w:szCs w:val="19"/>
          <w:color w:val="auto"/>
        </w:rPr>
        <w:t>Our processing of personal information for our employees and on behalf of our clients is subject to federal, state and international data privacy laws. These laws, which vary across jurisdictions, generally govern the collection, storage, transfer, and other processing of personal information. They require that individuals be provided notice of privacy practices before or at the point of collection, and grant them certain rights over their personal information, including access, deletion and correction. Additionally, they regulate how personal information may be used or disclosed for secondary purposes such as marketing, and in some cases, require notification to affected individuals, clients, and/or regulators in the event of a data breach.</w:t>
      </w:r>
    </w:p>
    <w:p>
      <w:pPr>
        <w:spacing w:after="0" w:line="193" w:lineRule="exact"/>
        <w:rPr>
          <w:sz w:val="20"/>
          <w:szCs w:val="20"/>
          <w:color w:val="auto"/>
        </w:rPr>
      </w:pPr>
    </w:p>
    <w:p>
      <w:pPr>
        <w:ind w:firstLine="698"/>
        <w:spacing w:after="0" w:line="293" w:lineRule="auto"/>
        <w:rPr>
          <w:sz w:val="20"/>
          <w:szCs w:val="20"/>
          <w:color w:val="auto"/>
        </w:rPr>
      </w:pPr>
      <w:r>
        <w:rPr>
          <w:rFonts w:ascii="Times New Roman" w:cs="Times New Roman" w:eastAsia="Times New Roman" w:hAnsi="Times New Roman"/>
          <w:sz w:val="19"/>
          <w:szCs w:val="19"/>
          <w:color w:val="auto"/>
        </w:rPr>
        <w:t>Among the most comprehensive data privacy laws that apply to various aspects of our business are HIPAA (which applies to our benefit administration solution, BeneFLEX, and our self-insured group health plan), the European Union’s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600"/>
          </w:cols>
          <w:pgMar w:left="1140" w:top="872" w:right="1140" w:bottom="0" w:gutter="0" w:footer="0" w:header="0"/>
          <w:type w:val="continuous"/>
        </w:sectPr>
      </w:pPr>
    </w:p>
    <w:bookmarkStart w:id="32" w:name="page33"/>
    <w:bookmarkEnd w:id="32"/>
    <w:p>
      <w:pPr>
        <w:ind w:right="60"/>
        <w:spacing w:after="0" w:line="263" w:lineRule="auto"/>
        <w:rPr>
          <w:sz w:val="20"/>
          <w:szCs w:val="20"/>
          <w:color w:val="auto"/>
        </w:rPr>
      </w:pPr>
      <w:r>
        <w:rPr>
          <w:rFonts w:ascii="Times New Roman" w:cs="Times New Roman" w:eastAsia="Times New Roman" w:hAnsi="Times New Roman"/>
          <w:sz w:val="19"/>
          <w:szCs w:val="19"/>
          <w:color w:val="auto"/>
        </w:rPr>
        <w:t>General Data Protection Regulation ("GDPR"), and an expanding network of U.S. state privacy laws, including the California Consumer Privacy Act (“CCPA”), as amended. Other countries and U.S. states have adopted, and continue to adopt, similarly comprehensive laws that impose new, and in some cases, overlapping or inconsistent data privacy and protection requirements and restrictions on covered organizations. Importantly, these laws can impose significant penalties and fines for non-compliance, such as a fine of up to 4% of an organization’s worldwide revenue for the preceding year under the GDPR.</w:t>
      </w:r>
    </w:p>
    <w:p>
      <w:pPr>
        <w:spacing w:after="0" w:line="193" w:lineRule="exact"/>
        <w:rPr>
          <w:sz w:val="20"/>
          <w:szCs w:val="20"/>
          <w:color w:val="auto"/>
        </w:rPr>
      </w:pPr>
    </w:p>
    <w:p>
      <w:pPr>
        <w:ind w:firstLine="698"/>
        <w:spacing w:after="0" w:line="261" w:lineRule="auto"/>
        <w:rPr>
          <w:sz w:val="20"/>
          <w:szCs w:val="20"/>
          <w:color w:val="auto"/>
        </w:rPr>
      </w:pPr>
      <w:r>
        <w:rPr>
          <w:rFonts w:ascii="Times New Roman" w:cs="Times New Roman" w:eastAsia="Times New Roman" w:hAnsi="Times New Roman"/>
          <w:sz w:val="19"/>
          <w:szCs w:val="19"/>
          <w:color w:val="auto"/>
        </w:rPr>
        <w:t>The worldwide regulatory focus on data privacy has intensified in recent years, in part triggered by the GDPR. This shift has driven rapid changes around the processing of personal information, necessitating that we continually adapt our solutions and business practices to support our clients’ compliance efforts. As this focus on data privacy continues, so too do the potential risks associated with how our business processes personal information. Compounding this complexity, many areas of existing data privacy laws remain subject to interpretation, which creates an added risk that advocacy groups and governments in countries where we or our clients operate may adopt adverse interpretations. Such interpretations could impose significant obligations on our business or restrict our ability to offer certain products and services in jurisdictions where we currently operate.</w:t>
      </w:r>
    </w:p>
    <w:p>
      <w:pPr>
        <w:spacing w:after="0" w:line="194" w:lineRule="exact"/>
        <w:rPr>
          <w:sz w:val="20"/>
          <w:szCs w:val="20"/>
          <w:color w:val="auto"/>
        </w:rPr>
      </w:pPr>
    </w:p>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Enforcement actions and investigations by regulatory authorities related to security incidents and data privacy violations continue to increase. A finding of noncompliance from any such investigation or enforcement action could lead to increased costs, significant regulatory penalties, legal liability and burdensome governmental oversight, including restrictions on our operations. Furthermore, heightened consumer and market concerns about data privacy abuses by other companies are changing expectations for enhanced data privacy and security. As a result, a perception of noncompliance could damage our reputation with our current and potential clients, employees and stockholders.</w:t>
      </w:r>
    </w:p>
    <w:p>
      <w:pPr>
        <w:spacing w:after="0" w:line="186"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65" w:lineRule="exact"/>
        <w:rPr>
          <w:sz w:val="20"/>
          <w:szCs w:val="20"/>
          <w:color w:val="auto"/>
        </w:rPr>
      </w:pPr>
    </w:p>
    <w:p>
      <w:pPr>
        <w:ind w:right="40" w:firstLine="698"/>
        <w:spacing w:after="0" w:line="265" w:lineRule="auto"/>
        <w:rPr>
          <w:sz w:val="20"/>
          <w:szCs w:val="20"/>
          <w:color w:val="auto"/>
        </w:rPr>
      </w:pPr>
      <w:r>
        <w:rPr>
          <w:rFonts w:ascii="Times New Roman" w:cs="Times New Roman" w:eastAsia="Times New Roman" w:hAnsi="Times New Roman"/>
          <w:sz w:val="19"/>
          <w:szCs w:val="19"/>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191" w:lineRule="exact"/>
        <w:rPr>
          <w:sz w:val="20"/>
          <w:szCs w:val="20"/>
          <w:color w:val="auto"/>
        </w:rPr>
      </w:pPr>
    </w:p>
    <w:p>
      <w:pPr>
        <w:ind w:firstLine="698"/>
        <w:spacing w:after="0" w:line="261" w:lineRule="auto"/>
        <w:rPr>
          <w:sz w:val="20"/>
          <w:szCs w:val="20"/>
          <w:color w:val="auto"/>
        </w:rPr>
      </w:pPr>
      <w:r>
        <w:rPr>
          <w:rFonts w:ascii="Times New Roman" w:cs="Times New Roman" w:eastAsia="Times New Roman" w:hAnsi="Times New Roman"/>
          <w:sz w:val="19"/>
          <w:szCs w:val="19"/>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Any future litigation against us could be costly and time-consuming to defend.</w:t>
      </w:r>
    </w:p>
    <w:p>
      <w:pPr>
        <w:spacing w:after="0" w:line="254"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auto"/>
        </w:rPr>
        <w:t>We have in the past, and may in the future, become subject to legal proceedings and claims that arise in the ordinary course of business. Such claims may be brought by our clients in connection with commercial disputes, employment claims made by our current or former employees, or lawsuits related to breaches of personal information. Litigation might result in substantial costs and may divert management’s attention and resources, which could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580"/>
          </w:cols>
          <w:pgMar w:left="1140" w:top="872" w:right="1160" w:bottom="0" w:gutter="0" w:footer="0" w:header="0"/>
          <w:type w:val="continuous"/>
        </w:sectPr>
      </w:pPr>
    </w:p>
    <w:bookmarkStart w:id="33" w:name="page34"/>
    <w:bookmarkEnd w:id="33"/>
    <w:p>
      <w:pPr>
        <w:ind w:left="700"/>
        <w:spacing w:after="0"/>
        <w:rPr>
          <w:sz w:val="20"/>
          <w:szCs w:val="20"/>
          <w:color w:val="auto"/>
        </w:rPr>
      </w:pPr>
      <w:r>
        <w:rPr>
          <w:rFonts w:ascii="Times New Roman" w:cs="Times New Roman" w:eastAsia="Times New Roman" w:hAnsi="Times New Roman"/>
          <w:sz w:val="19"/>
          <w:szCs w:val="19"/>
          <w:b w:val="1"/>
          <w:bCs w:val="1"/>
          <w:color w:val="auto"/>
        </w:rPr>
        <w:t>Risks Related to Financial Matters</w:t>
      </w:r>
    </w:p>
    <w:p>
      <w:pPr>
        <w:spacing w:after="0" w:line="24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9"/>
          <w:szCs w:val="19"/>
          <w:b w:val="1"/>
          <w:bCs w:val="1"/>
          <w:i w:val="1"/>
          <w:iCs w:val="1"/>
          <w:color w:val="auto"/>
        </w:rPr>
        <w:t>Our revolving credit agreement contains covenants that may constrain the operation of our business, and our failure to comply with these covenants could have a material adverse effect on our financial condition</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right="180" w:firstLine="698"/>
        <w:spacing w:after="0" w:line="263" w:lineRule="auto"/>
        <w:rPr>
          <w:sz w:val="20"/>
          <w:szCs w:val="20"/>
          <w:color w:val="auto"/>
        </w:rPr>
      </w:pPr>
      <w:r>
        <w:rPr>
          <w:rFonts w:ascii="Times New Roman" w:cs="Times New Roman" w:eastAsia="Times New Roman" w:hAnsi="Times New Roman"/>
          <w:sz w:val="19"/>
          <w:szCs w:val="19"/>
          <w:color w:val="auto"/>
        </w:rPr>
        <w:t>Our revolving credit agreement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would limit our ability to borrow under the revolving credit agreement, and amounts outstanding, if any, could become immediately due and payable. Any such failure could have a negative impact on our business and financial condition.</w:t>
      </w:r>
    </w:p>
    <w:p>
      <w:pPr>
        <w:spacing w:after="0" w:line="186"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65"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193" w:lineRule="exact"/>
        <w:rPr>
          <w:sz w:val="20"/>
          <w:szCs w:val="20"/>
          <w:color w:val="auto"/>
        </w:rPr>
      </w:pPr>
    </w:p>
    <w:p>
      <w:pPr>
        <w:ind w:right="100" w:firstLine="698"/>
        <w:spacing w:after="0" w:line="262" w:lineRule="auto"/>
        <w:rPr>
          <w:sz w:val="20"/>
          <w:szCs w:val="20"/>
          <w:color w:val="auto"/>
        </w:rPr>
      </w:pPr>
      <w:r>
        <w:rPr>
          <w:rFonts w:ascii="Times New Roman" w:cs="Times New Roman" w:eastAsia="Times New Roman" w:hAnsi="Times New Roman"/>
          <w:sz w:val="19"/>
          <w:szCs w:val="19"/>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8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reported financial results may be adversely affected by changes in accounting principles generally accepted in the United States.</w:t>
      </w:r>
    </w:p>
    <w:p>
      <w:pPr>
        <w:spacing w:after="0" w:line="165" w:lineRule="exact"/>
        <w:rPr>
          <w:sz w:val="20"/>
          <w:szCs w:val="20"/>
          <w:color w:val="auto"/>
        </w:rPr>
      </w:pPr>
    </w:p>
    <w:p>
      <w:pPr>
        <w:ind w:right="200" w:firstLine="698"/>
        <w:spacing w:after="0" w:line="265" w:lineRule="auto"/>
        <w:rPr>
          <w:sz w:val="20"/>
          <w:szCs w:val="20"/>
          <w:color w:val="auto"/>
        </w:rPr>
      </w:pPr>
      <w:r>
        <w:rPr>
          <w:rFonts w:ascii="Times New Roman" w:cs="Times New Roman" w:eastAsia="Times New Roman" w:hAnsi="Times New Roman"/>
          <w:sz w:val="19"/>
          <w:szCs w:val="19"/>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Risks Related to Ownership of Our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stock price may be subject to wide fluctuations.</w:t>
      </w:r>
    </w:p>
    <w:p>
      <w:pPr>
        <w:spacing w:after="0" w:line="254" w:lineRule="exact"/>
        <w:rPr>
          <w:sz w:val="20"/>
          <w:szCs w:val="20"/>
          <w:color w:val="auto"/>
        </w:rPr>
      </w:pPr>
    </w:p>
    <w:p>
      <w:pPr>
        <w:jc w:val="both"/>
        <w:ind w:right="220" w:firstLine="698"/>
        <w:spacing w:after="0" w:line="274" w:lineRule="auto"/>
        <w:rPr>
          <w:sz w:val="20"/>
          <w:szCs w:val="20"/>
          <w:color w:val="auto"/>
        </w:rPr>
      </w:pPr>
      <w:r>
        <w:rPr>
          <w:rFonts w:ascii="Times New Roman" w:cs="Times New Roman" w:eastAsia="Times New Roman" w:hAnsi="Times New Roman"/>
          <w:sz w:val="19"/>
          <w:szCs w:val="19"/>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83" w:lineRule="exact"/>
        <w:rPr>
          <w:sz w:val="20"/>
          <w:szCs w:val="20"/>
          <w:color w:val="auto"/>
        </w:rPr>
      </w:pPr>
    </w:p>
    <w:p>
      <w:pPr>
        <w:ind w:left="1400" w:hanging="356"/>
        <w:spacing w:after="0"/>
        <w:tabs>
          <w:tab w:leader="none" w:pos="14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Our operating performance and the operating performance of similar companies;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Announcements by us or our competitors of acquisitions, business plans or commercial relationships;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major change in our board of directors or senior management;</w:t>
      </w:r>
    </w:p>
    <w:p>
      <w:pPr>
        <w:spacing w:after="0" w:line="247" w:lineRule="exact"/>
        <w:rPr>
          <w:rFonts w:ascii="Times New Roman" w:cs="Times New Roman" w:eastAsia="Times New Roman" w:hAnsi="Times New Roman"/>
          <w:sz w:val="19"/>
          <w:szCs w:val="19"/>
          <w:b w:val="1"/>
          <w:bCs w:val="1"/>
          <w:color w:val="auto"/>
        </w:rPr>
      </w:pPr>
    </w:p>
    <w:p>
      <w:pPr>
        <w:ind w:left="1400" w:right="180" w:hanging="356"/>
        <w:spacing w:after="0" w:line="293" w:lineRule="auto"/>
        <w:tabs>
          <w:tab w:leader="none" w:pos="14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Publication of research reports or news stories about us, our competitors, or our industry, or positive or negative recommendations or withdrawal of research coverage by securities analysts;</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public’s reaction to our press releases, our other public announcements and our filings with the SEC;</w:t>
      </w:r>
    </w:p>
    <w:p>
      <w:pPr>
        <w:sectPr>
          <w:pgSz w:w="11880" w:h="15480" w:orient="portrait"/>
          <w:cols w:equalWidth="0" w:num="1">
            <w:col w:w="9560"/>
          </w:cols>
          <w:pgMar w:left="1140" w:top="865" w:right="118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560"/>
          </w:cols>
          <w:pgMar w:left="1140" w:top="865" w:right="1180" w:bottom="0" w:gutter="0" w:footer="0" w:header="0"/>
          <w:type w:val="continuous"/>
        </w:sectPr>
      </w:pPr>
    </w:p>
    <w:bookmarkStart w:id="34" w:name="page35"/>
    <w:bookmarkEnd w:id="34"/>
    <w:p>
      <w:pPr>
        <w:ind w:left="1400" w:right="280" w:hanging="356"/>
        <w:spacing w:after="0" w:line="293" w:lineRule="auto"/>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Repurchases of our common stock under our share repurchase program or the decision to terminate or suspend any repurchases;</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Sales of our common stock by our directors, executive officers and affiliates;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Adverse market reaction to any indebtedness we may incur or securities we may issue in the future;</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Short sales, hedging and other derivative transactions in our common stock;</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Threatened or actual litigation;</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Public health issues; and</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line="271" w:lineRule="auto"/>
        <w:tabs>
          <w:tab w:leader="none" w:pos="140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Other events or factors, including changes in general conditions in the United States and global economies or financial markets (including acts of God, war, incidents of terrorism, inflationary pressures, impact of tariffs and changes in trade policies or other destabilizing events and the resulting responses to them).</w:t>
      </w:r>
    </w:p>
    <w:p>
      <w:pPr>
        <w:spacing w:after="0" w:line="200" w:lineRule="exact"/>
        <w:rPr>
          <w:sz w:val="20"/>
          <w:szCs w:val="20"/>
          <w:color w:val="auto"/>
        </w:rPr>
      </w:pPr>
    </w:p>
    <w:p>
      <w:pPr>
        <w:spacing w:after="0" w:line="224" w:lineRule="exact"/>
        <w:rPr>
          <w:sz w:val="20"/>
          <w:szCs w:val="20"/>
          <w:color w:val="auto"/>
        </w:rPr>
      </w:pPr>
    </w:p>
    <w:p>
      <w:pPr>
        <w:ind w:right="20" w:firstLine="698"/>
        <w:spacing w:after="0" w:line="263" w:lineRule="auto"/>
        <w:rPr>
          <w:sz w:val="20"/>
          <w:szCs w:val="20"/>
          <w:color w:val="auto"/>
        </w:rPr>
      </w:pPr>
      <w:r>
        <w:rPr>
          <w:rFonts w:ascii="Times New Roman" w:cs="Times New Roman" w:eastAsia="Times New Roman" w:hAnsi="Times New Roman"/>
          <w:sz w:val="19"/>
          <w:szCs w:val="19"/>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6"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share repurchase program may increase the volatility of the market price of our stock and adversely affect our liquidity. Further, we may not realize the anticipated long-term stockholder value of our share repurchase program.</w:t>
      </w:r>
    </w:p>
    <w:p>
      <w:pPr>
        <w:spacing w:after="0" w:line="165" w:lineRule="exact"/>
        <w:rPr>
          <w:sz w:val="20"/>
          <w:szCs w:val="20"/>
          <w:color w:val="auto"/>
        </w:rPr>
      </w:pPr>
    </w:p>
    <w:p>
      <w:pPr>
        <w:ind w:right="120" w:firstLine="698"/>
        <w:spacing w:after="0" w:line="261" w:lineRule="auto"/>
        <w:rPr>
          <w:sz w:val="20"/>
          <w:szCs w:val="20"/>
          <w:color w:val="auto"/>
        </w:rPr>
      </w:pPr>
      <w:r>
        <w:rPr>
          <w:rFonts w:ascii="Times New Roman" w:cs="Times New Roman" w:eastAsia="Times New Roman" w:hAnsi="Times New Roman"/>
          <w:sz w:val="19"/>
          <w:szCs w:val="19"/>
          <w:color w:val="auto"/>
        </w:rPr>
        <w:t>In May 2024, we announced that our board of directors approved a share repurchase program, authorizing the purchase of up to $500 million of our issued and outstanding common stock. In July 2025 and April 2026, our board of directors approved $500 million and $1 billion increases, respectively, to the share repurchase program. The authorization does not obligate us to repurchase any specific dollar amount or number of shares, there is no expiration date for the authorization, and the repurchase program may be modified, suspended or terminated at any time and for any reason. Any future announcement of a termination or suspension of the program, or our decision not to utilize the full authorized repurchase amount under the program, may reduce investor confidence and/or result in a decrease in the market price of our shares.</w:t>
      </w:r>
    </w:p>
    <w:p>
      <w:pPr>
        <w:spacing w:after="0" w:line="194" w:lineRule="exact"/>
        <w:rPr>
          <w:sz w:val="20"/>
          <w:szCs w:val="20"/>
          <w:color w:val="auto"/>
        </w:rPr>
      </w:pPr>
    </w:p>
    <w:p>
      <w:pPr>
        <w:ind w:right="160" w:firstLine="698"/>
        <w:spacing w:after="0" w:line="265" w:lineRule="auto"/>
        <w:rPr>
          <w:sz w:val="20"/>
          <w:szCs w:val="20"/>
          <w:color w:val="auto"/>
        </w:rPr>
      </w:pPr>
      <w:r>
        <w:rPr>
          <w:rFonts w:ascii="Times New Roman" w:cs="Times New Roman" w:eastAsia="Times New Roman" w:hAnsi="Times New Roman"/>
          <w:sz w:val="19"/>
          <w:szCs w:val="19"/>
          <w:color w:val="auto"/>
        </w:rPr>
        <w:t>The existence of the repurchase program could cause our stock price to trade higher than it otherwise would and could potentially reduce the market liquidity for our stock. The repurchase program may not enhance long-term stockholder value because the market price of our common stock may decline below the levels at which we repurchased shares. Additionally, short-term stock price fluctuations could reduce the number or amount of shares we may ultimately repurchase pursuant to the program.</w:t>
      </w:r>
    </w:p>
    <w:p>
      <w:pPr>
        <w:spacing w:after="0" w:line="191"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Repurchasing our common stock will reduce the amount of cash we have available to fund working capital, repayment of debt, capital expenditures, strategic acquisitions or business opportunities, and other general corporate purposes. The actual timing, number and value of shares repurchased will depend on various factors, including the market price of our common stock, trading volume, general market conditions and other corporate and economic considerations.</w:t>
      </w:r>
    </w:p>
    <w:p>
      <w:pPr>
        <w:spacing w:after="0" w:line="181"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65" w:lineRule="exact"/>
        <w:rPr>
          <w:sz w:val="20"/>
          <w:szCs w:val="20"/>
          <w:color w:val="auto"/>
        </w:rPr>
      </w:pPr>
    </w:p>
    <w:p>
      <w:pPr>
        <w:ind w:firstLine="698"/>
        <w:spacing w:after="0" w:line="263" w:lineRule="auto"/>
        <w:rPr>
          <w:sz w:val="20"/>
          <w:szCs w:val="20"/>
          <w:color w:val="auto"/>
        </w:rPr>
      </w:pPr>
      <w:r>
        <w:rPr>
          <w:rFonts w:ascii="Times New Roman" w:cs="Times New Roman" w:eastAsia="Times New Roman" w:hAnsi="Times New Roman"/>
          <w:sz w:val="19"/>
          <w:szCs w:val="19"/>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580"/>
          </w:cols>
          <w:pgMar w:left="1140" w:top="872" w:right="1160" w:bottom="0" w:gutter="0" w:footer="0" w:header="0"/>
          <w:type w:val="continuous"/>
        </w:sectPr>
      </w:pPr>
    </w:p>
    <w:bookmarkStart w:id="35" w:name="page36"/>
    <w:bookmarkEnd w:id="35"/>
    <w:p>
      <w:pPr>
        <w:ind w:right="3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Future issuances of shares of our common stock would dilute the ownership of our existing stockholders and could depress the market price of our common stock.</w:t>
      </w:r>
    </w:p>
    <w:p>
      <w:pPr>
        <w:spacing w:after="0" w:line="165" w:lineRule="exact"/>
        <w:rPr>
          <w:sz w:val="20"/>
          <w:szCs w:val="20"/>
          <w:color w:val="auto"/>
        </w:rPr>
      </w:pPr>
    </w:p>
    <w:p>
      <w:pPr>
        <w:ind w:right="40" w:firstLine="698"/>
        <w:spacing w:after="0" w:line="260" w:lineRule="auto"/>
        <w:rPr>
          <w:sz w:val="20"/>
          <w:szCs w:val="20"/>
          <w:color w:val="auto"/>
        </w:rPr>
      </w:pPr>
      <w:r>
        <w:rPr>
          <w:rFonts w:ascii="Times New Roman" w:cs="Times New Roman" w:eastAsia="Times New Roman" w:hAnsi="Times New Roman"/>
          <w:sz w:val="19"/>
          <w:szCs w:val="19"/>
          <w:color w:val="auto"/>
        </w:rPr>
        <w:t>Our third amended and restated certificate of incorporation authorizes the issuance of up to 155,000,000 shares of common stock and 5,000,000 shares of preferred stock with such rights, preferences, privileges and restrictions as determined by the board of directors. We may issue all or any portion of the capital stock which has been authorized but not issued subject to applicable rules and regulations, which may not require any action or approval by our stockholders. Also, in the future, we may issue additional securities in connection with investments and acquisitions. The amount of our common stock issued in connection with an investment or acquisition could constitute a material portion of our then outstanding stock. Due to these factors, issuances of a substantial number of shares of our common stock into the public market could occur at any time, which would dilute the ownership proportion of current stockholders and could cause the price of our common stock to decline.</w:t>
      </w:r>
    </w:p>
    <w:p>
      <w:pPr>
        <w:spacing w:after="0" w:line="19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65"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third amended and restated certificate of incorporation and third amended and restated bylaws may discourage, delay or prevent a change in our management or control over us that stockholders may consider favorable. Our third amended and restated certificate of incorporation and bylaws:</w:t>
      </w:r>
    </w:p>
    <w:p>
      <w:pPr>
        <w:spacing w:after="0" w:line="193" w:lineRule="exact"/>
        <w:rPr>
          <w:sz w:val="20"/>
          <w:szCs w:val="20"/>
          <w:color w:val="auto"/>
        </w:rPr>
      </w:pPr>
    </w:p>
    <w:p>
      <w:pPr>
        <w:ind w:left="1400" w:right="80" w:hanging="356"/>
        <w:spacing w:after="0" w:line="293" w:lineRule="auto"/>
        <w:tabs>
          <w:tab w:leader="none" w:pos="1400"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Authorize the issuance of “blank check” convertible preferred stock that could be issued by our board of directors to thwart a takeover attempt;</w:t>
      </w:r>
    </w:p>
    <w:p>
      <w:pPr>
        <w:spacing w:after="0" w:line="164" w:lineRule="exact"/>
        <w:rPr>
          <w:rFonts w:ascii="Times New Roman" w:cs="Times New Roman" w:eastAsia="Times New Roman" w:hAnsi="Times New Roman"/>
          <w:sz w:val="19"/>
          <w:szCs w:val="19"/>
          <w:b w:val="1"/>
          <w:bCs w:val="1"/>
          <w:color w:val="auto"/>
        </w:rPr>
      </w:pPr>
    </w:p>
    <w:p>
      <w:pPr>
        <w:ind w:left="1400" w:right="340" w:hanging="356"/>
        <w:spacing w:after="0" w:line="293" w:lineRule="auto"/>
        <w:tabs>
          <w:tab w:leader="none" w:pos="1400"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Provide that vacancies on the board of directors, including newly created directorships, may be filled only by a majority vote of directors then in office rather than by stockholders;</w:t>
      </w:r>
    </w:p>
    <w:p>
      <w:pPr>
        <w:spacing w:after="0" w:line="164"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Prevent stockholders from calling special meetings; and</w:t>
      </w:r>
    </w:p>
    <w:p>
      <w:pPr>
        <w:spacing w:after="0" w:line="247" w:lineRule="exact"/>
        <w:rPr>
          <w:rFonts w:ascii="Times New Roman" w:cs="Times New Roman" w:eastAsia="Times New Roman" w:hAnsi="Times New Roman"/>
          <w:sz w:val="19"/>
          <w:szCs w:val="19"/>
          <w:b w:val="1"/>
          <w:bCs w:val="1"/>
          <w:color w:val="auto"/>
        </w:rPr>
      </w:pPr>
    </w:p>
    <w:p>
      <w:pPr>
        <w:ind w:left="1400" w:right="560" w:hanging="356"/>
        <w:spacing w:after="0" w:line="293" w:lineRule="auto"/>
        <w:tabs>
          <w:tab w:leader="none" w:pos="1400"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Prohibit stockholder action by written consent, requiring all actions to be taken at a meeting of the stockholders.</w:t>
      </w:r>
    </w:p>
    <w:p>
      <w:pPr>
        <w:spacing w:after="0" w:line="158"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65" w:lineRule="exact"/>
        <w:rPr>
          <w:sz w:val="20"/>
          <w:szCs w:val="20"/>
          <w:color w:val="auto"/>
        </w:rPr>
      </w:pPr>
    </w:p>
    <w:p>
      <w:pPr>
        <w:ind w:right="80" w:firstLine="698"/>
        <w:spacing w:after="0" w:line="261" w:lineRule="auto"/>
        <w:rPr>
          <w:sz w:val="20"/>
          <w:szCs w:val="20"/>
          <w:color w:val="auto"/>
        </w:rPr>
      </w:pPr>
      <w:r>
        <w:rPr>
          <w:rFonts w:ascii="Times New Roman" w:cs="Times New Roman" w:eastAsia="Times New Roman" w:hAnsi="Times New Roman"/>
          <w:sz w:val="19"/>
          <w:szCs w:val="19"/>
          <w:color w:val="auto"/>
        </w:rPr>
        <w:t>Our third amended and restated bylaws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Economic and market conditions could adversely affect our business, results of operations and financial condition.</w:t>
      </w:r>
    </w:p>
    <w:p>
      <w:pPr>
        <w:spacing w:after="0" w:line="254"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Our business depends on the overall demand for our software solutions, and on the economic health of our current and prospective clients. As a result, we and our clients are subject to risks arising from adverse changes in economic and market conditions such as lower employment levels, increasing interest rates, inflation, tariffs, changes in trade policies, volatility in capital markets, and instability of the banking environment, among other factors. During an economic slowdown or downturn, clients may reduce their number of employees and delay or reduce their spending on HCM, finance and IT solutions or renegotiate their contracts with us. This could result in reductions in our revenues and sales of our products, longer sales cycles, increased price competition and clients’ purchasing fewer solutions than they have in the</w:t>
      </w:r>
    </w:p>
    <w:p>
      <w:pPr>
        <w:sectPr>
          <w:pgSz w:w="11880" w:h="15480" w:orient="portrait"/>
          <w:cols w:equalWidth="0" w:num="1">
            <w:col w:w="9560"/>
          </w:cols>
          <w:pgMar w:left="1140" w:top="865" w:right="118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560"/>
          </w:cols>
          <w:pgMar w:left="1140" w:top="865" w:right="1180" w:bottom="0" w:gutter="0" w:footer="0" w:header="0"/>
          <w:type w:val="continuous"/>
        </w:sectPr>
      </w:pPr>
    </w:p>
    <w:bookmarkStart w:id="36" w:name="page37"/>
    <w:bookmarkEnd w:id="36"/>
    <w:p>
      <w:pPr>
        <w:ind w:right="320"/>
        <w:spacing w:after="0" w:line="293" w:lineRule="auto"/>
        <w:rPr>
          <w:sz w:val="20"/>
          <w:szCs w:val="20"/>
          <w:color w:val="auto"/>
        </w:rPr>
      </w:pPr>
      <w:r>
        <w:rPr>
          <w:rFonts w:ascii="Times New Roman" w:cs="Times New Roman" w:eastAsia="Times New Roman" w:hAnsi="Times New Roman"/>
          <w:sz w:val="19"/>
          <w:szCs w:val="19"/>
          <w:color w:val="auto"/>
        </w:rPr>
        <w:t>past. Any of these events would likely harm our business, results of operations, financial condition and cash flows from operations.</w:t>
      </w:r>
    </w:p>
    <w:p>
      <w:pPr>
        <w:spacing w:after="0" w:line="158"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85" w:lineRule="exact"/>
        <w:rPr>
          <w:sz w:val="20"/>
          <w:szCs w:val="20"/>
          <w:color w:val="auto"/>
        </w:rPr>
      </w:pPr>
    </w:p>
    <w:p>
      <w:pPr>
        <w:ind w:right="80" w:firstLine="698"/>
        <w:spacing w:after="0" w:line="258" w:lineRule="auto"/>
        <w:rPr>
          <w:sz w:val="20"/>
          <w:szCs w:val="20"/>
          <w:color w:val="auto"/>
        </w:rPr>
      </w:pPr>
      <w:r>
        <w:rPr>
          <w:rFonts w:ascii="Times New Roman" w:cs="Times New Roman" w:eastAsia="Times New Roman" w:hAnsi="Times New Roman"/>
          <w:sz w:val="19"/>
          <w:szCs w:val="19"/>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Risk Management and Strategy</w:t>
      </w:r>
    </w:p>
    <w:p>
      <w:pPr>
        <w:spacing w:after="0" w:line="254" w:lineRule="exact"/>
        <w:rPr>
          <w:sz w:val="20"/>
          <w:szCs w:val="20"/>
          <w:color w:val="auto"/>
        </w:rPr>
      </w:pPr>
    </w:p>
    <w:p>
      <w:pPr>
        <w:ind w:right="40" w:firstLine="698"/>
        <w:spacing w:after="0" w:line="293" w:lineRule="auto"/>
        <w:rPr>
          <w:sz w:val="20"/>
          <w:szCs w:val="20"/>
          <w:color w:val="auto"/>
        </w:rPr>
      </w:pPr>
      <w:r>
        <w:rPr>
          <w:rFonts w:ascii="Times New Roman" w:cs="Times New Roman" w:eastAsia="Times New Roman" w:hAnsi="Times New Roman"/>
          <w:sz w:val="19"/>
          <w:szCs w:val="19"/>
          <w:color w:val="auto"/>
        </w:rPr>
        <w:t>Our cybersecurity risk management program, which is integrated into our overall risk management function, includes processes to assess, identify and manage material risks arising from cybersecurity threats, including the following:</w:t>
      </w:r>
    </w:p>
    <w:p>
      <w:pPr>
        <w:spacing w:after="0" w:line="163" w:lineRule="exact"/>
        <w:rPr>
          <w:sz w:val="20"/>
          <w:szCs w:val="20"/>
          <w:color w:val="auto"/>
        </w:rPr>
      </w:pPr>
    </w:p>
    <w:p>
      <w:pPr>
        <w:ind w:right="100" w:firstLine="698"/>
        <w:spacing w:after="0" w:line="265"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Information Security Policies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maintain information security policies that are formally reviewed and approved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senior management and are periodically updated for new developments. These policies are aligned with standard industry frameworks including the National Institute of Standards and Technology Cybersecurity Framework Version 2.0 (NIST CSF 2.0), Committee of Sponsoring Organizations (COSO), and International Organization for Standardization (ISO) 27001 to establish structured governance, policies, standards, and controls.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1889760</wp:posOffset>
                </wp:positionH>
                <wp:positionV relativeFrom="paragraph">
                  <wp:posOffset>-725805</wp:posOffset>
                </wp:positionV>
                <wp:extent cx="4169410" cy="11176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69410" cy="111760"/>
                        </a:xfrm>
                        <a:prstGeom prst="rect">
                          <a:avLst/>
                        </a:prstGeom>
                        <a:solidFill>
                          <a:srgbClr val="FFFFFF"/>
                        </a:solidFill>
                      </wps:spPr>
                      <wps:bodyPr/>
                    </wps:wsp>
                  </a:graphicData>
                </a:graphic>
              </wp:anchor>
            </w:drawing>
          </mc:Choice>
          <mc:Fallback>
            <w:pict>
              <v:rect id="Shape 16" o:spid="_x0000_s1041" style="position:absolute;margin-left:148.8pt;margin-top:-57.1499pt;width:328.3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71" w:lineRule="exact"/>
        <w:rPr>
          <w:sz w:val="20"/>
          <w:szCs w:val="20"/>
          <w:color w:val="auto"/>
        </w:rPr>
      </w:pPr>
    </w:p>
    <w:p>
      <w:pPr>
        <w:ind w:right="100" w:firstLine="698"/>
        <w:spacing w:after="0" w:line="265"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Information Security Certifications and Audits</w:t>
      </w:r>
      <w:r>
        <w:rPr>
          <w:sz w:val="1"/>
          <w:szCs w:val="1"/>
          <w:color w:val="auto"/>
        </w:rPr>
        <w:drawing>
          <wp:inline distT="0" distB="0" distL="0" distR="0">
            <wp:extent cx="30480" cy="1117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30480" cy="111760"/>
                    </a:xfrm>
                    <a:prstGeom prst="rect">
                      <a:avLst/>
                    </a:prstGeom>
                    <a:noFill/>
                    <a:ln>
                      <a:noFill/>
                    </a:ln>
                  </pic:spPr>
                </pic:pic>
              </a:graphicData>
            </a:graphic>
          </wp:inline>
        </w:drawing>
      </w:r>
      <w:r>
        <w:rPr>
          <w:rFonts w:ascii="Times New Roman" w:cs="Times New Roman" w:eastAsia="Times New Roman" w:hAnsi="Times New Roman"/>
          <w:sz w:val="19"/>
          <w:szCs w:val="19"/>
          <w:color w:val="auto"/>
          <w:highlight w:val="white"/>
        </w:rPr>
        <w:t xml:space="preserve">We maintain certification for compliance with ISO 27001:2022 as </w:t>
      </w:r>
      <w:r>
        <w:rPr>
          <w:rFonts w:ascii="Times New Roman" w:cs="Times New Roman" w:eastAsia="Times New Roman" w:hAnsi="Times New Roman"/>
          <w:sz w:val="19"/>
          <w:szCs w:val="19"/>
          <w:color w:val="auto"/>
        </w:rPr>
        <w:t>assessed by an independent third-party auditor. We also engage an independent accounting firm to perform assessments of our procedures and controls as part of our annual Systems and Organization Controls (SOC) 1 and SOC 2 audits. In addition, we periodically engage independent third-party security firms and consultants to conduct risk assessments, penetration tests, and program maturity evaluations to validate and improve aspects of our cybersecurity program.</w:t>
      </w:r>
    </w:p>
    <w:p>
      <w:pPr>
        <w:spacing w:after="0" w:line="191"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Security Awareness and Training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Through our onboarding process, each new employee is required to complete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security training upon employment. Our employees also are required to complete annual security and privacy training to maintain our focus on protecting our information and that of our clients and their employees. This mandatory training educates our employees on safe handling of sensitive information, appropriate responses to a suspected data security breach, and awareness of security responsibilities. We strive to promote a healthy security awareness culture throughout the organization through supplemental education, training courses, videos, internal and external publications, and supporting activities including periodic phishing simulations and social engineering exercises. We also invest in our Information Security professionals with continued information security training and certifications. Our training program also includes content designed to promote awareness of risks associated with artificial intelligence technologies, including AI-enabled social engineering tactics and responsible use of AI tools in the workplace.</w:t>
      </w:r>
    </w:p>
    <w:p>
      <w:pPr>
        <w:spacing w:after="0" w:line="194" w:lineRule="exact"/>
        <w:rPr>
          <w:sz w:val="20"/>
          <w:szCs w:val="20"/>
          <w:color w:val="auto"/>
        </w:rPr>
      </w:pPr>
    </w:p>
    <w:p>
      <w:pPr>
        <w:ind w:right="600" w:firstLine="698"/>
        <w:spacing w:after="0" w:line="295"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Data and Web Security Safeguards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have implemented the following information security solutions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2171065</wp:posOffset>
                </wp:positionH>
                <wp:positionV relativeFrom="paragraph">
                  <wp:posOffset>-300990</wp:posOffset>
                </wp:positionV>
                <wp:extent cx="3575050" cy="11176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75050" cy="111760"/>
                        </a:xfrm>
                        <a:prstGeom prst="rect">
                          <a:avLst/>
                        </a:prstGeom>
                        <a:solidFill>
                          <a:srgbClr val="FFFFFF"/>
                        </a:solidFill>
                      </wps:spPr>
                      <wps:bodyPr/>
                    </wps:wsp>
                  </a:graphicData>
                </a:graphic>
              </wp:anchor>
            </w:drawing>
          </mc:Choice>
          <mc:Fallback>
            <w:pict>
              <v:rect id="Shape 18" o:spid="_x0000_s1043" style="position:absolute;margin-left:170.95pt;margin-top:-23.6999pt;width:281.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600"/>
          </w:cols>
          <w:pgMar w:left="1140" w:top="872" w:right="1140" w:bottom="0" w:gutter="0" w:footer="0" w:header="0"/>
          <w:type w:val="continuous"/>
        </w:sectPr>
      </w:pPr>
    </w:p>
    <w:bookmarkStart w:id="37" w:name="page38"/>
    <w:bookmarkEnd w:id="37"/>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deployment of intrusion prevention systems designed to detect and block malicious traffic,</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web application firewalls designed to protect our application from attacks,</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network firewalls,</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security information and event management,</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user and entity behavior analytics,</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endpoint detection and response designed to protect our workstation and server population,</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data loss prevention software at multiple layers of our IT environment,</w:t>
      </w:r>
    </w:p>
    <w:p>
      <w:pPr>
        <w:spacing w:after="0" w:line="130"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regular penetration testing conducted by both our internal teams and external providers,</w:t>
      </w:r>
    </w:p>
    <w:p>
      <w:pPr>
        <w:spacing w:after="0" w:line="130" w:lineRule="exact"/>
        <w:rPr>
          <w:rFonts w:ascii="Times New Roman" w:cs="Times New Roman" w:eastAsia="Times New Roman" w:hAnsi="Times New Roman"/>
          <w:sz w:val="19"/>
          <w:szCs w:val="19"/>
          <w:b w:val="1"/>
          <w:bCs w:val="1"/>
          <w:color w:val="auto"/>
        </w:rPr>
      </w:pPr>
    </w:p>
    <w:p>
      <w:pPr>
        <w:ind w:left="700" w:firstLine="344"/>
        <w:spacing w:after="0" w:line="293" w:lineRule="auto"/>
        <w:tabs>
          <w:tab w:leader="none" w:pos="1398"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 multi-layered vulnerability management program designed to identify technical bugs within our product and infrastructure including automated scanning technologies and manual review processes, and</w:t>
      </w:r>
    </w:p>
    <w:p>
      <w:pPr>
        <w:spacing w:after="0" w:line="48" w:lineRule="exact"/>
        <w:rPr>
          <w:rFonts w:ascii="Times New Roman" w:cs="Times New Roman" w:eastAsia="Times New Roman" w:hAnsi="Times New Roman"/>
          <w:sz w:val="19"/>
          <w:szCs w:val="19"/>
          <w:b w:val="1"/>
          <w:bCs w:val="1"/>
          <w:color w:val="auto"/>
        </w:rPr>
      </w:pPr>
    </w:p>
    <w:p>
      <w:pPr>
        <w:ind w:left="700" w:right="440" w:firstLine="344"/>
        <w:spacing w:after="0" w:line="293" w:lineRule="auto"/>
        <w:tabs>
          <w:tab w:leader="none" w:pos="1398"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 staffed security operations function that monitors our environment on a continuous basis to detect, investigate, and respond to cybersecurity threats and anomalies.</w:t>
      </w:r>
    </w:p>
    <w:p>
      <w:pPr>
        <w:spacing w:after="0" w:line="165" w:lineRule="exact"/>
        <w:rPr>
          <w:sz w:val="20"/>
          <w:szCs w:val="20"/>
          <w:color w:val="auto"/>
        </w:rPr>
      </w:pPr>
    </w:p>
    <w:p>
      <w:pPr>
        <w:ind w:right="20" w:firstLine="698"/>
        <w:spacing w:after="0" w:line="274" w:lineRule="auto"/>
        <w:rPr>
          <w:sz w:val="20"/>
          <w:szCs w:val="20"/>
          <w:color w:val="auto"/>
        </w:rPr>
      </w:pPr>
      <w:r>
        <w:rPr>
          <w:rFonts w:ascii="Times New Roman" w:cs="Times New Roman" w:eastAsia="Times New Roman" w:hAnsi="Times New Roman"/>
          <w:sz w:val="19"/>
          <w:szCs w:val="19"/>
          <w:color w:val="auto"/>
        </w:rPr>
        <w:t>We encrypt sensitive client information both during transmission and at rest using industry standard protocols. We also have a mature application security program that promotes security champions within the developer community to instill strong, secure coding practices for reducing vulnerabilities and delivering a secure web application.</w:t>
      </w:r>
    </w:p>
    <w:p>
      <w:pPr>
        <w:spacing w:after="0" w:line="181" w:lineRule="exact"/>
        <w:rPr>
          <w:sz w:val="20"/>
          <w:szCs w:val="20"/>
          <w:color w:val="auto"/>
        </w:rPr>
      </w:pPr>
    </w:p>
    <w:p>
      <w:pPr>
        <w:ind w:right="60" w:firstLine="698"/>
        <w:spacing w:after="0" w:line="265"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Incident Response Plan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highlight w:val="white"/>
        </w:rPr>
        <w:t>We maintain an incident response plan designed to provide a high-level framework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can be implemented in any cyber incident. The plan addresses identification of the incident, notifications to appropriate individuals, organization of response activities by role, and escalation procedures based on the severity of the incident. We also have action plans to support business remediation and recovery efforts in the event of an incident. We periodically test and refine our incident response plans through tabletop exercises involving cross-functional teams.</w:t>
      </w:r>
    </w:p>
    <w:p>
      <w:pPr>
        <w:spacing w:after="0" w:line="191" w:lineRule="exact"/>
        <w:rPr>
          <w:sz w:val="20"/>
          <w:szCs w:val="20"/>
          <w:color w:val="auto"/>
        </w:rPr>
      </w:pPr>
    </w:p>
    <w:p>
      <w:pPr>
        <w:ind w:right="40" w:firstLine="698"/>
        <w:spacing w:after="0" w:line="262"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Business Resilience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apply controls from best practices such as, but not limited to, The Business Continuity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Institute (BCI), Disaster Recovery Institute International (DRII), and International Organization for Standardization (ISO) 22301 for developing and maintaining threat-agnostic plans with strategies to continue client services and critical business operations in the event of a disruption to critical dependencies. The business resilience planning process includes business impact analyses, risk assessments, and continuity strategies. Our business resilience team conducts regular exercises to validate and continuously improve the plans and strategies, including conducting tabletop exercises with teams from across the organization.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1407795</wp:posOffset>
                </wp:positionH>
                <wp:positionV relativeFrom="paragraph">
                  <wp:posOffset>-1020445</wp:posOffset>
                </wp:positionV>
                <wp:extent cx="4512310" cy="11239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12310" cy="112395"/>
                        </a:xfrm>
                        <a:prstGeom prst="rect">
                          <a:avLst/>
                        </a:prstGeom>
                        <a:solidFill>
                          <a:srgbClr val="FFFFFF"/>
                        </a:solidFill>
                      </wps:spPr>
                      <wps:bodyPr/>
                    </wps:wsp>
                  </a:graphicData>
                </a:graphic>
              </wp:anchor>
            </w:drawing>
          </mc:Choice>
          <mc:Fallback>
            <w:pict>
              <v:rect id="Shape 19" o:spid="_x0000_s1044" style="position:absolute;margin-left:110.85pt;margin-top:-80.3499pt;width:355.3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73" w:lineRule="exact"/>
        <w:rPr>
          <w:sz w:val="20"/>
          <w:szCs w:val="20"/>
          <w:color w:val="auto"/>
        </w:rPr>
      </w:pPr>
    </w:p>
    <w:p>
      <w:pPr>
        <w:ind w:right="40" w:firstLine="698"/>
        <w:spacing w:after="0" w:line="259"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Third-Party Risk Management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monitor and reassess our third-party relationships on an ongoing basis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depending on risk level or in the event of a change of products and services provided to us. We also require third-party vendors, suppliers and service providers to undergo a cybersecurity risk assessment to be able to enter into a contract with us. The third-party risk assessments, conducted by our information security and enterprise risk management teams with input from key business stakeholders, involve understanding the products and services we obtain from the third party, what sensitive company and client data it will be able to access and an evaluation of the vendor’s security program and documentation. We also require that certain information security-related contract terms be incorporated into agreements with third parties that will have access to sensitive information before entering into such agreements. Our third-party risk management program also evaluates AI-related risks posed by vendors, including risks associated with third-party AI models, data processing practices, and the potential for AI-generated outputs to affect the confidentiality, integrity, or availability of our systems and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1945005</wp:posOffset>
                </wp:positionH>
                <wp:positionV relativeFrom="paragraph">
                  <wp:posOffset>-1607185</wp:posOffset>
                </wp:positionV>
                <wp:extent cx="3712845" cy="11239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2845" cy="112395"/>
                        </a:xfrm>
                        <a:prstGeom prst="rect">
                          <a:avLst/>
                        </a:prstGeom>
                        <a:solidFill>
                          <a:srgbClr val="FFFFFF"/>
                        </a:solidFill>
                      </wps:spPr>
                      <wps:bodyPr/>
                    </wps:wsp>
                  </a:graphicData>
                </a:graphic>
              </wp:anchor>
            </w:drawing>
          </mc:Choice>
          <mc:Fallback>
            <w:pict>
              <v:rect id="Shape 20" o:spid="_x0000_s1045" style="position:absolute;margin-left:153.15pt;margin-top:-126.5499pt;width:292.3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u w:val="single" w:color="auto"/>
          <w:color w:val="auto"/>
        </w:rPr>
        <w:t>Impact of Risks from Cybersecurity Threats</w:t>
      </w:r>
    </w:p>
    <w:p>
      <w:pPr>
        <w:spacing w:after="0" w:line="254" w:lineRule="exact"/>
        <w:rPr>
          <w:sz w:val="20"/>
          <w:szCs w:val="20"/>
          <w:color w:val="auto"/>
        </w:rPr>
      </w:pPr>
    </w:p>
    <w:p>
      <w:pPr>
        <w:ind w:right="20" w:firstLine="698"/>
        <w:spacing w:after="0" w:line="261" w:lineRule="auto"/>
        <w:rPr>
          <w:sz w:val="20"/>
          <w:szCs w:val="20"/>
          <w:color w:val="auto"/>
        </w:rPr>
      </w:pPr>
      <w:r>
        <w:rPr>
          <w:rFonts w:ascii="Times New Roman" w:cs="Times New Roman" w:eastAsia="Times New Roman" w:hAnsi="Times New Roman"/>
          <w:sz w:val="19"/>
          <w:szCs w:val="19"/>
          <w:color w:val="auto"/>
        </w:rPr>
        <w:t>Although we have experienced cybersecurity incidents in the past in the ordinary course of business, none of these incidents to date have materially affected our business strategy, results of operations or financial condition. We continue to invest in cyber-resilience and cyber-threat response preparedness as we anticipate ongoing risks from cybersecurity threats, including those driven by advancements in artificial intelligence. Despite our efforts, there can be no assurance that our risk management program will be effective in preventing cybersecurity incidents that could adversely affect our business strategy, results of operations or financial condition. For more information regarding risks from cybersecurity threats, please refer to the Risk Factors entitled “If our security measures are breached or unauthorized access to client data or funds is otherwise obtained, our solutions may be perceived as not being secure, clients may reduce the use of or stop using</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600"/>
          </w:cols>
          <w:pgMar w:left="1140" w:top="872" w:right="1140" w:bottom="0" w:gutter="0" w:footer="0" w:header="0"/>
          <w:type w:val="continuous"/>
        </w:sectPr>
      </w:pPr>
    </w:p>
    <w:bookmarkStart w:id="38" w:name="page39"/>
    <w:bookmarkEnd w:id="38"/>
    <w:p>
      <w:pPr>
        <w:ind w:right="360"/>
        <w:spacing w:after="0" w:line="293" w:lineRule="auto"/>
        <w:rPr>
          <w:sz w:val="20"/>
          <w:szCs w:val="20"/>
          <w:color w:val="auto"/>
        </w:rPr>
      </w:pPr>
      <w:r>
        <w:rPr>
          <w:rFonts w:ascii="Times New Roman" w:cs="Times New Roman" w:eastAsia="Times New Roman" w:hAnsi="Times New Roman"/>
          <w:sz w:val="19"/>
          <w:szCs w:val="19"/>
          <w:color w:val="auto"/>
        </w:rPr>
        <w:t>our solutions and we may incur significant liabilities.” and “Any failure to protect our intellectual property rights could impair our ability to protect our proprietary technology and our brand.” in Part I, Item 1A, Risk Factors.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Governance</w:t>
      </w:r>
    </w:p>
    <w:p>
      <w:pPr>
        <w:spacing w:after="0" w:line="254" w:lineRule="exact"/>
        <w:rPr>
          <w:sz w:val="20"/>
          <w:szCs w:val="20"/>
          <w:color w:val="auto"/>
        </w:rPr>
      </w:pPr>
    </w:p>
    <w:p>
      <w:pPr>
        <w:ind w:right="240" w:firstLine="698"/>
        <w:spacing w:after="0" w:line="263" w:lineRule="auto"/>
        <w:rPr>
          <w:sz w:val="20"/>
          <w:szCs w:val="20"/>
          <w:color w:val="auto"/>
        </w:rPr>
      </w:pPr>
      <w:r>
        <w:rPr>
          <w:rFonts w:ascii="Times New Roman" w:cs="Times New Roman" w:eastAsia="Times New Roman" w:hAnsi="Times New Roman"/>
          <w:sz w:val="19"/>
          <w:szCs w:val="19"/>
          <w:color w:val="auto"/>
        </w:rPr>
        <w:t>Our board of directors has delegated oversight of risk assessment and risk management activities, including oversight over cybersecurity risks, to the audit committee. The audit committee meets at least quarterly with our Vice President and Chief Information Security Officer (“CISO”), who oversees our overall information security risk management program. The CISO’s updates to the audit committee include recent developments related to the threat landscape, current IT-related risks, and corresponding controls or projects designed to mitigate those risks, as well as the status of ongoing cybersecurity initiatives and program maturity.</w:t>
      </w:r>
    </w:p>
    <w:p>
      <w:pPr>
        <w:spacing w:after="0" w:line="193" w:lineRule="exact"/>
        <w:rPr>
          <w:sz w:val="20"/>
          <w:szCs w:val="20"/>
          <w:color w:val="auto"/>
        </w:rPr>
      </w:pPr>
    </w:p>
    <w:p>
      <w:pPr>
        <w:ind w:right="180" w:firstLine="698"/>
        <w:spacing w:after="0" w:line="260" w:lineRule="auto"/>
        <w:rPr>
          <w:sz w:val="20"/>
          <w:szCs w:val="20"/>
          <w:color w:val="auto"/>
        </w:rPr>
      </w:pPr>
      <w:r>
        <w:rPr>
          <w:rFonts w:ascii="Times New Roman" w:cs="Times New Roman" w:eastAsia="Times New Roman" w:hAnsi="Times New Roman"/>
          <w:sz w:val="19"/>
          <w:szCs w:val="19"/>
          <w:color w:val="auto"/>
        </w:rPr>
        <w:t>Our CISO reports to our Chief Financial Officer and leads our cybersecurity risk management efforts and our dedicated information security team. Our CISO has over 20 years of information security experience, including over four years as a director in the information security management practice of a big four accounting firm. He holds multiple information security certifications and has a B.S. in Network Security. Our CISO leads our Information Security Steering Committee (“ISSC”), comprised of key executives and operating personnel from across the company, that oversees ongoing day-to-day management of our risks to information systems. The ISSC tracks risks and security initiatives, reviews the results of annual cybersecurity risk assessments, reviews the results of internal and third-party information security audits and assessments, identifies significant risks that threaten the achievement of security commitments and identifies controls to mitigate such risks.</w:t>
      </w:r>
    </w:p>
    <w:p>
      <w:pPr>
        <w:spacing w:after="0" w:line="198" w:lineRule="exact"/>
        <w:rPr>
          <w:sz w:val="20"/>
          <w:szCs w:val="20"/>
          <w:color w:val="auto"/>
        </w:rPr>
      </w:pPr>
    </w:p>
    <w:p>
      <w:pPr>
        <w:ind w:right="40" w:firstLine="698"/>
        <w:spacing w:after="0" w:line="268" w:lineRule="auto"/>
        <w:rPr>
          <w:sz w:val="20"/>
          <w:szCs w:val="20"/>
          <w:color w:val="auto"/>
        </w:rPr>
      </w:pPr>
      <w:r>
        <w:rPr>
          <w:rFonts w:ascii="Times New Roman" w:cs="Times New Roman" w:eastAsia="Times New Roman" w:hAnsi="Times New Roman"/>
          <w:sz w:val="19"/>
          <w:szCs w:val="19"/>
          <w:color w:val="auto"/>
        </w:rPr>
        <w:t>The CISO, along with other members of the ISSC and information security teams, remains apprised of developing cybersecurity trends through communications with the intelligence and law enforcement communities, vendors and industry engagement so that our cybersecurity risk management and governance controls and processes address new and evolving cybersecurity threats.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54" w:lineRule="exact"/>
        <w:rPr>
          <w:sz w:val="20"/>
          <w:szCs w:val="20"/>
          <w:color w:val="auto"/>
        </w:rPr>
      </w:pPr>
    </w:p>
    <w:p>
      <w:pPr>
        <w:ind w:firstLine="698"/>
        <w:spacing w:after="0" w:line="265" w:lineRule="auto"/>
        <w:rPr>
          <w:sz w:val="20"/>
          <w:szCs w:val="20"/>
          <w:color w:val="auto"/>
        </w:rPr>
      </w:pPr>
      <w:r>
        <w:rPr>
          <w:rFonts w:ascii="Times New Roman" w:cs="Times New Roman" w:eastAsia="Times New Roman" w:hAnsi="Times New Roman"/>
          <w:sz w:val="19"/>
          <w:szCs w:val="19"/>
          <w:color w:val="auto"/>
        </w:rPr>
        <w:t>As of June 30, 2026, our corporate headquarters occupied approximately 272,000 square feet in Schaumburg, Illinois under leases with final expiration in October 2032. We also utilize office spaces consisting of approximately 70,000 square feet in Lake Mary, Florida, approximately 78,000 square feet in Meridian, Idaho and approximately 35,000 square feet in Pittsford, New York as other major operations centers. We lease other smaller facilities, primarily across the U.S., that serve as data centers, sales offices and distribution centers.</w:t>
      </w:r>
    </w:p>
    <w:p>
      <w:pPr>
        <w:spacing w:after="0" w:line="191" w:lineRule="exact"/>
        <w:rPr>
          <w:sz w:val="20"/>
          <w:szCs w:val="20"/>
          <w:color w:val="auto"/>
        </w:rPr>
      </w:pPr>
    </w:p>
    <w:p>
      <w:pPr>
        <w:ind w:right="460" w:firstLine="698"/>
        <w:spacing w:after="0" w:line="274" w:lineRule="auto"/>
        <w:rPr>
          <w:sz w:val="20"/>
          <w:szCs w:val="20"/>
          <w:color w:val="auto"/>
        </w:rPr>
      </w:pPr>
      <w:r>
        <w:rPr>
          <w:rFonts w:ascii="Times New Roman" w:cs="Times New Roman" w:eastAsia="Times New Roman" w:hAnsi="Times New Roman"/>
          <w:sz w:val="19"/>
          <w:szCs w:val="19"/>
          <w:color w:val="auto"/>
        </w:rPr>
        <w:t>For additional information regarding obligations under operating leases, see Note 13 of the Notes to the Consolidated Financial Statements included in Part II, Item 8: “Financial Statements and Supplementary Data”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54" w:lineRule="exact"/>
        <w:rPr>
          <w:sz w:val="20"/>
          <w:szCs w:val="20"/>
          <w:color w:val="auto"/>
        </w:rPr>
      </w:pPr>
    </w:p>
    <w:p>
      <w:pPr>
        <w:ind w:right="540" w:firstLine="698"/>
        <w:spacing w:after="0" w:line="274" w:lineRule="auto"/>
        <w:rPr>
          <w:sz w:val="20"/>
          <w:szCs w:val="20"/>
          <w:color w:val="auto"/>
        </w:rPr>
      </w:pPr>
      <w:r>
        <w:rPr>
          <w:rFonts w:ascii="Times New Roman" w:cs="Times New Roman" w:eastAsia="Times New Roman" w:hAnsi="Times New Roman"/>
          <w:sz w:val="19"/>
          <w:szCs w:val="19"/>
          <w:color w:val="auto"/>
        </w:rPr>
        <w:t>From time to time, we are and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600"/>
          </w:cols>
          <w:pgMar w:left="1140" w:top="872" w:right="1140" w:bottom="0" w:gutter="0" w:footer="0" w:header="0"/>
          <w:type w:val="continuous"/>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7" w:lineRule="exact"/>
        <w:rPr>
          <w:sz w:val="20"/>
          <w:szCs w:val="20"/>
          <w:color w:val="auto"/>
        </w:rPr>
      </w:pPr>
    </w:p>
    <w:p>
      <w:pPr>
        <w:ind w:left="700" w:right="380" w:hanging="697"/>
        <w:spacing w:after="0" w:line="297"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Market Information</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Our common stock is listed on the NASDAQ Global Select Market under the symbol “PCTY”.</w:t>
      </w:r>
    </w:p>
    <w:p>
      <w:pPr>
        <w:spacing w:after="0" w:line="247" w:lineRule="exact"/>
        <w:rPr>
          <w:sz w:val="20"/>
          <w:szCs w:val="20"/>
          <w:color w:val="auto"/>
        </w:rPr>
      </w:pPr>
    </w:p>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On July 29, 2026, the last reported sale price of our common stock on the NASDAQ Global Select Market was $144.79 per share, and there were 6 holders of record of our common stock. The actual number of holders of common stock is greater than the number of record holders and includes stockholders who are beneficial owners, but whose shares are held in street name by brokers and nominees.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Dividend Policy</w:t>
      </w:r>
    </w:p>
    <w:p>
      <w:pPr>
        <w:spacing w:after="0" w:line="254" w:lineRule="exact"/>
        <w:rPr>
          <w:sz w:val="20"/>
          <w:szCs w:val="20"/>
          <w:color w:val="auto"/>
        </w:rPr>
      </w:pPr>
    </w:p>
    <w:p>
      <w:pPr>
        <w:ind w:right="20" w:firstLine="698"/>
        <w:spacing w:after="0" w:line="263" w:lineRule="auto"/>
        <w:rPr>
          <w:sz w:val="20"/>
          <w:szCs w:val="20"/>
          <w:color w:val="auto"/>
        </w:rPr>
      </w:pPr>
      <w:r>
        <w:rPr>
          <w:rFonts w:ascii="Times New Roman" w:cs="Times New Roman" w:eastAsia="Times New Roman" w:hAnsi="Times New Roman"/>
          <w:sz w:val="19"/>
          <w:szCs w:val="19"/>
          <w:color w:val="auto"/>
        </w:rPr>
        <w:t>We have not declared or paid dividends on our common stock since becoming a publicly traded company. Neither Delaware law nor our third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currently do not anticipate paying cash dividends on our common stock for the foreseeable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Performance Graph</w:t>
      </w:r>
    </w:p>
    <w:p>
      <w:pPr>
        <w:spacing w:after="0" w:line="252" w:lineRule="exact"/>
        <w:rPr>
          <w:sz w:val="20"/>
          <w:szCs w:val="20"/>
          <w:color w:val="auto"/>
        </w:rPr>
      </w:pPr>
    </w:p>
    <w:p>
      <w:pPr>
        <w:ind w:firstLine="698"/>
        <w:spacing w:after="0" w:line="297" w:lineRule="auto"/>
        <w:rPr>
          <w:sz w:val="20"/>
          <w:szCs w:val="20"/>
          <w:color w:val="auto"/>
        </w:rPr>
      </w:pPr>
      <w:r>
        <w:rPr>
          <w:rFonts w:ascii="Times New Roman" w:cs="Times New Roman" w:eastAsia="Times New Roman" w:hAnsi="Times New Roman"/>
          <w:sz w:val="18"/>
          <w:szCs w:val="18"/>
          <w:b w:val="1"/>
          <w:bCs w:val="1"/>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65"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The following graph compares the total cumulative stockholder return on our common stock with the total cumulative return of the S&amp;P 500 Index and the S&amp;P Software &amp; Services Select Industry Index during the period commencing on June 30, 2021 and ending on June 30, 2026.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ectPr>
          <w:pgSz w:w="11880" w:h="15480" w:orient="portrait"/>
          <w:cols w:equalWidth="0" w:num="1">
            <w:col w:w="9580"/>
          </w:cols>
          <w:pgMar w:left="1140" w:top="86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580"/>
          </w:cols>
          <w:pgMar w:left="1140" w:top="865" w:right="1160" w:bottom="0" w:gutter="0" w:footer="0" w:header="0"/>
          <w:type w:val="continuous"/>
        </w:sectPr>
      </w:pPr>
    </w:p>
    <w:bookmarkStart w:id="40" w:name="page41"/>
    <w:bookmarkEnd w:id="40"/>
    <w:p>
      <w:pPr>
        <w:jc w:val="center"/>
        <w:ind w:right="196"/>
        <w:spacing w:after="0"/>
        <w:rPr>
          <w:sz w:val="20"/>
          <w:szCs w:val="20"/>
          <w:color w:val="auto"/>
        </w:rPr>
      </w:pPr>
      <w:r>
        <w:rPr>
          <w:rFonts w:ascii="Times New Roman" w:cs="Times New Roman" w:eastAsia="Times New Roman" w:hAnsi="Times New Roman"/>
          <w:sz w:val="23"/>
          <w:szCs w:val="23"/>
          <w:color w:val="242424"/>
        </w:rPr>
        <w:t>Comparison of Cumulative Total Return</w:t>
      </w:r>
    </w:p>
    <w:p>
      <w:pPr>
        <w:spacing w:after="0" w:line="16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9"/>
          <w:szCs w:val="19"/>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-55245</wp:posOffset>
            </wp:positionV>
            <wp:extent cx="491553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4915535" cy="1270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9"/>
          <w:szCs w:val="19"/>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-64770</wp:posOffset>
            </wp:positionV>
            <wp:extent cx="4915535" cy="1527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4915535" cy="152781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9"/>
          <w:szCs w:val="19"/>
          <w:color w:val="auto"/>
        </w:rPr>
        <w:t>150.00</w:t>
      </w:r>
    </w:p>
    <w:p>
      <w:pPr>
        <w:spacing w:after="0" w:line="200" w:lineRule="exact"/>
        <w:rPr>
          <w:sz w:val="20"/>
          <w:szCs w:val="20"/>
          <w:color w:val="auto"/>
        </w:rPr>
      </w:pPr>
    </w:p>
    <w:p>
      <w:pPr>
        <w:spacing w:after="0" w:line="3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9"/>
          <w:szCs w:val="19"/>
          <w:color w:val="auto"/>
        </w:rPr>
        <w:t>100.00</w:t>
      </w:r>
    </w:p>
    <w:p>
      <w:pPr>
        <w:spacing w:after="0" w:line="200" w:lineRule="exact"/>
        <w:rPr>
          <w:sz w:val="20"/>
          <w:szCs w:val="20"/>
          <w:color w:val="auto"/>
        </w:rPr>
      </w:pPr>
    </w:p>
    <w:p>
      <w:pPr>
        <w:spacing w:after="0" w:line="36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9"/>
          <w:szCs w:val="19"/>
          <w:color w:val="auto"/>
        </w:rPr>
        <w:t>50.00</w:t>
      </w:r>
    </w:p>
    <w:p>
      <w:pPr>
        <w:spacing w:after="0" w:line="200" w:lineRule="exact"/>
        <w:rPr>
          <w:sz w:val="20"/>
          <w:szCs w:val="20"/>
          <w:color w:val="auto"/>
        </w:rPr>
      </w:pPr>
    </w:p>
    <w:p>
      <w:pPr>
        <w:spacing w:after="0" w:line="382"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9"/>
          <w:szCs w:val="19"/>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-55245</wp:posOffset>
            </wp:positionV>
            <wp:extent cx="491553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4915535" cy="12700"/>
                    </a:xfrm>
                    <a:prstGeom prst="rect">
                      <a:avLst/>
                    </a:prstGeom>
                    <a:noFill/>
                  </pic:spPr>
                </pic:pic>
              </a:graphicData>
            </a:graphic>
          </wp:anchor>
        </w:drawing>
      </w:r>
    </w:p>
    <w:p>
      <w:pPr>
        <w:spacing w:after="0" w:line="14" w:lineRule="exact"/>
        <w:rPr>
          <w:sz w:val="20"/>
          <w:szCs w:val="20"/>
          <w:color w:val="auto"/>
        </w:rPr>
      </w:pPr>
    </w:p>
    <w:tbl>
      <w:tblPr>
        <w:tblLayout w:type="fixed"/>
        <w:tblInd w:w="1264" w:type="dxa"/>
        <w:tblCellMar>
          <w:top w:w="0" w:type="dxa"/>
          <w:left w:w="0" w:type="dxa"/>
          <w:bottom w:w="0" w:type="dxa"/>
          <w:right w:w="0" w:type="dxa"/>
        </w:tblCellMar>
      </w:tblPr>
      <w:tr>
        <w:trPr>
          <w:trHeight w:val="253"/>
        </w:trPr>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6/30/2021</w:t>
            </w:r>
          </w:p>
        </w:tc>
        <w:tc>
          <w:tcPr>
            <w:tcW w:w="1640" w:type="dxa"/>
            <w:vAlign w:val="bottom"/>
            <w:gridSpan w:val="2"/>
          </w:tcPr>
          <w:p>
            <w:pPr>
              <w:jc w:val="right"/>
              <w:ind w:right="323"/>
              <w:spacing w:after="0"/>
              <w:rPr>
                <w:sz w:val="20"/>
                <w:szCs w:val="20"/>
                <w:color w:val="auto"/>
              </w:rPr>
            </w:pPr>
            <w:r>
              <w:rPr>
                <w:rFonts w:ascii="Times New Roman" w:cs="Times New Roman" w:eastAsia="Times New Roman" w:hAnsi="Times New Roman"/>
                <w:sz w:val="19"/>
                <w:szCs w:val="19"/>
                <w:color w:val="auto"/>
              </w:rPr>
              <w:t>6/30/2022</w:t>
            </w:r>
          </w:p>
        </w:tc>
        <w:tc>
          <w:tcPr>
            <w:tcW w:w="1120" w:type="dxa"/>
            <w:vAlign w:val="bottom"/>
            <w:gridSpan w:val="3"/>
          </w:tcPr>
          <w:p>
            <w:pPr>
              <w:jc w:val="right"/>
              <w:ind w:right="163"/>
              <w:spacing w:after="0"/>
              <w:rPr>
                <w:sz w:val="20"/>
                <w:szCs w:val="20"/>
                <w:color w:val="auto"/>
              </w:rPr>
            </w:pPr>
            <w:r>
              <w:rPr>
                <w:rFonts w:ascii="Times New Roman" w:cs="Times New Roman" w:eastAsia="Times New Roman" w:hAnsi="Times New Roman"/>
                <w:sz w:val="19"/>
                <w:szCs w:val="19"/>
                <w:color w:val="auto"/>
              </w:rPr>
              <w:t>6/30/2023</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6/30/2024</w:t>
            </w: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6/30/2025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6/30/2026</w:t>
            </w:r>
          </w:p>
        </w:tc>
        <w:tc>
          <w:tcPr>
            <w:tcW w:w="0" w:type="dxa"/>
            <w:vAlign w:val="bottom"/>
          </w:tcPr>
          <w:p>
            <w:pPr>
              <w:spacing w:after="0"/>
              <w:rPr>
                <w:sz w:val="1"/>
                <w:szCs w:val="1"/>
                <w:color w:val="auto"/>
              </w:rPr>
            </w:pPr>
          </w:p>
        </w:tc>
      </w:tr>
      <w:tr>
        <w:trPr>
          <w:trHeight w:val="360"/>
        </w:trPr>
        <w:tc>
          <w:tcPr>
            <w:tcW w:w="280" w:type="dxa"/>
            <w:vAlign w:val="bottom"/>
            <w:tcBorders>
              <w:bottom w:val="single" w:sz="8" w:color="auto"/>
            </w:tcBorders>
          </w:tcPr>
          <w:p>
            <w:pPr>
              <w:spacing w:after="0"/>
              <w:rPr>
                <w:sz w:val="24"/>
                <w:szCs w:val="24"/>
                <w:color w:val="auto"/>
              </w:rPr>
            </w:pPr>
          </w:p>
        </w:tc>
        <w:tc>
          <w:tcPr>
            <w:tcW w:w="860" w:type="dxa"/>
            <w:vAlign w:val="bottom"/>
            <w:vMerge w:val="restart"/>
          </w:tcPr>
          <w:p>
            <w:pPr>
              <w:jc w:val="right"/>
              <w:ind w:right="203"/>
              <w:spacing w:after="0"/>
              <w:rPr>
                <w:sz w:val="20"/>
                <w:szCs w:val="20"/>
                <w:color w:val="auto"/>
              </w:rPr>
            </w:pPr>
            <w:r>
              <w:rPr>
                <w:rFonts w:ascii="Times New Roman" w:cs="Times New Roman" w:eastAsia="Times New Roman" w:hAnsi="Times New Roman"/>
                <w:sz w:val="19"/>
                <w:szCs w:val="19"/>
                <w:color w:val="auto"/>
              </w:rPr>
              <w:t>PCTY</w:t>
            </w:r>
          </w:p>
        </w:tc>
        <w:tc>
          <w:tcPr>
            <w:tcW w:w="300" w:type="dxa"/>
            <w:vAlign w:val="bottom"/>
            <w:tcBorders>
              <w:bottom w:val="single" w:sz="8" w:color="6D6D6D"/>
            </w:tcBorders>
          </w:tcPr>
          <w:p>
            <w:pPr>
              <w:spacing w:after="0"/>
              <w:rPr>
                <w:sz w:val="24"/>
                <w:szCs w:val="24"/>
                <w:color w:val="auto"/>
              </w:rPr>
            </w:pPr>
          </w:p>
        </w:tc>
        <w:tc>
          <w:tcPr>
            <w:tcW w:w="13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S&amp;P 500 Index</w:t>
            </w:r>
          </w:p>
        </w:tc>
        <w:tc>
          <w:tcPr>
            <w:tcW w:w="220" w:type="dxa"/>
            <w:vAlign w:val="bottom"/>
            <w:vMerge w:val="restart"/>
          </w:tcPr>
          <w:p>
            <w:pPr>
              <w:spacing w:after="0"/>
              <w:rPr>
                <w:sz w:val="24"/>
                <w:szCs w:val="24"/>
                <w:color w:val="auto"/>
              </w:rPr>
            </w:pPr>
          </w:p>
        </w:tc>
        <w:tc>
          <w:tcPr>
            <w:tcW w:w="280" w:type="dxa"/>
            <w:vAlign w:val="bottom"/>
            <w:tcBorders>
              <w:bottom w:val="single" w:sz="8" w:color="B6B6B6"/>
            </w:tcBorders>
          </w:tcPr>
          <w:p>
            <w:pPr>
              <w:spacing w:after="0"/>
              <w:rPr>
                <w:sz w:val="24"/>
                <w:szCs w:val="24"/>
                <w:color w:val="auto"/>
              </w:rPr>
            </w:pPr>
          </w:p>
        </w:tc>
        <w:tc>
          <w:tcPr>
            <w:tcW w:w="4240" w:type="dxa"/>
            <w:vAlign w:val="bottom"/>
            <w:gridSpan w:val="4"/>
            <w:vMerge w:val="restart"/>
          </w:tcPr>
          <w:p>
            <w:pPr>
              <w:jc w:val="right"/>
              <w:ind w:right="343"/>
              <w:spacing w:after="0"/>
              <w:rPr>
                <w:sz w:val="20"/>
                <w:szCs w:val="20"/>
                <w:color w:val="auto"/>
              </w:rPr>
            </w:pPr>
            <w:r>
              <w:rPr>
                <w:rFonts w:ascii="Times New Roman" w:cs="Times New Roman" w:eastAsia="Times New Roman" w:hAnsi="Times New Roman"/>
                <w:sz w:val="19"/>
                <w:szCs w:val="19"/>
                <w:color w:val="auto"/>
              </w:rPr>
              <w:t>S&amp;P Software &amp; Services Select Industry Index</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2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-115570</wp:posOffset>
            </wp:positionV>
            <wp:extent cx="99060" cy="99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99060" cy="9906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-106680</wp:posOffset>
            </wp:positionV>
            <wp:extent cx="80645" cy="80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80645" cy="8064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-115570</wp:posOffset>
            </wp:positionV>
            <wp:extent cx="99060" cy="99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9"/>
          <w:szCs w:val="19"/>
          <w:b w:val="1"/>
          <w:bCs w:val="1"/>
          <w:i w:val="1"/>
          <w:iCs w:val="1"/>
          <w:color w:val="auto"/>
        </w:rPr>
        <w:t>Issuer Purchases of Equity Securities</w:t>
      </w:r>
    </w:p>
    <w:p>
      <w:pPr>
        <w:spacing w:after="0" w:line="138"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9"/>
          <w:szCs w:val="19"/>
          <w:color w:val="auto"/>
        </w:rPr>
        <w:t>The following describes the Company’s purchases of common stock during the three months ended June 30, 2026:</w:t>
      </w:r>
    </w:p>
    <w:p>
      <w:pPr>
        <w:spacing w:after="0" w:line="198" w:lineRule="exact"/>
        <w:rPr>
          <w:sz w:val="20"/>
          <w:szCs w:val="20"/>
          <w:color w:val="auto"/>
        </w:rPr>
      </w:pPr>
    </w:p>
    <w:tbl>
      <w:tblPr>
        <w:tblLayout w:type="fixed"/>
        <w:tblInd w:w="44" w:type="dxa"/>
        <w:tblCellMar>
          <w:top w:w="0" w:type="dxa"/>
          <w:left w:w="0" w:type="dxa"/>
          <w:bottom w:w="0" w:type="dxa"/>
          <w:right w:w="0" w:type="dxa"/>
        </w:tblCellMar>
      </w:tblPr>
      <w:tr>
        <w:trPr>
          <w:trHeight w:val="233"/>
        </w:trPr>
        <w:tc>
          <w:tcPr>
            <w:tcW w:w="2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Approximate</w:t>
            </w:r>
          </w:p>
        </w:tc>
      </w:tr>
      <w:tr>
        <w:trPr>
          <w:trHeight w:val="233"/>
        </w:trPr>
        <w:tc>
          <w:tcPr>
            <w:tcW w:w="2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Total Number of</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Dollar Value of</w:t>
            </w:r>
          </w:p>
        </w:tc>
      </w:tr>
      <w:tr>
        <w:trPr>
          <w:trHeight w:val="233"/>
        </w:trPr>
        <w:tc>
          <w:tcPr>
            <w:tcW w:w="2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Purchased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Shares that May</w:t>
            </w:r>
          </w:p>
        </w:tc>
      </w:tr>
      <w:tr>
        <w:trPr>
          <w:trHeight w:val="233"/>
        </w:trPr>
        <w:tc>
          <w:tcPr>
            <w:tcW w:w="2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as Part of Publicly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ind w:right="63"/>
              <w:spacing w:after="0"/>
              <w:rPr>
                <w:sz w:val="20"/>
                <w:szCs w:val="20"/>
                <w:color w:val="auto"/>
              </w:rPr>
            </w:pPr>
            <w:r>
              <w:rPr>
                <w:rFonts w:ascii="Times New Roman" w:cs="Times New Roman" w:eastAsia="Times New Roman" w:hAnsi="Times New Roman"/>
                <w:sz w:val="19"/>
                <w:szCs w:val="19"/>
                <w:b w:val="1"/>
                <w:bCs w:val="1"/>
                <w:color w:val="auto"/>
              </w:rPr>
              <w:t>Yet Be Purchased</w:t>
            </w:r>
          </w:p>
        </w:tc>
      </w:tr>
      <w:tr>
        <w:trPr>
          <w:trHeight w:val="233"/>
        </w:trPr>
        <w:tc>
          <w:tcPr>
            <w:tcW w:w="2460" w:type="dxa"/>
            <w:vAlign w:val="bottom"/>
          </w:tcPr>
          <w:p>
            <w:pPr>
              <w:spacing w:after="0"/>
              <w:rPr>
                <w:sz w:val="20"/>
                <w:szCs w:val="20"/>
                <w:color w:val="auto"/>
              </w:rPr>
            </w:pPr>
          </w:p>
        </w:tc>
        <w:tc>
          <w:tcPr>
            <w:tcW w:w="1780" w:type="dxa"/>
            <w:vAlign w:val="bottom"/>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Total Number of</w:t>
            </w:r>
          </w:p>
        </w:tc>
        <w:tc>
          <w:tcPr>
            <w:tcW w:w="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Average Price Paid</w:t>
            </w:r>
          </w:p>
        </w:tc>
        <w:tc>
          <w:tcPr>
            <w:tcW w:w="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Announced Plans</w:t>
            </w:r>
          </w:p>
        </w:tc>
        <w:tc>
          <w:tcPr>
            <w:tcW w:w="6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Under the Plans or</w:t>
            </w:r>
          </w:p>
        </w:tc>
      </w:tr>
      <w:tr>
        <w:trPr>
          <w:trHeight w:val="260"/>
        </w:trPr>
        <w:tc>
          <w:tcPr>
            <w:tcW w:w="2460" w:type="dxa"/>
            <w:vAlign w:val="bottom"/>
          </w:tcPr>
          <w:p>
            <w:pPr>
              <w:spacing w:after="0"/>
              <w:rPr>
                <w:sz w:val="22"/>
                <w:szCs w:val="22"/>
                <w:color w:val="auto"/>
              </w:rPr>
            </w:pPr>
          </w:p>
        </w:tc>
        <w:tc>
          <w:tcPr>
            <w:tcW w:w="1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Shares Purchased</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per Share (1)</w:t>
            </w:r>
          </w:p>
        </w:tc>
        <w:tc>
          <w:tcPr>
            <w:tcW w:w="6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or Programs (2)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Programs (2)</w:t>
            </w:r>
          </w:p>
        </w:tc>
      </w:tr>
      <w:tr>
        <w:trPr>
          <w:trHeight w:val="268"/>
        </w:trPr>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 xml:space="preserve">April 1, 2026 - April 30, 2026 </w:t>
            </w:r>
            <w:r>
              <w:rPr>
                <w:rFonts w:ascii="Times New Roman" w:cs="Times New Roman" w:eastAsia="Times New Roman" w:hAnsi="Times New Roman"/>
                <w:sz w:val="19"/>
                <w:szCs w:val="19"/>
                <w:color w:val="B4B4B4"/>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1,350,362,799</w:t>
            </w:r>
          </w:p>
        </w:tc>
      </w:tr>
      <w:tr>
        <w:trPr>
          <w:trHeight w:val="291"/>
        </w:trPr>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May 1, 2026 - May 31, 2026 </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233,301</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233,301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1,325,362,978</w:t>
            </w:r>
          </w:p>
        </w:tc>
      </w:tr>
      <w:tr>
        <w:trPr>
          <w:trHeight w:val="294"/>
        </w:trPr>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June 1, 2026 - June 30, 2026 </w:t>
            </w:r>
            <w:r>
              <w:rPr>
                <w:rFonts w:ascii="Times New Roman" w:cs="Times New Roman" w:eastAsia="Times New Roman" w:hAnsi="Times New Roman"/>
                <w:sz w:val="19"/>
                <w:szCs w:val="19"/>
                <w:color w:val="B4B4B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232,569</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99.38</w:t>
            </w:r>
          </w:p>
        </w:tc>
        <w:tc>
          <w:tcPr>
            <w:tcW w:w="6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232,569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1,302,249,566</w:t>
            </w:r>
          </w:p>
        </w:tc>
      </w:tr>
      <w:tr>
        <w:trPr>
          <w:trHeight w:val="252"/>
        </w:trPr>
        <w:tc>
          <w:tcPr>
            <w:tcW w:w="2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w:t>
            </w:r>
            <w:r>
              <w:rPr>
                <w:rFonts w:ascii="Times New Roman" w:cs="Times New Roman" w:eastAsia="Times New Roman" w:hAnsi="Times New Roman"/>
                <w:sz w:val="19"/>
                <w:szCs w:val="19"/>
                <w:color w:val="B4B4B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465,870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465,870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24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-43180</wp:posOffset>
            </wp:positionV>
            <wp:extent cx="1152525"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1152525" cy="5016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-43180</wp:posOffset>
            </wp:positionV>
            <wp:extent cx="1152525"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1152525" cy="50165"/>
                    </a:xfrm>
                    <a:prstGeom prst="rect">
                      <a:avLst/>
                    </a:prstGeom>
                    <a:noFill/>
                  </pic:spPr>
                </pic:pic>
              </a:graphicData>
            </a:graphic>
          </wp:anchor>
        </w:drawing>
      </w:r>
    </w:p>
    <w:p>
      <w:pPr>
        <w:spacing w:after="0" w:line="220" w:lineRule="exact"/>
        <w:rPr>
          <w:sz w:val="20"/>
          <w:szCs w:val="20"/>
          <w:color w:val="auto"/>
        </w:rPr>
      </w:pPr>
    </w:p>
    <w:p>
      <w:pPr>
        <w:ind w:left="704" w:hanging="704"/>
        <w:spacing w:after="0"/>
        <w:tabs>
          <w:tab w:leader="none" w:pos="70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average price paid per share excludes excise taxes payable on shares repurchased.</w:t>
      </w:r>
    </w:p>
    <w:p>
      <w:pPr>
        <w:spacing w:after="0" w:line="247" w:lineRule="exact"/>
        <w:rPr>
          <w:rFonts w:ascii="Times New Roman" w:cs="Times New Roman" w:eastAsia="Times New Roman" w:hAnsi="Times New Roman"/>
          <w:sz w:val="19"/>
          <w:szCs w:val="19"/>
          <w:color w:val="auto"/>
        </w:rPr>
      </w:pPr>
    </w:p>
    <w:p>
      <w:pPr>
        <w:ind w:left="4" w:right="300" w:hanging="4"/>
        <w:spacing w:after="0" w:line="263" w:lineRule="auto"/>
        <w:tabs>
          <w:tab w:leader="none" w:pos="702"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In July 2025 and April 2026, the Company’s board of directors approved $500 million and $1 billion increases, respectively, to the Repurchase Program. For further information, see Note 15. Stockholders' Equity of the Notes to Consolidated Financial Statements included in Part II, Item 8: “Financial Statements and Supplementary Data” of this Annual Report on Form 10-K.</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Item 6. [Reserved]</w:t>
      </w:r>
    </w:p>
    <w:p>
      <w:pPr>
        <w:sectPr>
          <w:pgSz w:w="11880" w:h="15480" w:orient="portrait"/>
          <w:cols w:equalWidth="0" w:num="1">
            <w:col w:w="9784"/>
          </w:cols>
          <w:pgMar w:left="1136" w:top="107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6"/>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784"/>
          </w:cols>
          <w:pgMar w:left="1136" w:top="1079" w:right="96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25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8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The following discussion of our financial condition and results of operations covers fiscal 2026 and 2025 items and year-over-year comparisons between fiscal 2026 and 2025. Discussion of fiscal 2024 items and year-over-year comparisons between fiscal 2025 and 2024 that are not included in this Form 10-K can be found in “Management’s Discussion and Analysis of Financial Condition and Results of Operations” in Part II, Item 7 of our Annual Report on Form 10-K for the fiscal year ended June 30, 2025 that was filed with the SEC on August 6,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54" w:lineRule="exact"/>
        <w:rPr>
          <w:sz w:val="20"/>
          <w:szCs w:val="20"/>
          <w:color w:val="auto"/>
        </w:rPr>
      </w:pPr>
    </w:p>
    <w:p>
      <w:pPr>
        <w:ind w:right="200" w:firstLine="698"/>
        <w:spacing w:after="0" w:line="265" w:lineRule="auto"/>
        <w:rPr>
          <w:sz w:val="20"/>
          <w:szCs w:val="20"/>
          <w:color w:val="auto"/>
        </w:rPr>
      </w:pPr>
      <w:r>
        <w:rPr>
          <w:rFonts w:ascii="Times New Roman" w:cs="Times New Roman" w:eastAsia="Times New Roman" w:hAnsi="Times New Roman"/>
          <w:sz w:val="19"/>
          <w:szCs w:val="19"/>
          <w:color w:val="auto"/>
        </w:rPr>
        <w:t>We are a leading cloud-based provider of HCM, finance and IT software solutions that deliver a comprehensive platform for the modern workforce. Our platform offers an intuitive, easy-to-use product suite that helps businesses automate and streamline HR, finance and IT processes, attract and retain talent, and build culture and connection with artificial intelligence ("AI") embedded directly into everyday workflows to save time, reduce manual effort, and support better decision-making.</w:t>
      </w:r>
    </w:p>
    <w:p>
      <w:pPr>
        <w:spacing w:after="0" w:line="191" w:lineRule="exact"/>
        <w:rPr>
          <w:sz w:val="20"/>
          <w:szCs w:val="20"/>
          <w:color w:val="auto"/>
        </w:rPr>
      </w:pPr>
    </w:p>
    <w:p>
      <w:pPr>
        <w:ind w:right="20" w:firstLine="698"/>
        <w:spacing w:after="0" w:line="260" w:lineRule="auto"/>
        <w:rPr>
          <w:sz w:val="20"/>
          <w:szCs w:val="20"/>
          <w:color w:val="auto"/>
        </w:rPr>
      </w:pPr>
      <w:r>
        <w:rPr>
          <w:rFonts w:ascii="Times New Roman" w:cs="Times New Roman" w:eastAsia="Times New Roman" w:hAnsi="Times New Roman"/>
          <w:sz w:val="19"/>
          <w:szCs w:val="19"/>
          <w:color w:val="auto"/>
        </w:rPr>
        <w:t>Effective management of human capital, finance and IT operations is a core function in all organizations and requires a significant commitment of resources. Our cloud-based software solutions, combined with our unified database architecture, are highly flexible and configurable and feature a modern, intuitive user experience. The platform is built on a single employee record with workflows and integrations designed to automate processes across teams and systems. AI, analytics and reporting capabilities are embedded throughout the platform to deliver value with intelligent automation, tailored insights, and real-time guidance to administrators and employees. Our platform also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98" w:lineRule="exact"/>
        <w:rPr>
          <w:sz w:val="20"/>
          <w:szCs w:val="20"/>
          <w:color w:val="auto"/>
        </w:rPr>
      </w:pPr>
    </w:p>
    <w:p>
      <w:pPr>
        <w:ind w:right="200" w:firstLine="698"/>
        <w:spacing w:after="0" w:line="262" w:lineRule="auto"/>
        <w:rPr>
          <w:sz w:val="20"/>
          <w:szCs w:val="20"/>
          <w:color w:val="auto"/>
        </w:rPr>
      </w:pPr>
      <w:r>
        <w:rPr>
          <w:rFonts w:ascii="Times New Roman" w:cs="Times New Roman" w:eastAsia="Times New Roman" w:hAnsi="Times New Roman"/>
          <w:sz w:val="19"/>
          <w:szCs w:val="19"/>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93" w:lineRule="exact"/>
        <w:rPr>
          <w:sz w:val="20"/>
          <w:szCs w:val="20"/>
          <w:color w:val="auto"/>
        </w:rPr>
      </w:pPr>
    </w:p>
    <w:p>
      <w:pPr>
        <w:ind w:right="180" w:firstLine="698"/>
        <w:spacing w:after="0" w:line="268" w:lineRule="auto"/>
        <w:rPr>
          <w:sz w:val="20"/>
          <w:szCs w:val="20"/>
          <w:color w:val="auto"/>
        </w:rPr>
      </w:pPr>
      <w:r>
        <w:rPr>
          <w:rFonts w:ascii="Times New Roman" w:cs="Times New Roman" w:eastAsia="Times New Roman" w:hAnsi="Times New Roman"/>
          <w:sz w:val="19"/>
          <w:szCs w:val="19"/>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designed to meet the needs of our clients and sales prospects. We expect to continue to invest in and grow our implementation and client service organization as our client base grows.</w:t>
      </w:r>
    </w:p>
    <w:p>
      <w:pPr>
        <w:spacing w:after="0" w:line="188" w:lineRule="exact"/>
        <w:rPr>
          <w:sz w:val="20"/>
          <w:szCs w:val="20"/>
          <w:color w:val="auto"/>
        </w:rPr>
      </w:pPr>
    </w:p>
    <w:p>
      <w:pPr>
        <w:ind w:firstLine="698"/>
        <w:spacing w:after="0" w:line="261" w:lineRule="auto"/>
        <w:rPr>
          <w:sz w:val="20"/>
          <w:szCs w:val="20"/>
          <w:color w:val="auto"/>
        </w:rPr>
      </w:pPr>
      <w:r>
        <w:rPr>
          <w:rFonts w:ascii="Times New Roman" w:cs="Times New Roman" w:eastAsia="Times New Roman" w:hAnsi="Times New Roman"/>
          <w:sz w:val="19"/>
          <w:szCs w:val="19"/>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94" w:lineRule="exact"/>
        <w:rPr>
          <w:sz w:val="20"/>
          <w:szCs w:val="20"/>
          <w:color w:val="auto"/>
        </w:rPr>
      </w:pPr>
    </w:p>
    <w:p>
      <w:pPr>
        <w:ind w:right="280" w:firstLine="698"/>
        <w:spacing w:after="0" w:line="293" w:lineRule="auto"/>
        <w:rPr>
          <w:sz w:val="20"/>
          <w:szCs w:val="20"/>
          <w:color w:val="auto"/>
        </w:rPr>
      </w:pPr>
      <w:r>
        <w:rPr>
          <w:rFonts w:ascii="Times New Roman" w:cs="Times New Roman" w:eastAsia="Times New Roman" w:hAnsi="Times New Roman"/>
          <w:sz w:val="19"/>
          <w:szCs w:val="19"/>
          <w:color w:val="auto"/>
        </w:rPr>
        <w:t>Paylocity Holding Corporation is a Delaware corporation, which was formed in November 2013. Our business operations are conducted by our wholly owned subsidiaries.</w:t>
      </w:r>
    </w:p>
    <w:p>
      <w:pPr>
        <w:sectPr>
          <w:pgSz w:w="11880" w:h="15480" w:orient="portrait"/>
          <w:cols w:equalWidth="0" w:num="1">
            <w:col w:w="9560"/>
          </w:cols>
          <w:pgMar w:left="1140" w:top="86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560"/>
          </w:cols>
          <w:pgMar w:left="1140" w:top="865" w:right="11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9"/>
          <w:szCs w:val="19"/>
          <w:b w:val="1"/>
          <w:bCs w:val="1"/>
          <w:color w:val="auto"/>
        </w:rPr>
        <w:t>Key Metrics</w:t>
      </w:r>
    </w:p>
    <w:p>
      <w:pPr>
        <w:spacing w:after="0" w:line="254" w:lineRule="exact"/>
        <w:rPr>
          <w:sz w:val="20"/>
          <w:szCs w:val="20"/>
          <w:color w:val="auto"/>
        </w:rPr>
      </w:pPr>
    </w:p>
    <w:p>
      <w:pPr>
        <w:ind w:right="140" w:firstLine="698"/>
        <w:spacing w:after="0" w:line="293" w:lineRule="auto"/>
        <w:rPr>
          <w:sz w:val="20"/>
          <w:szCs w:val="20"/>
          <w:color w:val="auto"/>
        </w:rPr>
      </w:pPr>
      <w:r>
        <w:rPr>
          <w:rFonts w:ascii="Times New Roman" w:cs="Times New Roman" w:eastAsia="Times New Roman" w:hAnsi="Times New Roman"/>
          <w:sz w:val="19"/>
          <w:szCs w:val="19"/>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Revenue Growth</w:t>
      </w:r>
    </w:p>
    <w:p>
      <w:pPr>
        <w:spacing w:after="0" w:line="254" w:lineRule="exact"/>
        <w:rPr>
          <w:sz w:val="20"/>
          <w:szCs w:val="20"/>
          <w:color w:val="auto"/>
        </w:rPr>
      </w:pPr>
    </w:p>
    <w:p>
      <w:pPr>
        <w:ind w:right="60" w:firstLine="698"/>
        <w:spacing w:after="0" w:line="260" w:lineRule="auto"/>
        <w:rPr>
          <w:sz w:val="20"/>
          <w:szCs w:val="20"/>
          <w:color w:val="auto"/>
        </w:rPr>
      </w:pPr>
      <w:r>
        <w:rPr>
          <w:rFonts w:ascii="Times New Roman" w:cs="Times New Roman" w:eastAsia="Times New Roman" w:hAnsi="Times New Roman"/>
          <w:sz w:val="19"/>
          <w:szCs w:val="19"/>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$1,402.5 million in fiscal 2024 to $1,595.2 million in fiscal 2025, representing a 14% year-over-year increase. Total revenues increased from $1,595.2 million in fiscal 2025 to $1,771.3 million in fiscal 2026, representing an 11% year-over-year increase. The increase in year-over-year total revenue growth was driven by the strong performance of our sales team and continued annual revenue retention in excess of 92%. Uncertainties around market and economic conditions may impact revenue growth, which we have experienced and may continue to experience, through fluctuations in client employee counts, elongated sales cycles, client losses, and a changing interest rate environment, among other factors.</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Client Count Growth</w:t>
      </w:r>
    </w:p>
    <w:p>
      <w:pPr>
        <w:spacing w:after="0" w:line="254" w:lineRule="exact"/>
        <w:rPr>
          <w:sz w:val="20"/>
          <w:szCs w:val="20"/>
          <w:color w:val="auto"/>
        </w:rPr>
      </w:pPr>
    </w:p>
    <w:p>
      <w:pPr>
        <w:ind w:right="40" w:firstLine="698"/>
        <w:spacing w:after="0" w:line="265" w:lineRule="auto"/>
        <w:rPr>
          <w:sz w:val="20"/>
          <w:szCs w:val="20"/>
          <w:color w:val="auto"/>
        </w:rPr>
      </w:pPr>
      <w:r>
        <w:rPr>
          <w:rFonts w:ascii="Times New Roman" w:cs="Times New Roman" w:eastAsia="Times New Roman" w:hAnsi="Times New Roman"/>
          <w:sz w:val="19"/>
          <w:szCs w:val="19"/>
          <w:color w:val="auto"/>
        </w:rPr>
        <w:t>We believe there is a significant opportunity to grow our business by increasing our number of clients. Excluding clients acquired through acquisitions, we have increased the number of clients using our software solutions from approximately 39,050 as of June 30, 2024 to approximately 44,400 as of June 30, 2026, representing a compound annual growth rate of approximately 7%. The table below sets forth the total number of clients using our software solutions for the periods indicated, excluding clients acquired through acquisitions, rounded to the nearest fifty.</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9"/>
                <w:szCs w:val="19"/>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Client Count </w:t>
            </w:r>
            <w:r>
              <w:rPr>
                <w:rFonts w:ascii="Times New Roman" w:cs="Times New Roman" w:eastAsia="Times New Roman" w:hAnsi="Times New Roman"/>
                <w:sz w:val="19"/>
                <w:szCs w:val="19"/>
                <w:color w:val="B4B4B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39,050</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19"/>
                <w:szCs w:val="19"/>
                <w:color w:val="auto"/>
              </w:rPr>
              <w:t>41,650</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19"/>
                <w:szCs w:val="19"/>
                <w:color w:val="auto"/>
              </w:rPr>
              <w:t>44,400</w:t>
            </w:r>
          </w:p>
        </w:tc>
      </w:tr>
    </w:tbl>
    <w:p>
      <w:pPr>
        <w:spacing w:after="0" w:line="282" w:lineRule="exact"/>
        <w:rPr>
          <w:sz w:val="20"/>
          <w:szCs w:val="20"/>
          <w:color w:val="auto"/>
        </w:rPr>
      </w:pPr>
    </w:p>
    <w:p>
      <w:pPr>
        <w:ind w:right="300" w:firstLine="698"/>
        <w:spacing w:after="0" w:line="274" w:lineRule="auto"/>
        <w:rPr>
          <w:sz w:val="20"/>
          <w:szCs w:val="20"/>
          <w:color w:val="auto"/>
        </w:rPr>
      </w:pPr>
      <w:r>
        <w:rPr>
          <w:rFonts w:ascii="Times New Roman" w:cs="Times New Roman" w:eastAsia="Times New Roman" w:hAnsi="Times New Roman"/>
          <w:sz w:val="19"/>
          <w:szCs w:val="19"/>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Annual Revenue Retention Rate</w:t>
      </w:r>
    </w:p>
    <w:p>
      <w:pPr>
        <w:spacing w:after="0" w:line="254" w:lineRule="exact"/>
        <w:rPr>
          <w:sz w:val="20"/>
          <w:szCs w:val="20"/>
          <w:color w:val="auto"/>
        </w:rPr>
      </w:pPr>
    </w:p>
    <w:p>
      <w:pPr>
        <w:ind w:right="160" w:firstLine="698"/>
        <w:spacing w:after="0" w:line="260" w:lineRule="auto"/>
        <w:rPr>
          <w:sz w:val="20"/>
          <w:szCs w:val="20"/>
          <w:color w:val="auto"/>
        </w:rPr>
      </w:pPr>
      <w:r>
        <w:rPr>
          <w:rFonts w:ascii="Times New Roman" w:cs="Times New Roman" w:eastAsia="Times New Roman" w:hAnsi="Times New Roman"/>
          <w:sz w:val="19"/>
          <w:szCs w:val="19"/>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Adjusted Gross Profit and Adjusted EBITDA</w:t>
      </w:r>
    </w:p>
    <w:p>
      <w:pPr>
        <w:spacing w:after="0" w:line="254"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We use Adjusted Gross Profit and Adjusted EBITDA to evaluate our operating results. Our calculations of Adjusted Gross Profit and Adjusted EBITDA eliminate the impact of items we do not consider indicative of our ongoing operating performance.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91" w:lineRule="exact"/>
        <w:rPr>
          <w:sz w:val="20"/>
          <w:szCs w:val="20"/>
          <w:color w:val="auto"/>
        </w:rPr>
      </w:pPr>
    </w:p>
    <w:p>
      <w:pPr>
        <w:ind w:right="100" w:firstLine="698"/>
        <w:spacing w:after="0" w:line="274" w:lineRule="auto"/>
        <w:rPr>
          <w:sz w:val="20"/>
          <w:szCs w:val="20"/>
          <w:color w:val="auto"/>
        </w:rPr>
      </w:pPr>
      <w:r>
        <w:rPr>
          <w:rFonts w:ascii="Times New Roman" w:cs="Times New Roman" w:eastAsia="Times New Roman" w:hAnsi="Times New Roman"/>
          <w:sz w:val="19"/>
          <w:szCs w:val="19"/>
          <w:color w:val="auto"/>
        </w:rPr>
        <w:t>We define Adjusted Gross Profit as gross profit before amortization of capitalized internal-use software costs and certain acquired intangibles, stock-based compensation expense and employer payroll taxes related to stock releases and option exercises and other items as described below. We define Adjusted EBITDA as net income before interest expense,</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9600"/>
          </w:cols>
          <w:pgMar w:left="1140" w:top="865" w:right="1140" w:bottom="0" w:gutter="0" w:footer="0" w:header="0"/>
          <w:type w:val="continuous"/>
        </w:sectPr>
      </w:pPr>
    </w:p>
    <w:bookmarkStart w:id="43" w:name="page44"/>
    <w:bookmarkEnd w:id="43"/>
    <w:p>
      <w:pPr>
        <w:ind w:right="20"/>
        <w:spacing w:after="0" w:line="293" w:lineRule="auto"/>
        <w:rPr>
          <w:sz w:val="20"/>
          <w:szCs w:val="20"/>
          <w:color w:val="auto"/>
        </w:rPr>
      </w:pPr>
      <w:r>
        <w:rPr>
          <w:rFonts w:ascii="Times New Roman" w:cs="Times New Roman" w:eastAsia="Times New Roman" w:hAnsi="Times New Roman"/>
          <w:sz w:val="19"/>
          <w:szCs w:val="19"/>
          <w:color w:val="auto"/>
        </w:rPr>
        <w:t>income tax expense, depreciation and amortization expense, stock-based compensation expense and employer payroll taxes related to stock releases and option exercises and other items as described below.</w:t>
      </w:r>
    </w:p>
    <w:p>
      <w:pPr>
        <w:spacing w:after="0" w:line="165" w:lineRule="exact"/>
        <w:rPr>
          <w:sz w:val="20"/>
          <w:szCs w:val="20"/>
          <w:color w:val="auto"/>
        </w:rPr>
      </w:pPr>
    </w:p>
    <w:p>
      <w:pPr>
        <w:ind w:right="160" w:firstLine="698"/>
        <w:spacing w:after="0" w:line="265" w:lineRule="auto"/>
        <w:rPr>
          <w:sz w:val="20"/>
          <w:szCs w:val="20"/>
          <w:color w:val="auto"/>
        </w:rPr>
      </w:pPr>
      <w:r>
        <w:rPr>
          <w:rFonts w:ascii="Times New Roman" w:cs="Times New Roman" w:eastAsia="Times New Roman" w:hAnsi="Times New Roman"/>
          <w:sz w:val="19"/>
          <w:szCs w:val="19"/>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91" w:lineRule="exact"/>
        <w:rPr>
          <w:sz w:val="20"/>
          <w:szCs w:val="20"/>
          <w:color w:val="auto"/>
        </w:rPr>
      </w:pPr>
    </w:p>
    <w:p>
      <w:pPr>
        <w:ind w:right="580" w:firstLine="698"/>
        <w:spacing w:after="0" w:line="293" w:lineRule="auto"/>
        <w:rPr>
          <w:sz w:val="20"/>
          <w:szCs w:val="20"/>
          <w:color w:val="auto"/>
        </w:rPr>
      </w:pPr>
      <w:r>
        <w:rPr>
          <w:rFonts w:ascii="Times New Roman" w:cs="Times New Roman" w:eastAsia="Times New Roman" w:hAnsi="Times New Roman"/>
          <w:sz w:val="19"/>
          <w:szCs w:val="19"/>
          <w:color w:val="auto"/>
        </w:rPr>
        <w:t>Adjusted Gross Profit and Adjusted EBITDA have limitations as analytical tools. Some of these limitations include the following:</w:t>
      </w:r>
    </w:p>
    <w:p>
      <w:pPr>
        <w:spacing w:after="0" w:line="165" w:lineRule="exact"/>
        <w:rPr>
          <w:sz w:val="20"/>
          <w:szCs w:val="20"/>
          <w:color w:val="auto"/>
        </w:rPr>
      </w:pPr>
    </w:p>
    <w:p>
      <w:pPr>
        <w:ind w:left="1400" w:hanging="356"/>
        <w:spacing w:after="0"/>
        <w:tabs>
          <w:tab w:leader="none" w:pos="1400"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Adjusted EBITDA does not reflect our ongoing or future requirements for capital expenditures;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Adjusted EBITDA does not reflect changes in, or cash requirements for, our working capital needs;</w:t>
      </w:r>
    </w:p>
    <w:p>
      <w:pPr>
        <w:spacing w:after="0" w:line="247" w:lineRule="exact"/>
        <w:rPr>
          <w:rFonts w:ascii="Times New Roman" w:cs="Times New Roman" w:eastAsia="Times New Roman" w:hAnsi="Times New Roman"/>
          <w:sz w:val="19"/>
          <w:szCs w:val="19"/>
          <w:b w:val="1"/>
          <w:bCs w:val="1"/>
          <w:color w:val="auto"/>
        </w:rPr>
      </w:pPr>
    </w:p>
    <w:p>
      <w:pPr>
        <w:ind w:left="1400" w:hanging="356"/>
        <w:spacing w:after="0"/>
        <w:tabs>
          <w:tab w:leader="none" w:pos="1400"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Adjusted EBITDA does not reflect our income tax expense or the cash requirement to pay our taxes;</w:t>
      </w:r>
    </w:p>
    <w:p>
      <w:pPr>
        <w:spacing w:after="0" w:line="247" w:lineRule="exact"/>
        <w:rPr>
          <w:rFonts w:ascii="Times New Roman" w:cs="Times New Roman" w:eastAsia="Times New Roman" w:hAnsi="Times New Roman"/>
          <w:sz w:val="19"/>
          <w:szCs w:val="19"/>
          <w:b w:val="1"/>
          <w:bCs w:val="1"/>
          <w:color w:val="auto"/>
        </w:rPr>
      </w:pPr>
    </w:p>
    <w:p>
      <w:pPr>
        <w:ind w:left="1400" w:right="40" w:hanging="356"/>
        <w:spacing w:after="0" w:line="274" w:lineRule="auto"/>
        <w:tabs>
          <w:tab w:leader="none" w:pos="1400"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82" w:lineRule="exact"/>
        <w:rPr>
          <w:rFonts w:ascii="Times New Roman" w:cs="Times New Roman" w:eastAsia="Times New Roman" w:hAnsi="Times New Roman"/>
          <w:sz w:val="19"/>
          <w:szCs w:val="19"/>
          <w:b w:val="1"/>
          <w:bCs w:val="1"/>
          <w:color w:val="auto"/>
        </w:rPr>
      </w:pPr>
    </w:p>
    <w:p>
      <w:pPr>
        <w:ind w:left="1400" w:right="140" w:hanging="356"/>
        <w:spacing w:after="0" w:line="293" w:lineRule="auto"/>
        <w:tabs>
          <w:tab w:leader="none" w:pos="1400"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Other companies in our industry may calculate Adjusted Gross Profit and Adjusted EBITDA differently than we do, limiting their usefulness as a comparative measure.</w:t>
      </w:r>
    </w:p>
    <w:p>
      <w:pPr>
        <w:spacing w:after="0" w:line="165" w:lineRule="exact"/>
        <w:rPr>
          <w:sz w:val="20"/>
          <w:szCs w:val="20"/>
          <w:color w:val="auto"/>
        </w:rPr>
      </w:pPr>
    </w:p>
    <w:p>
      <w:pPr>
        <w:jc w:val="both"/>
        <w:ind w:right="420" w:firstLine="698"/>
        <w:spacing w:after="0" w:line="274" w:lineRule="auto"/>
        <w:rPr>
          <w:sz w:val="20"/>
          <w:szCs w:val="20"/>
          <w:color w:val="auto"/>
        </w:rPr>
      </w:pPr>
      <w:r>
        <w:rPr>
          <w:rFonts w:ascii="Times New Roman" w:cs="Times New Roman" w:eastAsia="Times New Roman" w:hAnsi="Times New Roman"/>
          <w:sz w:val="19"/>
          <w:szCs w:val="19"/>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83" w:lineRule="exact"/>
        <w:rPr>
          <w:sz w:val="20"/>
          <w:szCs w:val="20"/>
          <w:color w:val="auto"/>
        </w:rPr>
      </w:pPr>
    </w:p>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Because of these limitations, you should not consider Adjusted Gross Profit as an alternative to gross profit or Adjusted EBITDA as an alternative to net income, in each case as determined in accordance with GAAP. We compensate for these limitations by relying primarily on our GAAP results, and we use Adjusted Gross Profit and Adjusted EBITDA only as supplemental information.</w:t>
      </w:r>
    </w:p>
    <w:p>
      <w:pPr>
        <w:spacing w:after="0" w:line="188" w:lineRule="exact"/>
        <w:rPr>
          <w:sz w:val="20"/>
          <w:szCs w:val="20"/>
          <w:color w:val="auto"/>
        </w:rPr>
      </w:pPr>
    </w:p>
    <w:p>
      <w:pPr>
        <w:ind w:right="360" w:firstLine="698"/>
        <w:spacing w:after="0" w:line="293" w:lineRule="auto"/>
        <w:rPr>
          <w:sz w:val="20"/>
          <w:szCs w:val="20"/>
          <w:color w:val="auto"/>
        </w:rPr>
      </w:pPr>
      <w:r>
        <w:rPr>
          <w:rFonts w:ascii="Times New Roman" w:cs="Times New Roman" w:eastAsia="Times New Roman" w:hAnsi="Times New Roman"/>
          <w:sz w:val="19"/>
          <w:szCs w:val="19"/>
          <w:color w:val="auto"/>
        </w:rPr>
        <w:t>Directly comparable GAAP measures to Adjusted Gross Profit and Adjusted EBITDA are gross profit and net income, respectively. We reconcile Adjusted Gross Profit and Adjusted EBITDA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1"/>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0"/>
        </w:trPr>
        <w:tc>
          <w:tcPr>
            <w:tcW w:w="5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Reconciliation from Gross Profit to Adjusted Gross Profit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Gross profit </w:t>
            </w:r>
            <w:r>
              <w:rPr>
                <w:rFonts w:ascii="Times New Roman" w:cs="Times New Roman" w:eastAsia="Times New Roman" w:hAnsi="Times New Roman"/>
                <w:sz w:val="19"/>
                <w:szCs w:val="19"/>
                <w:color w:val="B4B4B4"/>
              </w:rPr>
              <w: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960,786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1,096,998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1,225,502</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Amortization of capitalized internal-use software costs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45,246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59,948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70,496</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Amortization of certain acquired intangibles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18,553</w:t>
            </w:r>
          </w:p>
        </w:tc>
      </w:tr>
      <w:tr>
        <w:trPr>
          <w:trHeight w:val="27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expense and employer payroll taxes related</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3"/>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 stock releases and option exercises </w:t>
            </w:r>
            <w:r>
              <w:rPr>
                <w:rFonts w:ascii="Times New Roman" w:cs="Times New Roman" w:eastAsia="Times New Roman" w:hAnsi="Times New Roman"/>
                <w:sz w:val="19"/>
                <w:szCs w:val="19"/>
                <w:color w:val="B4B4B4"/>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20,350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19,314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16,914</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items (1)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469</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1,365</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696</w:t>
            </w:r>
          </w:p>
        </w:tc>
      </w:tr>
      <w:tr>
        <w:trPr>
          <w:trHeight w:val="252"/>
        </w:trPr>
        <w:tc>
          <w:tcPr>
            <w:tcW w:w="56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Adjusted Gross Profit </w:t>
            </w:r>
            <w:r>
              <w:rPr>
                <w:rFonts w:ascii="Times New Roman" w:cs="Times New Roman" w:eastAsia="Times New Roman" w:hAnsi="Times New Roman"/>
                <w:sz w:val="19"/>
                <w:szCs w:val="19"/>
                <w:color w:val="B4B4B4"/>
              </w:rPr>
              <w: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1,034,758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1,193,793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1,332,161</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-54610</wp:posOffset>
            </wp:positionV>
            <wp:extent cx="2534920" cy="73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600"/>
          </w:cols>
          <w:pgMar w:left="1140" w:top="872" w:right="1140" w:bottom="0" w:gutter="0" w:footer="0" w:header="0"/>
          <w:type w:val="continuous"/>
        </w:sectPr>
      </w:pPr>
    </w:p>
    <w:bookmarkStart w:id="44" w:name="page45"/>
    <w:bookmarkEnd w:id="44"/>
    <w:tbl>
      <w:tblPr>
        <w:tblLayout w:type="fixed"/>
        <w:tblInd w:w="44"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1"/>
        </w:trPr>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9"/>
        </w:trPr>
        <w:tc>
          <w:tcPr>
            <w:tcW w:w="5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Reconciliation from Net income to Adjusted EBITDA</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0"/>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income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206,766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227,127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269,741</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expense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5,828</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Income tax expense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70,249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81,936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117,562</w:t>
            </w:r>
          </w:p>
        </w:tc>
      </w:tr>
      <w:tr>
        <w:trPr>
          <w:trHeight w:val="30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Depreciation and amortization expense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76,426</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99,636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111,797</w:t>
            </w:r>
          </w:p>
        </w:tc>
      </w:tr>
      <w:tr>
        <w:trPr>
          <w:trHeight w:val="25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EBITDA </w:t>
            </w:r>
            <w:r>
              <w:rPr>
                <w:rFonts w:ascii="Times New Roman" w:cs="Times New Roman" w:eastAsia="Times New Roman" w:hAnsi="Times New Roman"/>
                <w:sz w:val="19"/>
                <w:szCs w:val="19"/>
                <w:color w:val="B4B4B4"/>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354,199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421,752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504,928</w:t>
            </w:r>
          </w:p>
        </w:tc>
      </w:tr>
      <w:tr>
        <w:trPr>
          <w:trHeight w:val="27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expense and employer payroll taxes related</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152,446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150,063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144,147</w:t>
            </w:r>
          </w:p>
        </w:tc>
      </w:tr>
      <w:tr>
        <w:trPr>
          <w:trHeight w:val="253"/>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 stock releases and option exercises </w:t>
            </w:r>
            <w:r>
              <w:rPr>
                <w:rFonts w:ascii="Times New Roman" w:cs="Times New Roman" w:eastAsia="Times New Roman" w:hAnsi="Times New Roman"/>
                <w:sz w:val="19"/>
                <w:szCs w:val="19"/>
                <w:color w:val="B4B4B4"/>
              </w:rPr>
              <w:t>.......................................................</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0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items (2)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(1,091)</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11,182</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5,815</w:t>
            </w:r>
          </w:p>
        </w:tc>
      </w:tr>
      <w:tr>
        <w:trPr>
          <w:trHeight w:val="255"/>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Adjusted EBITDA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505,554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582,997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654,890</w:t>
            </w: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-54610</wp:posOffset>
            </wp:positionV>
            <wp:extent cx="2534920" cy="73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pacing w:after="0" w:line="220" w:lineRule="exact"/>
        <w:rPr>
          <w:sz w:val="20"/>
          <w:szCs w:val="20"/>
          <w:color w:val="auto"/>
        </w:rPr>
      </w:pPr>
    </w:p>
    <w:p>
      <w:pPr>
        <w:ind w:left="4" w:right="500" w:hanging="4"/>
        <w:spacing w:after="0" w:line="293" w:lineRule="auto"/>
        <w:tabs>
          <w:tab w:leader="none" w:pos="70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acquisition-related costs and severance cost adjustments related to certain roles that have been eliminated. We exclude one-off severance costs that we incur as part of the normal course of our business operations.</w:t>
      </w:r>
    </w:p>
    <w:p>
      <w:pPr>
        <w:spacing w:after="0" w:line="48" w:lineRule="exact"/>
        <w:rPr>
          <w:rFonts w:ascii="Times New Roman" w:cs="Times New Roman" w:eastAsia="Times New Roman" w:hAnsi="Times New Roman"/>
          <w:sz w:val="19"/>
          <w:szCs w:val="19"/>
          <w:color w:val="auto"/>
        </w:rPr>
      </w:pPr>
    </w:p>
    <w:p>
      <w:pPr>
        <w:ind w:left="4" w:right="40" w:hanging="4"/>
        <w:spacing w:after="0" w:line="274" w:lineRule="auto"/>
        <w:tabs>
          <w:tab w:leader="none" w:pos="70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Basis of Presentation</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252"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9"/>
          <w:szCs w:val="19"/>
          <w:b w:val="1"/>
          <w:bCs w:val="1"/>
          <w:i w:val="1"/>
          <w:iCs w:val="1"/>
          <w:color w:val="auto"/>
        </w:rPr>
        <w:t>Recurring and Other Revenue</w:t>
      </w:r>
    </w:p>
    <w:p>
      <w:pPr>
        <w:spacing w:after="0" w:line="249" w:lineRule="exact"/>
        <w:rPr>
          <w:sz w:val="20"/>
          <w:szCs w:val="20"/>
          <w:color w:val="auto"/>
        </w:rPr>
      </w:pPr>
    </w:p>
    <w:p>
      <w:pPr>
        <w:ind w:left="4" w:right="40" w:firstLine="698"/>
        <w:spacing w:after="0" w:line="263" w:lineRule="auto"/>
        <w:rPr>
          <w:sz w:val="20"/>
          <w:szCs w:val="20"/>
          <w:color w:val="auto"/>
        </w:rPr>
      </w:pPr>
      <w:r>
        <w:rPr>
          <w:rFonts w:ascii="Times New Roman" w:cs="Times New Roman" w:eastAsia="Times New Roman" w:hAnsi="Times New Roman"/>
          <w:sz w:val="19"/>
          <w:szCs w:val="19"/>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software solutions. Our average client size has continued to be over 150 employees.</w:t>
      </w:r>
    </w:p>
    <w:p>
      <w:pPr>
        <w:spacing w:after="0" w:line="193" w:lineRule="exact"/>
        <w:rPr>
          <w:sz w:val="20"/>
          <w:szCs w:val="20"/>
          <w:color w:val="auto"/>
        </w:rPr>
      </w:pPr>
    </w:p>
    <w:p>
      <w:pPr>
        <w:ind w:left="4" w:right="180" w:firstLine="698"/>
        <w:spacing w:after="0" w:line="262" w:lineRule="auto"/>
        <w:rPr>
          <w:sz w:val="20"/>
          <w:szCs w:val="20"/>
          <w:color w:val="auto"/>
        </w:rPr>
      </w:pPr>
      <w:r>
        <w:rPr>
          <w:rFonts w:ascii="Times New Roman" w:cs="Times New Roman" w:eastAsia="Times New Roman" w:hAnsi="Times New Roman"/>
          <w:sz w:val="19"/>
          <w:szCs w:val="19"/>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 Recurring and other revenue accounted for approximately 91%, 92% and 93% of our total revenues during the years ended June 30, 2024, 2025 and 2026, respectively.</w:t>
      </w:r>
    </w:p>
    <w:p>
      <w:pPr>
        <w:spacing w:after="0" w:line="191"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9"/>
          <w:szCs w:val="19"/>
          <w:b w:val="1"/>
          <w:bCs w:val="1"/>
          <w:i w:val="1"/>
          <w:iCs w:val="1"/>
          <w:color w:val="auto"/>
        </w:rPr>
        <w:t>Interest Income on Funds Held for Clients</w:t>
      </w:r>
    </w:p>
    <w:p>
      <w:pPr>
        <w:spacing w:after="0" w:line="249" w:lineRule="exact"/>
        <w:rPr>
          <w:sz w:val="20"/>
          <w:szCs w:val="20"/>
          <w:color w:val="auto"/>
        </w:rPr>
      </w:pPr>
    </w:p>
    <w:p>
      <w:pPr>
        <w:ind w:left="4" w:right="40" w:firstLine="698"/>
        <w:spacing w:after="0" w:line="265" w:lineRule="auto"/>
        <w:rPr>
          <w:sz w:val="20"/>
          <w:szCs w:val="20"/>
          <w:color w:val="auto"/>
        </w:rPr>
      </w:pPr>
      <w:r>
        <w:rPr>
          <w:rFonts w:ascii="Times New Roman" w:cs="Times New Roman" w:eastAsia="Times New Roman" w:hAnsi="Times New Roman"/>
          <w:sz w:val="19"/>
          <w:szCs w:val="19"/>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i w:val="1"/>
          <w:iCs w:val="1"/>
          <w:color w:val="auto"/>
        </w:rPr>
        <w:t>Cost of Revenues</w:t>
      </w:r>
    </w:p>
    <w:p>
      <w:pPr>
        <w:spacing w:after="0" w:line="254" w:lineRule="exact"/>
        <w:rPr>
          <w:sz w:val="20"/>
          <w:szCs w:val="20"/>
          <w:color w:val="auto"/>
        </w:rPr>
      </w:pPr>
    </w:p>
    <w:p>
      <w:pPr>
        <w:ind w:left="4" w:right="80" w:firstLine="698"/>
        <w:spacing w:after="0" w:line="268" w:lineRule="auto"/>
        <w:rPr>
          <w:sz w:val="20"/>
          <w:szCs w:val="20"/>
          <w:color w:val="auto"/>
        </w:rPr>
      </w:pPr>
      <w:r>
        <w:rPr>
          <w:rFonts w:ascii="Times New Roman" w:cs="Times New Roman" w:eastAsia="Times New Roman" w:hAnsi="Times New Roman"/>
          <w:sz w:val="19"/>
          <w:szCs w:val="19"/>
          <w:color w:val="auto"/>
        </w:rPr>
        <w:t>Cost of revenues consists primarily of employee-related expenses, including wages, stock-based compensation, bonuses and benefits, and costs related to ongoing client support and implementation activities, payroll tax filing, distribution of printed checks and other materials as well as delivery and computing costs, amortization of certain acquired intangible assets and bank fees associated with client fund transfers. Costs related to recurring support are generally</w:t>
      </w:r>
    </w:p>
    <w:p>
      <w:pPr>
        <w:sectPr>
          <w:pgSz w:w="11880" w:h="15480" w:orient="portrait"/>
          <w:cols w:equalWidth="0" w:num="1">
            <w:col w:w="9604"/>
          </w:cols>
          <w:pgMar w:left="1136" w:top="959" w:right="114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604"/>
          </w:cols>
          <w:pgMar w:left="1136" w:top="959" w:right="1140" w:bottom="0" w:gutter="0" w:footer="0" w:header="0"/>
          <w:type w:val="continuous"/>
        </w:sectPr>
      </w:pPr>
    </w:p>
    <w:bookmarkStart w:id="45" w:name="page46"/>
    <w:bookmarkEnd w:id="45"/>
    <w:p>
      <w:pPr>
        <w:ind w:right="160"/>
        <w:spacing w:after="0" w:line="262" w:lineRule="auto"/>
        <w:rPr>
          <w:sz w:val="20"/>
          <w:szCs w:val="20"/>
          <w:color w:val="auto"/>
        </w:rPr>
      </w:pPr>
      <w:r>
        <w:rPr>
          <w:rFonts w:ascii="Times New Roman" w:cs="Times New Roman" w:eastAsia="Times New Roman" w:hAnsi="Times New Roman"/>
          <w:sz w:val="19"/>
          <w:szCs w:val="19"/>
          <w:color w:val="auto"/>
        </w:rPr>
        <w:t>expensed as incurred. We capitalize implementation costs related to our proprietary products. For the year ended June 30, 2026 and earlier, such capitalized costs were generally amortized over a period of 7 years. At the end of fiscal 2026, we reassessed the expected period of benefit and, effective June 30, 2026, extended the amortization period to 8 years on a prospective basis. This change did not impact Cost of revenues for the fiscal year ended June 30, 2026.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93" w:lineRule="exact"/>
        <w:rPr>
          <w:sz w:val="20"/>
          <w:szCs w:val="20"/>
          <w:color w:val="auto"/>
        </w:rPr>
      </w:pPr>
    </w:p>
    <w:p>
      <w:pPr>
        <w:ind w:right="180" w:firstLine="698"/>
        <w:spacing w:after="0" w:line="274" w:lineRule="auto"/>
        <w:rPr>
          <w:sz w:val="20"/>
          <w:szCs w:val="20"/>
          <w:color w:val="auto"/>
        </w:rPr>
      </w:pPr>
      <w:r>
        <w:rPr>
          <w:rFonts w:ascii="Times New Roman" w:cs="Times New Roman" w:eastAsia="Times New Roman" w:hAnsi="Times New Roman"/>
          <w:sz w:val="19"/>
          <w:szCs w:val="19"/>
          <w:color w:val="auto"/>
        </w:rPr>
        <w:t>We also capitalize a portion of our internal-use software costs, which are then primarily amortized as Cost of revenues. We amortized $45.2 million, $59.9 million and $70.5 million of capitalized internal-use software costs in fiscal 2024, 2025 and 2026,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Sales and Marketing</w:t>
      </w:r>
    </w:p>
    <w:p>
      <w:pPr>
        <w:spacing w:after="0" w:line="249" w:lineRule="exact"/>
        <w:rPr>
          <w:sz w:val="20"/>
          <w:szCs w:val="20"/>
          <w:color w:val="auto"/>
        </w:rPr>
      </w:pPr>
    </w:p>
    <w:p>
      <w:pPr>
        <w:ind w:right="100" w:firstLine="698"/>
        <w:spacing w:after="0" w:line="261" w:lineRule="auto"/>
        <w:rPr>
          <w:sz w:val="20"/>
          <w:szCs w:val="20"/>
          <w:color w:val="auto"/>
        </w:rPr>
      </w:pPr>
      <w:r>
        <w:rPr>
          <w:rFonts w:ascii="Times New Roman" w:cs="Times New Roman" w:eastAsia="Times New Roman" w:hAnsi="Times New Roman"/>
          <w:sz w:val="19"/>
          <w:szCs w:val="19"/>
          <w:color w:val="auto"/>
        </w:rPr>
        <w:t>Sales and marketing expenses consist primarily of employee-related expenses for our direct sales and marketing staff, including wages, commissions, stock-based compensation, bonuses, and benefits, and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For the year ended June 30, 2026 and earlier, we generally amortized these costs over a period of 7 years. At the end of fiscal 2026, we reassessed the expected period of benefit and, effective June 30, 2026, extended the amortization period to 8 years on a prospective basis. This change did not impact Sales and marketing for the fiscal year ended June 30, 2026.</w:t>
      </w:r>
    </w:p>
    <w:p>
      <w:pPr>
        <w:spacing w:after="0" w:line="194" w:lineRule="exact"/>
        <w:rPr>
          <w:sz w:val="20"/>
          <w:szCs w:val="20"/>
          <w:color w:val="auto"/>
        </w:rPr>
      </w:pPr>
    </w:p>
    <w:p>
      <w:pPr>
        <w:ind w:right="40" w:firstLine="698"/>
        <w:spacing w:after="0" w:line="286" w:lineRule="auto"/>
        <w:rPr>
          <w:sz w:val="20"/>
          <w:szCs w:val="20"/>
          <w:color w:val="auto"/>
        </w:rPr>
      </w:pPr>
      <w:r>
        <w:rPr>
          <w:rFonts w:ascii="Times New Roman" w:cs="Times New Roman" w:eastAsia="Times New Roman" w:hAnsi="Times New Roman"/>
          <w:sz w:val="19"/>
          <w:szCs w:val="19"/>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200" w:lineRule="exact"/>
        <w:rPr>
          <w:sz w:val="20"/>
          <w:szCs w:val="20"/>
          <w:color w:val="auto"/>
        </w:rPr>
      </w:pP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249" w:lineRule="exact"/>
        <w:rPr>
          <w:sz w:val="20"/>
          <w:szCs w:val="20"/>
          <w:color w:val="auto"/>
        </w:rPr>
      </w:pPr>
    </w:p>
    <w:p>
      <w:pPr>
        <w:ind w:right="60" w:firstLine="698"/>
        <w:spacing w:after="0" w:line="265" w:lineRule="auto"/>
        <w:rPr>
          <w:sz w:val="20"/>
          <w:szCs w:val="20"/>
          <w:color w:val="auto"/>
        </w:rPr>
      </w:pPr>
      <w:r>
        <w:rPr>
          <w:rFonts w:ascii="Times New Roman" w:cs="Times New Roman" w:eastAsia="Times New Roman" w:hAnsi="Times New Roman"/>
          <w:sz w:val="19"/>
          <w:szCs w:val="19"/>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91" w:lineRule="exact"/>
        <w:rPr>
          <w:sz w:val="20"/>
          <w:szCs w:val="20"/>
          <w:color w:val="auto"/>
        </w:rPr>
      </w:pPr>
    </w:p>
    <w:p>
      <w:pPr>
        <w:ind w:right="20" w:firstLine="698"/>
        <w:spacing w:after="0" w:line="274" w:lineRule="auto"/>
        <w:rPr>
          <w:sz w:val="20"/>
          <w:szCs w:val="20"/>
          <w:color w:val="auto"/>
        </w:rPr>
      </w:pPr>
      <w:r>
        <w:rPr>
          <w:rFonts w:ascii="Times New Roman" w:cs="Times New Roman" w:eastAsia="Times New Roman" w:hAnsi="Times New Roman"/>
          <w:sz w:val="19"/>
          <w:szCs w:val="19"/>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2024, 2025 and 2026.</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9"/>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1"/>
        </w:trPr>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95"/>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Capitalized portion of research and development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75,531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75,853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81,773</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Expensed portion of research and development</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178,333</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205,851</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221,389</w:t>
            </w: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Total research and development</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253,864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303,162</w:t>
            </w:r>
          </w:p>
        </w:tc>
      </w:tr>
    </w:tbl>
    <w:p>
      <w:pPr>
        <w:spacing w:after="0" w:line="282" w:lineRule="exact"/>
        <w:rPr>
          <w:sz w:val="20"/>
          <w:szCs w:val="20"/>
          <w:color w:val="auto"/>
        </w:rPr>
      </w:pPr>
    </w:p>
    <w:p>
      <w:pPr>
        <w:ind w:right="100" w:firstLine="698"/>
        <w:spacing w:after="0" w:line="268" w:lineRule="auto"/>
        <w:rPr>
          <w:sz w:val="20"/>
          <w:szCs w:val="20"/>
          <w:color w:val="auto"/>
        </w:rPr>
      </w:pPr>
      <w:r>
        <w:rPr>
          <w:rFonts w:ascii="Times New Roman" w:cs="Times New Roman" w:eastAsia="Times New Roman" w:hAnsi="Times New Roman"/>
          <w:sz w:val="19"/>
          <w:szCs w:val="19"/>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w:t>
      </w:r>
    </w:p>
    <w:p>
      <w:pPr>
        <w:spacing w:after="0" w:line="249" w:lineRule="exact"/>
        <w:rPr>
          <w:sz w:val="20"/>
          <w:szCs w:val="20"/>
          <w:color w:val="auto"/>
        </w:rPr>
      </w:pPr>
    </w:p>
    <w:p>
      <w:pPr>
        <w:ind w:right="60" w:firstLine="698"/>
        <w:spacing w:after="0" w:line="293" w:lineRule="auto"/>
        <w:rPr>
          <w:sz w:val="20"/>
          <w:szCs w:val="20"/>
          <w:color w:val="auto"/>
        </w:rPr>
      </w:pPr>
      <w:r>
        <w:rPr>
          <w:rFonts w:ascii="Times New Roman" w:cs="Times New Roman" w:eastAsia="Times New Roman" w:hAnsi="Times New Roman"/>
          <w:sz w:val="19"/>
          <w:szCs w:val="19"/>
          <w:color w:val="auto"/>
        </w:rPr>
        <w:t>General and administrative expenses consist primarily of employee-related costs, including wages, stock-based compensation, bonuses and benefits for our finance and accounting, legal, information systems, human resources and other</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600"/>
          </w:cols>
          <w:pgMar w:left="1140" w:top="872" w:right="1140" w:bottom="0" w:gutter="0" w:footer="0" w:header="0"/>
          <w:type w:val="continuous"/>
        </w:sectPr>
      </w:pPr>
    </w:p>
    <w:bookmarkStart w:id="46" w:name="page47"/>
    <w:bookmarkEnd w:id="46"/>
    <w:p>
      <w:pPr>
        <w:ind w:right="140"/>
        <w:spacing w:after="0" w:line="274" w:lineRule="auto"/>
        <w:rPr>
          <w:sz w:val="20"/>
          <w:szCs w:val="20"/>
          <w:color w:val="auto"/>
        </w:rPr>
      </w:pPr>
      <w:r>
        <w:rPr>
          <w:rFonts w:ascii="Times New Roman" w:cs="Times New Roman" w:eastAsia="Times New Roman" w:hAnsi="Times New Roman"/>
          <w:sz w:val="19"/>
          <w:szCs w:val="19"/>
          <w:color w:val="auto"/>
        </w:rPr>
        <w:t>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249" w:lineRule="exact"/>
        <w:rPr>
          <w:sz w:val="20"/>
          <w:szCs w:val="20"/>
          <w:color w:val="auto"/>
        </w:rPr>
      </w:pPr>
    </w:p>
    <w:p>
      <w:pPr>
        <w:ind w:right="540" w:firstLine="698"/>
        <w:spacing w:after="0" w:line="293" w:lineRule="auto"/>
        <w:rPr>
          <w:sz w:val="20"/>
          <w:szCs w:val="20"/>
          <w:color w:val="auto"/>
        </w:rPr>
      </w:pPr>
      <w:r>
        <w:rPr>
          <w:rFonts w:ascii="Times New Roman" w:cs="Times New Roman" w:eastAsia="Times New Roman" w:hAnsi="Times New Roman"/>
          <w:sz w:val="19"/>
          <w:szCs w:val="19"/>
          <w:color w:val="auto"/>
        </w:rPr>
        <w:t>Other income (expense) generally consists of interest income related to interest earned on our cash and cash equivalents, net of interest expense related to our revolving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table sets forth our statements of operations data for each of the periods indicated.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1"/>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0"/>
        </w:trPr>
        <w:tc>
          <w:tcPr>
            <w:tcW w:w="5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Data:</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Revenues: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Recurring and other revenue </w:t>
            </w:r>
            <w:r>
              <w:rPr>
                <w:rFonts w:ascii="Times New Roman" w:cs="Times New Roman" w:eastAsia="Times New Roman" w:hAnsi="Times New Roman"/>
                <w:sz w:val="19"/>
                <w:szCs w:val="19"/>
                <w:color w:val="B4B4B4"/>
              </w:rPr>
              <w: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1,281,680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1,471,801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1,651,362</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income on funds held for clients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120,835</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123,420</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119,964</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revenues </w:t>
            </w:r>
            <w:r>
              <w:rPr>
                <w:rFonts w:ascii="Times New Roman" w:cs="Times New Roman" w:eastAsia="Times New Roman" w:hAnsi="Times New Roman"/>
                <w:sz w:val="19"/>
                <w:szCs w:val="19"/>
                <w:color w:val="B4B4B4"/>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1,402,515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1,595,221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1,771,326</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Cost of revenues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441,729</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498,223</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545,824</w:t>
            </w:r>
          </w:p>
        </w:tc>
      </w:tr>
      <w:tr>
        <w:trPr>
          <w:trHeight w:val="27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Gross profit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960,786</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1,096,998</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1,225,502</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expenses: </w:t>
            </w:r>
            <w:r>
              <w:rPr>
                <w:rFonts w:ascii="Times New Roman" w:cs="Times New Roman" w:eastAsia="Times New Roman" w:hAnsi="Times New Roman"/>
                <w:sz w:val="19"/>
                <w:szCs w:val="19"/>
                <w:color w:val="B4B4B4"/>
              </w:rPr>
              <w:t>..................................................................................</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Sales and marketing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334,954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374,216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393,878</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178,333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205,851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221,389</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187,406</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212,907</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224,242</w:t>
            </w:r>
          </w:p>
        </w:tc>
      </w:tr>
      <w:tr>
        <w:trPr>
          <w:trHeight w:val="27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operating expenses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700,693</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792,974</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839,509</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income </w:t>
            </w:r>
            <w:r>
              <w:rPr>
                <w:rFonts w:ascii="Times New Roman" w:cs="Times New Roman" w:eastAsia="Times New Roman" w:hAnsi="Times New Roman"/>
                <w:sz w:val="19"/>
                <w:szCs w:val="19"/>
                <w:color w:val="B4B4B4"/>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260,093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385,993</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income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16,922</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5,039</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1,310</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Income before income taxes </w:t>
            </w:r>
            <w:r>
              <w:rPr>
                <w:rFonts w:ascii="Times New Roman" w:cs="Times New Roman" w:eastAsia="Times New Roman" w:hAnsi="Times New Roman"/>
                <w:sz w:val="19"/>
                <w:szCs w:val="19"/>
                <w:color w:val="B4B4B4"/>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277,015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309,063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387,303</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Income tax expense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70,249</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81,936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117,562</w:t>
            </w:r>
          </w:p>
        </w:tc>
      </w:tr>
      <w:tr>
        <w:trPr>
          <w:trHeight w:val="252"/>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income </w:t>
            </w:r>
            <w:r>
              <w:rPr>
                <w:rFonts w:ascii="Times New Roman" w:cs="Times New Roman" w:eastAsia="Times New Roman" w:hAnsi="Times New Roman"/>
                <w:sz w:val="19"/>
                <w:szCs w:val="19"/>
                <w:color w:val="B4B4B4"/>
              </w:rPr>
              <w: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206,766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227,127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269,741</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-54610</wp:posOffset>
            </wp:positionV>
            <wp:extent cx="2534920" cy="73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600"/>
          </w:cols>
          <w:pgMar w:left="1140" w:top="872" w:right="1140" w:bottom="0" w:gutter="0" w:footer="0" w:header="0"/>
          <w:type w:val="continuous"/>
        </w:sectPr>
      </w:pPr>
    </w:p>
    <w:bookmarkStart w:id="47" w:name="page48"/>
    <w:bookmarkEnd w:id="47"/>
    <w:p>
      <w:pPr>
        <w:ind w:right="340" w:firstLine="698"/>
        <w:spacing w:after="0" w:line="293" w:lineRule="auto"/>
        <w:rPr>
          <w:sz w:val="20"/>
          <w:szCs w:val="20"/>
          <w:color w:val="auto"/>
        </w:rPr>
      </w:pPr>
      <w:r>
        <w:rPr>
          <w:rFonts w:ascii="Times New Roman" w:cs="Times New Roman" w:eastAsia="Times New Roman" w:hAnsi="Times New Roman"/>
          <w:sz w:val="19"/>
          <w:szCs w:val="19"/>
          <w:color w:val="auto"/>
        </w:rPr>
        <w:t>The following table sets forth our statements of operations data as a percentage of total revenue for each of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840" w:type="dxa"/>
            <w:vAlign w:val="bottom"/>
            <w:gridSpan w:val="4"/>
          </w:tcPr>
          <w:p>
            <w:pPr>
              <w:ind w:left="4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Data:</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8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Revenues: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73"/>
              </w:rPr>
              <w:t xml:space="preserve">Recurring and other revenue </w:t>
            </w:r>
            <w:r>
              <w:rPr>
                <w:rFonts w:ascii="Times New Roman" w:cs="Times New Roman" w:eastAsia="Times New Roman" w:hAnsi="Times New Roman"/>
                <w:sz w:val="13"/>
                <w:szCs w:val="13"/>
                <w:color w:val="B4B4B4"/>
                <w:w w:val="73"/>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91%</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00" w:type="dxa"/>
            <w:vAlign w:val="bottom"/>
            <w:gridSpan w:val="5"/>
          </w:tcPr>
          <w:p>
            <w:pPr>
              <w:ind w:left="280"/>
              <w:spacing w:after="0"/>
              <w:rPr>
                <w:sz w:val="20"/>
                <w:szCs w:val="20"/>
                <w:color w:val="auto"/>
              </w:rPr>
            </w:pPr>
            <w:r>
              <w:rPr>
                <w:rFonts w:ascii="Times New Roman" w:cs="Times New Roman" w:eastAsia="Times New Roman" w:hAnsi="Times New Roman"/>
                <w:sz w:val="19"/>
                <w:szCs w:val="19"/>
                <w:color w:val="auto"/>
                <w:w w:val="70"/>
              </w:rPr>
              <w:t xml:space="preserve">Interest income on funds held for clients </w:t>
            </w:r>
            <w:r>
              <w:rPr>
                <w:rFonts w:ascii="Times New Roman" w:cs="Times New Roman" w:eastAsia="Times New Roman" w:hAnsi="Times New Roman"/>
                <w:sz w:val="19"/>
                <w:szCs w:val="19"/>
                <w:color w:val="B4B4B4"/>
                <w:w w:val="70"/>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Total revenues </w:t>
            </w:r>
            <w:r>
              <w:rPr>
                <w:rFonts w:ascii="Times New Roman" w:cs="Times New Roman" w:eastAsia="Times New Roman" w:hAnsi="Times New Roman"/>
                <w:sz w:val="14"/>
                <w:szCs w:val="14"/>
                <w:color w:val="B4B4B4"/>
                <w:w w:val="71"/>
              </w:rPr>
              <w:t>...........................................................................................</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4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Cost of revenues </w:t>
            </w:r>
            <w:r>
              <w:rPr>
                <w:rFonts w:ascii="Times New Roman" w:cs="Times New Roman" w:eastAsia="Times New Roman" w:hAnsi="Times New Roman"/>
                <w:sz w:val="14"/>
                <w:szCs w:val="14"/>
                <w:color w:val="B4B4B4"/>
                <w:w w:val="71"/>
              </w:rPr>
              <w:t>........................................................................................</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4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Gross profit </w:t>
            </w:r>
            <w:r>
              <w:rPr>
                <w:rFonts w:ascii="Times New Roman" w:cs="Times New Roman" w:eastAsia="Times New Roman" w:hAnsi="Times New Roman"/>
                <w:sz w:val="14"/>
                <w:szCs w:val="14"/>
                <w:color w:val="B4B4B4"/>
                <w:w w:val="71"/>
              </w:rPr>
              <w:t>...............................................................................................</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4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8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2"/>
              </w:rPr>
              <w:t xml:space="preserve">Operating expenses: </w:t>
            </w:r>
            <w:r>
              <w:rPr>
                <w:rFonts w:ascii="Times New Roman" w:cs="Times New Roman" w:eastAsia="Times New Roman" w:hAnsi="Times New Roman"/>
                <w:sz w:val="13"/>
                <w:szCs w:val="13"/>
                <w:color w:val="B4B4B4"/>
                <w:w w:val="72"/>
              </w:rPr>
              <w:t>..................................................................................</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74"/>
              </w:rPr>
              <w:t xml:space="preserve">Sales and marketing </w:t>
            </w:r>
            <w:r>
              <w:rPr>
                <w:rFonts w:ascii="Times New Roman" w:cs="Times New Roman" w:eastAsia="Times New Roman" w:hAnsi="Times New Roman"/>
                <w:sz w:val="13"/>
                <w:szCs w:val="13"/>
                <w:color w:val="B4B4B4"/>
                <w:w w:val="74"/>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73"/>
              </w:rPr>
              <w:t xml:space="preserve">Research and development </w:t>
            </w:r>
            <w:r>
              <w:rPr>
                <w:rFonts w:ascii="Times New Roman" w:cs="Times New Roman" w:eastAsia="Times New Roman" w:hAnsi="Times New Roman"/>
                <w:sz w:val="13"/>
                <w:szCs w:val="13"/>
                <w:color w:val="B4B4B4"/>
                <w:w w:val="73"/>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73"/>
              </w:rPr>
              <w:t xml:space="preserve">General and administrative </w:t>
            </w:r>
            <w:r>
              <w:rPr>
                <w:rFonts w:ascii="Times New Roman" w:cs="Times New Roman" w:eastAsia="Times New Roman" w:hAnsi="Times New Roman"/>
                <w:sz w:val="13"/>
                <w:szCs w:val="13"/>
                <w:color w:val="B4B4B4"/>
                <w:w w:val="73"/>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Total operating expenses </w:t>
            </w:r>
            <w:r>
              <w:rPr>
                <w:rFonts w:ascii="Times New Roman" w:cs="Times New Roman" w:eastAsia="Times New Roman" w:hAnsi="Times New Roman"/>
                <w:sz w:val="14"/>
                <w:szCs w:val="14"/>
                <w:color w:val="B4B4B4"/>
                <w:w w:val="71"/>
              </w:rPr>
              <w:t>...........................................................................</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4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73"/>
              </w:rPr>
              <w:t xml:space="preserve">Operating income </w:t>
            </w:r>
            <w:r>
              <w:rPr>
                <w:rFonts w:ascii="Times New Roman" w:cs="Times New Roman" w:eastAsia="Times New Roman" w:hAnsi="Times New Roman"/>
                <w:sz w:val="13"/>
                <w:szCs w:val="13"/>
                <w:color w:val="B4B4B4"/>
                <w:w w:val="73"/>
              </w:rPr>
              <w:t>.................................................................................</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Other income </w:t>
            </w:r>
            <w:r>
              <w:rPr>
                <w:rFonts w:ascii="Times New Roman" w:cs="Times New Roman" w:eastAsia="Times New Roman" w:hAnsi="Times New Roman"/>
                <w:sz w:val="14"/>
                <w:szCs w:val="14"/>
                <w:color w:val="B4B4B4"/>
                <w:w w:val="71"/>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73"/>
              </w:rPr>
              <w:t xml:space="preserve">Income before income taxes </w:t>
            </w:r>
            <w:r>
              <w:rPr>
                <w:rFonts w:ascii="Times New Roman" w:cs="Times New Roman" w:eastAsia="Times New Roman" w:hAnsi="Times New Roman"/>
                <w:sz w:val="13"/>
                <w:szCs w:val="13"/>
                <w:color w:val="B4B4B4"/>
                <w:w w:val="73"/>
              </w:rPr>
              <w:t>.................................................................</w:t>
            </w: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Income tax expense </w:t>
            </w:r>
            <w:r>
              <w:rPr>
                <w:rFonts w:ascii="Times New Roman" w:cs="Times New Roman" w:eastAsia="Times New Roman" w:hAnsi="Times New Roman"/>
                <w:sz w:val="14"/>
                <w:szCs w:val="14"/>
                <w:color w:val="B4B4B4"/>
                <w:w w:val="71"/>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xml:space="preserve">Net income </w:t>
            </w:r>
            <w:r>
              <w:rPr>
                <w:rFonts w:ascii="Times New Roman" w:cs="Times New Roman" w:eastAsia="Times New Roman" w:hAnsi="Times New Roman"/>
                <w:sz w:val="14"/>
                <w:szCs w:val="14"/>
                <w:color w:val="B4B4B4"/>
                <w:w w:val="71"/>
              </w:rPr>
              <w:t>................................................................................................</w:t>
            </w: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b w:val="1"/>
                <w:bCs w:val="1"/>
                <w:color w:val="auto"/>
              </w:rPr>
              <w:t>Comparison of Fiscal Years Ended June 30, 2025 and 2026</w:t>
            </w: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880" w:type="dxa"/>
            <w:vAlign w:val="bottom"/>
            <w:gridSpan w:val="7"/>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80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 in thousands)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Change from 2024 to</w:t>
            </w:r>
          </w:p>
        </w:tc>
        <w:tc>
          <w:tcPr>
            <w:tcW w:w="60" w:type="dxa"/>
            <w:vAlign w:val="bottom"/>
          </w:tcPr>
          <w:p>
            <w:pPr>
              <w:spacing w:after="0"/>
              <w:rPr>
                <w:sz w:val="24"/>
                <w:szCs w:val="24"/>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Change from 2025 to</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Borders>
              <w:bottom w:val="single" w:sz="8" w:color="auto"/>
            </w:tcBorders>
            <w:gridSpan w:val="5"/>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8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Recurring and other revenue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1,281,680</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1,471,801</w:t>
            </w:r>
          </w:p>
        </w:tc>
        <w:tc>
          <w:tcPr>
            <w:tcW w:w="60" w:type="dxa"/>
            <w:vAlign w:val="bottom"/>
          </w:tcPr>
          <w:p>
            <w:pPr>
              <w:spacing w:after="0"/>
              <w:rPr>
                <w:sz w:val="23"/>
                <w:szCs w:val="23"/>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$ 1,651,362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$ 190,121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$ 179,561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8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 xml:space="preserve">Percentage of total revenues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93 %</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Interest income on funds held for</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8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clients </w:t>
            </w:r>
            <w:r>
              <w:rPr>
                <w:rFonts w:ascii="Times New Roman" w:cs="Times New Roman" w:eastAsia="Times New Roman" w:hAnsi="Times New Roman"/>
                <w:sz w:val="19"/>
                <w:szCs w:val="19"/>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120,835</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123,420</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119,964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   2,585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  (3,456)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8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 xml:space="preserve">Percentage of total revenues </w:t>
            </w:r>
            <w:r>
              <w:rPr>
                <w:rFonts w:ascii="Times New Roman" w:cs="Times New Roman" w:eastAsia="Times New Roman" w:hAnsi="Times New Roman"/>
                <w:sz w:val="19"/>
                <w:szCs w:val="19"/>
                <w:color w:val="B4B4B4"/>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7 %</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-2298065</wp:posOffset>
            </wp:positionV>
            <wp:extent cx="2534920" cy="73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Recurring and Other Revenue</w:t>
      </w:r>
    </w:p>
    <w:p>
      <w:pPr>
        <w:spacing w:after="0" w:line="249"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Recurring and other revenue for the year ended June 30, 2026 increased by $179.6 million, or 12%, to $1,651.4 million from $1,471.8 million for the year ended June 30, 2025. Recurring and other revenue increased primarily as a result of incremental revenues from new and existing clients due to the strong performance by our sales team and continued annual revenue retention in excess of 92%. Excluding clients acquired through acquisitions, the number of clients using our software solutions at June 30, 2026 increased by 7% to approximately 44,400 from approximately 41,650 at June 30, 2025.</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Interest Income on Funds Held for Clients</w:t>
      </w:r>
    </w:p>
    <w:p>
      <w:pPr>
        <w:spacing w:after="0" w:line="249" w:lineRule="exact"/>
        <w:rPr>
          <w:sz w:val="20"/>
          <w:szCs w:val="20"/>
          <w:color w:val="auto"/>
        </w:rPr>
      </w:pPr>
    </w:p>
    <w:p>
      <w:pPr>
        <w:ind w:right="220" w:firstLine="698"/>
        <w:spacing w:after="0" w:line="268" w:lineRule="auto"/>
        <w:rPr>
          <w:sz w:val="20"/>
          <w:szCs w:val="20"/>
          <w:color w:val="auto"/>
        </w:rPr>
      </w:pPr>
      <w:r>
        <w:rPr>
          <w:rFonts w:ascii="Times New Roman" w:cs="Times New Roman" w:eastAsia="Times New Roman" w:hAnsi="Times New Roman"/>
          <w:sz w:val="19"/>
          <w:szCs w:val="19"/>
          <w:color w:val="auto"/>
        </w:rPr>
        <w:t>Interest income on funds held for clients for the year ended June 30, 2026 decreased by $3.5 million, or 3%, to $120.0 million from $123.4 million for the year ended June 30, 2025. Interest income on funds held for clients decreased slightly as the negative impact from lower interest rates was mostly offset by positive impact from higher average daily balances of funds held for new and existing clients as compared to the prior fiscal year.</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600"/>
          </w:cols>
          <w:pgMar w:left="1140" w:top="872" w:right="114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9"/>
          <w:szCs w:val="19"/>
          <w:b w:val="1"/>
          <w:bCs w:val="1"/>
          <w:i w:val="1"/>
          <w:iCs w:val="1"/>
          <w:color w:val="auto"/>
        </w:rPr>
        <w:t>Cost of Revenues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in thousands)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Change from 2024 to</w:t>
            </w:r>
          </w:p>
        </w:tc>
        <w:tc>
          <w:tcPr>
            <w:tcW w:w="60" w:type="dxa"/>
            <w:vAlign w:val="bottom"/>
          </w:tcPr>
          <w:p>
            <w:pPr>
              <w:spacing w:after="0"/>
              <w:rPr>
                <w:sz w:val="16"/>
                <w:szCs w:val="16"/>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Change from 2025 to</w:t>
            </w:r>
          </w:p>
        </w:tc>
      </w:tr>
      <w:tr>
        <w:trPr>
          <w:trHeight w:val="211"/>
        </w:trPr>
        <w:tc>
          <w:tcPr>
            <w:tcW w:w="2760" w:type="dxa"/>
            <w:vAlign w:val="bottom"/>
          </w:tcPr>
          <w:p>
            <w:pPr>
              <w:spacing w:after="0"/>
              <w:rPr>
                <w:sz w:val="18"/>
                <w:szCs w:val="18"/>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r>
      <w:tr>
        <w:trPr>
          <w:trHeight w:val="227"/>
        </w:trPr>
        <w:tc>
          <w:tcPr>
            <w:tcW w:w="2760" w:type="dxa"/>
            <w:vAlign w:val="bottom"/>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8"/>
        </w:trPr>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Cost of revenues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441,729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498,223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545,824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56,494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47,601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91"/>
        </w:trPr>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Percentage of total revenues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91"/>
        </w:trPr>
        <w:tc>
          <w:tcPr>
            <w:tcW w:w="2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Gross profit margin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82" w:lineRule="exact"/>
        <w:rPr>
          <w:sz w:val="20"/>
          <w:szCs w:val="20"/>
          <w:color w:val="auto"/>
        </w:rPr>
      </w:pPr>
    </w:p>
    <w:p>
      <w:pPr>
        <w:ind w:firstLine="698"/>
        <w:spacing w:after="0" w:line="265" w:lineRule="auto"/>
        <w:rPr>
          <w:sz w:val="20"/>
          <w:szCs w:val="20"/>
          <w:color w:val="auto"/>
        </w:rPr>
      </w:pPr>
      <w:r>
        <w:rPr>
          <w:rFonts w:ascii="Times New Roman" w:cs="Times New Roman" w:eastAsia="Times New Roman" w:hAnsi="Times New Roman"/>
          <w:sz w:val="19"/>
          <w:szCs w:val="19"/>
          <w:color w:val="auto"/>
        </w:rPr>
        <w:t>Cost of revenues for the year ended June 30, 2026 increased by $47.6 million, or 10%, to $545.8 million from $498.2 million for the year ended June 30, 2025. Cost of revenues increased primarily as a result of the continued growth of our business, in particular, $26.0 million in additional employee-related costs, $10.7 million in additional processing and delivery related costs, and $10.6 million in increased internal-use software amortization. Gross profit margin was 69% for both years ended June 30, 2025 and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in thousands)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Sales and Marketing</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Change from 2024 to</w:t>
            </w:r>
          </w:p>
        </w:tc>
        <w:tc>
          <w:tcPr>
            <w:tcW w:w="60" w:type="dxa"/>
            <w:vAlign w:val="bottom"/>
          </w:tcPr>
          <w:p>
            <w:pPr>
              <w:spacing w:after="0"/>
              <w:rPr>
                <w:sz w:val="16"/>
                <w:szCs w:val="16"/>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Change from 2025 to</w:t>
            </w:r>
          </w:p>
        </w:tc>
      </w:tr>
      <w:tr>
        <w:trPr>
          <w:trHeight w:val="210"/>
        </w:trPr>
        <w:tc>
          <w:tcPr>
            <w:tcW w:w="2760" w:type="dxa"/>
            <w:vAlign w:val="bottom"/>
          </w:tcPr>
          <w:p>
            <w:pPr>
              <w:spacing w:after="0"/>
              <w:rPr>
                <w:sz w:val="18"/>
                <w:szCs w:val="18"/>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r>
      <w:tr>
        <w:trPr>
          <w:trHeight w:val="227"/>
        </w:trPr>
        <w:tc>
          <w:tcPr>
            <w:tcW w:w="2760" w:type="dxa"/>
            <w:vAlign w:val="bottom"/>
          </w:tcPr>
          <w:p>
            <w:pPr>
              <w:spacing w:after="0"/>
              <w:rPr>
                <w:sz w:val="19"/>
                <w:szCs w:val="19"/>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8"/>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Sales and marketing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334,954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374,216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393,878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39,262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19,662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Percentage of total revenues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85" w:lineRule="exact"/>
        <w:rPr>
          <w:sz w:val="20"/>
          <w:szCs w:val="20"/>
          <w:color w:val="auto"/>
        </w:rPr>
      </w:pPr>
    </w:p>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Sales and marketing expenses for the year ended June 30, 2026 increased by $19.7 million, or 5%, to $393.9 million from $374.2 million for the year ended June 30, 2025. The increase in sales and marketing expense was primarily due to $20.5 million of additional employee-related costs, partially offset by $3.7 million in lower stock-based compensation expense.</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Change from 2024 to</w:t>
            </w:r>
          </w:p>
        </w:tc>
        <w:tc>
          <w:tcPr>
            <w:tcW w:w="60" w:type="dxa"/>
            <w:vAlign w:val="bottom"/>
          </w:tcPr>
          <w:p>
            <w:pPr>
              <w:spacing w:after="0"/>
              <w:rPr>
                <w:sz w:val="16"/>
                <w:szCs w:val="16"/>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Change from 2025 to</w:t>
            </w:r>
          </w:p>
        </w:tc>
      </w:tr>
      <w:tr>
        <w:trPr>
          <w:trHeight w:val="210"/>
        </w:trPr>
        <w:tc>
          <w:tcPr>
            <w:tcW w:w="2760" w:type="dxa"/>
            <w:vAlign w:val="bottom"/>
          </w:tcPr>
          <w:p>
            <w:pPr>
              <w:spacing w:after="0"/>
              <w:rPr>
                <w:sz w:val="18"/>
                <w:szCs w:val="18"/>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r>
      <w:tr>
        <w:trPr>
          <w:trHeight w:val="226"/>
        </w:trPr>
        <w:tc>
          <w:tcPr>
            <w:tcW w:w="2760" w:type="dxa"/>
            <w:vAlign w:val="bottom"/>
          </w:tcPr>
          <w:p>
            <w:pPr>
              <w:spacing w:after="0"/>
              <w:rPr>
                <w:sz w:val="19"/>
                <w:szCs w:val="19"/>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178,333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205,851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221,389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27,518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15,538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Percentage of total revenues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Research and development expenses for the year ended June 30, 2026 increased by $15.5 million, or 8%,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$221.4 million from $205.9 million for the year ended June 30, 2025. The increase in research and development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was primarily due to $16.3 million of additional employee-related costs related to additional development personnel, net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capitalized internal-use software costs, partially offset by $5.2 million in lower stock-based compensation expense.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Change from 2024 to</w:t>
            </w:r>
          </w:p>
        </w:tc>
        <w:tc>
          <w:tcPr>
            <w:tcW w:w="60" w:type="dxa"/>
            <w:vAlign w:val="bottom"/>
          </w:tcPr>
          <w:p>
            <w:pPr>
              <w:spacing w:after="0"/>
              <w:rPr>
                <w:sz w:val="16"/>
                <w:szCs w:val="16"/>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Change from 2025 to</w:t>
            </w:r>
          </w:p>
        </w:tc>
      </w:tr>
      <w:tr>
        <w:trPr>
          <w:trHeight w:val="210"/>
        </w:trPr>
        <w:tc>
          <w:tcPr>
            <w:tcW w:w="2760" w:type="dxa"/>
            <w:vAlign w:val="bottom"/>
          </w:tcPr>
          <w:p>
            <w:pPr>
              <w:spacing w:after="0"/>
              <w:rPr>
                <w:sz w:val="18"/>
                <w:szCs w:val="18"/>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r>
      <w:tr>
        <w:trPr>
          <w:trHeight w:val="226"/>
        </w:trPr>
        <w:tc>
          <w:tcPr>
            <w:tcW w:w="2760" w:type="dxa"/>
            <w:vAlign w:val="bottom"/>
          </w:tcPr>
          <w:p>
            <w:pPr>
              <w:spacing w:after="0"/>
              <w:rPr>
                <w:sz w:val="19"/>
                <w:szCs w:val="19"/>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187,406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212,907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224,242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25,501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11,335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Percentage of total revenues </w:t>
            </w:r>
            <w:r>
              <w:rPr>
                <w:rFonts w:ascii="Times New Roman" w:cs="Times New Roman" w:eastAsia="Times New Roman" w:hAnsi="Times New Roman"/>
                <w:sz w:val="19"/>
                <w:szCs w:val="19"/>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General and administrative expenses for the year ended June 30, 2026 increased by $11.3 million, or 5%,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$224.2 million from $212.9 million for the year ended June 30, 2025. The increase in general and administrative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was primarily due to $6.8 million in additional stock-based compensation expense as compared to the prior fiscal year,</w:t>
      </w:r>
    </w:p>
    <w:p>
      <w:pPr>
        <w:sectPr>
          <w:pgSz w:w="11880" w:h="15480" w:orient="portrait"/>
          <w:cols w:equalWidth="0" w:num="1">
            <w:col w:w="9580"/>
          </w:cols>
          <w:pgMar w:left="1140" w:top="865" w:right="1160"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580"/>
          </w:cols>
          <w:pgMar w:left="1140" w:top="865" w:right="1160" w:bottom="0" w:gutter="0" w:footer="0" w:header="0"/>
          <w:type w:val="continuous"/>
        </w:sectPr>
      </w:pPr>
    </w:p>
    <w:bookmarkStart w:id="49" w:name="page50"/>
    <w:bookmarkEnd w:id="49"/>
    <w:p>
      <w:pPr>
        <w:spacing w:after="0" w:line="293" w:lineRule="auto"/>
        <w:rPr>
          <w:sz w:val="20"/>
          <w:szCs w:val="20"/>
          <w:color w:val="auto"/>
        </w:rPr>
      </w:pPr>
      <w:r>
        <w:rPr>
          <w:rFonts w:ascii="Times New Roman" w:cs="Times New Roman" w:eastAsia="Times New Roman" w:hAnsi="Times New Roman"/>
          <w:sz w:val="19"/>
          <w:szCs w:val="19"/>
          <w:color w:val="auto"/>
        </w:rPr>
        <w:t>largely driven by executive award forfeitures during the year ended June 30, 2025 and $6.5 million in additional employee-related costs.</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52" w:lineRule="exact"/>
        <w:rPr>
          <w:sz w:val="20"/>
          <w:szCs w:val="20"/>
          <w:color w:val="auto"/>
        </w:rPr>
      </w:pPr>
    </w:p>
    <w:p>
      <w:pPr>
        <w:ind w:right="80" w:firstLine="698"/>
        <w:spacing w:after="0" w:line="255" w:lineRule="auto"/>
        <w:rPr>
          <w:sz w:val="20"/>
          <w:szCs w:val="20"/>
          <w:color w:val="auto"/>
        </w:rPr>
      </w:pPr>
      <w:r>
        <w:rPr>
          <w:rFonts w:ascii="Times New Roman" w:cs="Times New Roman" w:eastAsia="Times New Roman" w:hAnsi="Times New Roman"/>
          <w:sz w:val="19"/>
          <w:szCs w:val="19"/>
          <w:color w:val="auto"/>
        </w:rPr>
        <w:t>Other income for the year ended June 30, 2026 decreased by $3.7 million as compared to the year ended June 30, 2025. The change in other income was primarily due to an $11.7 million reduction in interest earned on our cash and cash equivalents from lower average balances and lower interest rates, partially offset by a $7.2 million decrease in interest expense due to less borrowings under our revolving credit facility.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Income Tax Expense (Benefit)</w:t>
      </w:r>
    </w:p>
    <w:p>
      <w:pPr>
        <w:spacing w:after="0" w:line="249" w:lineRule="exact"/>
        <w:rPr>
          <w:sz w:val="20"/>
          <w:szCs w:val="20"/>
          <w:color w:val="auto"/>
        </w:rPr>
      </w:pPr>
    </w:p>
    <w:p>
      <w:pPr>
        <w:ind w:right="40" w:firstLine="698"/>
        <w:spacing w:after="0" w:line="268" w:lineRule="auto"/>
        <w:rPr>
          <w:sz w:val="20"/>
          <w:szCs w:val="20"/>
          <w:color w:val="auto"/>
        </w:rPr>
      </w:pPr>
      <w:r>
        <w:rPr>
          <w:rFonts w:ascii="Times New Roman" w:cs="Times New Roman" w:eastAsia="Times New Roman" w:hAnsi="Times New Roman"/>
          <w:sz w:val="19"/>
          <w:szCs w:val="19"/>
          <w:color w:val="auto"/>
        </w:rPr>
        <w:t>Our effective tax rates were 26.5% and 30.4% for the years ended June 30, 2025 and 2026, respectively. Our effective tax rate for the year ended June 30, 2025 was higher than the federal statutory rate of 21% primarily due to state and local income taxes. Our effective tax rate for the year ended June 30, 2026 was higher than the federal statutory rate of 21% primarily due to stock-based compensation shortfalls and state and local income taxes.</w:t>
      </w:r>
    </w:p>
    <w:p>
      <w:pPr>
        <w:spacing w:after="0" w:line="188" w:lineRule="exact"/>
        <w:rPr>
          <w:sz w:val="20"/>
          <w:szCs w:val="20"/>
          <w:color w:val="auto"/>
        </w:rPr>
      </w:pPr>
    </w:p>
    <w:p>
      <w:pPr>
        <w:jc w:val="both"/>
        <w:ind w:right="120" w:firstLine="698"/>
        <w:spacing w:after="0" w:line="274" w:lineRule="auto"/>
        <w:rPr>
          <w:sz w:val="20"/>
          <w:szCs w:val="20"/>
          <w:color w:val="auto"/>
        </w:rPr>
      </w:pPr>
      <w:r>
        <w:rPr>
          <w:rFonts w:ascii="Times New Roman" w:cs="Times New Roman" w:eastAsia="Times New Roman" w:hAnsi="Times New Roman"/>
          <w:sz w:val="19"/>
          <w:szCs w:val="19"/>
          <w:color w:val="auto"/>
        </w:rPr>
        <w:t>See Note 14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Significant Judgments and Estimates</w:t>
      </w:r>
    </w:p>
    <w:p>
      <w:pPr>
        <w:spacing w:after="0" w:line="254" w:lineRule="exact"/>
        <w:rPr>
          <w:sz w:val="20"/>
          <w:szCs w:val="20"/>
          <w:color w:val="auto"/>
        </w:rPr>
      </w:pPr>
    </w:p>
    <w:p>
      <w:pPr>
        <w:ind w:right="80" w:firstLine="698"/>
        <w:spacing w:after="0" w:line="260" w:lineRule="auto"/>
        <w:rPr>
          <w:sz w:val="20"/>
          <w:szCs w:val="20"/>
          <w:color w:val="auto"/>
        </w:rPr>
      </w:pPr>
      <w:r>
        <w:rPr>
          <w:rFonts w:ascii="Times New Roman" w:cs="Times New Roman" w:eastAsia="Times New Roman" w:hAnsi="Times New Roman"/>
          <w:sz w:val="19"/>
          <w:szCs w:val="19"/>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254" w:lineRule="exact"/>
        <w:rPr>
          <w:sz w:val="20"/>
          <w:szCs w:val="20"/>
          <w:color w:val="auto"/>
        </w:rPr>
      </w:pPr>
    </w:p>
    <w:p>
      <w:pPr>
        <w:ind w:right="20" w:firstLine="698"/>
        <w:spacing w:after="0" w:line="262" w:lineRule="auto"/>
        <w:rPr>
          <w:sz w:val="20"/>
          <w:szCs w:val="20"/>
          <w:color w:val="auto"/>
        </w:rPr>
      </w:pPr>
      <w:r>
        <w:rPr>
          <w:rFonts w:ascii="Times New Roman" w:cs="Times New Roman" w:eastAsia="Times New Roman" w:hAnsi="Times New Roman"/>
          <w:sz w:val="19"/>
          <w:szCs w:val="19"/>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 We derive our revenue from contracts with clients substantially all from recurring service fees. Recurring fees are mostly derived from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193" w:lineRule="exact"/>
        <w:rPr>
          <w:sz w:val="20"/>
          <w:szCs w:val="20"/>
          <w:color w:val="auto"/>
        </w:rPr>
      </w:pPr>
    </w:p>
    <w:p>
      <w:pPr>
        <w:ind w:right="20" w:firstLine="698"/>
        <w:spacing w:after="0" w:line="263" w:lineRule="auto"/>
        <w:rPr>
          <w:sz w:val="20"/>
          <w:szCs w:val="20"/>
          <w:color w:val="auto"/>
        </w:rPr>
      </w:pPr>
      <w:r>
        <w:rPr>
          <w:rFonts w:ascii="Times New Roman" w:cs="Times New Roman" w:eastAsia="Times New Roman" w:hAnsi="Times New Roman"/>
          <w:sz w:val="19"/>
          <w:szCs w:val="19"/>
          <w:color w:val="auto"/>
        </w:rPr>
        <w:t>The performance obligations related to recurring services are generally satisfied monthly as services are provided, with fees charged and collected based on a per-employee-per-month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93" w:lineRule="exact"/>
        <w:rPr>
          <w:sz w:val="20"/>
          <w:szCs w:val="20"/>
          <w:color w:val="auto"/>
        </w:rPr>
      </w:pPr>
    </w:p>
    <w:p>
      <w:pPr>
        <w:ind w:right="220" w:firstLine="698"/>
        <w:spacing w:after="0" w:line="293" w:lineRule="auto"/>
        <w:rPr>
          <w:sz w:val="20"/>
          <w:szCs w:val="20"/>
          <w:color w:val="auto"/>
        </w:rPr>
      </w:pPr>
      <w:r>
        <w:rPr>
          <w:rFonts w:ascii="Times New Roman" w:cs="Times New Roman" w:eastAsia="Times New Roman" w:hAnsi="Times New Roman"/>
          <w:sz w:val="19"/>
          <w:szCs w:val="19"/>
          <w:color w:val="auto"/>
        </w:rPr>
        <w:t>We have certain optional performance obligations that are satisfied at a point in time including the sales of time clocks and W-2 preparation services.</w:t>
      </w:r>
    </w:p>
    <w:p>
      <w:pPr>
        <w:spacing w:after="0" w:line="165"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Implementation services and other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ectPr>
          <w:pgSz w:w="11880" w:h="15480" w:orient="portrait"/>
          <w:cols w:equalWidth="0" w:num="1">
            <w:col w:w="9560"/>
          </w:cols>
          <w:pgMar w:left="1140" w:top="87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560"/>
          </w:cols>
          <w:pgMar w:left="1140" w:top="872" w:right="1180" w:bottom="0" w:gutter="0" w:footer="0" w:header="0"/>
          <w:type w:val="continuous"/>
        </w:sectPr>
      </w:pPr>
    </w:p>
    <w:bookmarkStart w:id="50" w:name="page51"/>
    <w:bookmarkEnd w:id="50"/>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Capitalized Internal-Use Software Costs</w:t>
      </w:r>
    </w:p>
    <w:p>
      <w:pPr>
        <w:spacing w:after="0" w:line="254" w:lineRule="exact"/>
        <w:rPr>
          <w:sz w:val="20"/>
          <w:szCs w:val="20"/>
          <w:color w:val="auto"/>
        </w:rPr>
      </w:pPr>
    </w:p>
    <w:p>
      <w:pPr>
        <w:ind w:right="60" w:firstLine="698"/>
        <w:spacing w:after="0" w:line="261" w:lineRule="auto"/>
        <w:rPr>
          <w:sz w:val="20"/>
          <w:szCs w:val="20"/>
          <w:color w:val="auto"/>
        </w:rPr>
      </w:pPr>
      <w:r>
        <w:rPr>
          <w:rFonts w:ascii="Times New Roman" w:cs="Times New Roman" w:eastAsia="Times New Roman" w:hAnsi="Times New Roman"/>
          <w:sz w:val="19"/>
          <w:szCs w:val="19"/>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94"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auto"/>
        </w:rPr>
        <w:t>Internal-use software is amortized on a straight-line basis, generally over a two- to three-year period while certain projects that support our main processing activities are amortized over ten years.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2024, 2025 or 2026. We capitalized $75.5 million, $75.9 million and $81.8 million of internal-use software costs for the years ended June 30, 2024, 2025 and 2026, respectively, including stock-based compensation costs of $14.4 million, $13.0 million and $11.8 million for the years ended June 30, 2024, 2025 and 2026, respectively. We amortized $45.2 million, $59.9 million and $70.5 million of capitalized internal-use software costs for the years ended June 30, 2024, 2025 and 2026, respectively.</w:t>
      </w:r>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Combinations</w:t>
      </w:r>
    </w:p>
    <w:p>
      <w:pPr>
        <w:spacing w:after="0" w:line="245"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auto"/>
        </w:rPr>
        <w:t>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 allocations require us to make significant judgments and estimates in determining such fair values, particularly related to the proprietary technology intangible asset. Such estimates used in valuation methodologies can include, but are not limited to, forecasted revenue growth rates, royalty rates, technology migration rates, and required rate of return. These estimates 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 in Accounting Estimates</w:t>
      </w:r>
    </w:p>
    <w:p>
      <w:pPr>
        <w:spacing w:after="0" w:line="254" w:lineRule="exact"/>
        <w:rPr>
          <w:sz w:val="20"/>
          <w:szCs w:val="20"/>
          <w:color w:val="auto"/>
        </w:rPr>
      </w:pPr>
    </w:p>
    <w:p>
      <w:pPr>
        <w:ind w:right="140" w:firstLine="698"/>
        <w:spacing w:after="0" w:line="252" w:lineRule="auto"/>
        <w:rPr>
          <w:sz w:val="20"/>
          <w:szCs w:val="20"/>
          <w:color w:val="auto"/>
        </w:rPr>
      </w:pPr>
      <w:r>
        <w:rPr>
          <w:rFonts w:ascii="Times New Roman" w:cs="Times New Roman" w:eastAsia="Times New Roman" w:hAnsi="Times New Roman"/>
          <w:sz w:val="19"/>
          <w:szCs w:val="19"/>
          <w:color w:val="auto"/>
        </w:rPr>
        <w:t>At the end of fiscal 2026, we reassessed the estimated period of benefit for deferred contract costs. Based on this assessment, which considered factors including average client life and growth in contract renewals beyond initial contract terms, we extended the estimated period of benefit from seven years to eight years effective as of June 30, 2026. This change in accounting estimate is accounted for on a prospective basis and is expected to increase fiscal 2027 Adjusted EBITDA margins by approximately 120 to 140 basis points. This change did not impact our financial statements for the fiscal year ended June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54"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auto"/>
        </w:rPr>
        <w:t>Our primary liquidity needs are related to the funding of general business requirements, including working capital requirements, research and development, and capital expenditures. As of June 30, 2026, our principal sources of liquidity were $271.9 million of cash and cash equivalents. We maintain a credit agreement which provides for a $550.0 million revolving credit facility which may be increased up to $825.0 million. In September 2024, we borrowed $325.0 million under this credit facility to fund the October 2024 acquisition of Airbase Inc. We had $81.3 million in outstanding borrowings under this credit facility at June 30, 2026, as we repaid $162.5 million in the second half of fiscal 2025 and an additional $81.3 million in fiscal 2026. Refer to Notes 7 and 12 of the Notes to the Consolidated Financial Statements included in Part II, Item 8: “Financial Statements and Supplementary Data” for additional details on the Airbase acquisition and credit agreement, respectively.</w:t>
      </w:r>
    </w:p>
    <w:p>
      <w:pPr>
        <w:spacing w:after="0" w:line="182"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In April 2024, our board of directors authorized the repurchase of up to $500 million of our common stock (the “Repurchase Program”). In July 2025 and April 2026, our board of directors approved $500 million and $1 billion increases, respectively, to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fiscal 2024, we repurchased an</w:t>
      </w:r>
    </w:p>
    <w:p>
      <w:pPr>
        <w:sectPr>
          <w:pgSz w:w="11880" w:h="15480" w:orient="portrait"/>
          <w:cols w:equalWidth="0" w:num="1">
            <w:col w:w="9580"/>
          </w:cols>
          <w:pgMar w:left="1140" w:top="865" w:right="1160"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580"/>
          </w:cols>
          <w:pgMar w:left="1140" w:top="865" w:right="1160" w:bottom="0" w:gutter="0" w:footer="0" w:header="0"/>
          <w:type w:val="continuous"/>
        </w:sectPr>
      </w:pPr>
    </w:p>
    <w:bookmarkStart w:id="51" w:name="page52"/>
    <w:bookmarkEnd w:id="51"/>
    <w:p>
      <w:pPr>
        <w:spacing w:after="0" w:line="263" w:lineRule="auto"/>
        <w:rPr>
          <w:sz w:val="20"/>
          <w:szCs w:val="20"/>
          <w:color w:val="auto"/>
        </w:rPr>
      </w:pPr>
      <w:r>
        <w:rPr>
          <w:rFonts w:ascii="Times New Roman" w:cs="Times New Roman" w:eastAsia="Times New Roman" w:hAnsi="Times New Roman"/>
          <w:sz w:val="19"/>
          <w:szCs w:val="19"/>
          <w:color w:val="auto"/>
        </w:rPr>
        <w:t>aggregate of 1.1 million shares for approximately $150.0 million at an average cost per share of $142.82 under the Repurchase Program. During fiscal 2025, we repurchased 0.8 million shares for approximately $149.6 million at an average cost per share of $190.16 under the Repurchase Program. During fiscal 2026, we repurchased 2.8 million shares for approximately $398.1 million at an average cost per share of $144.67 under the Repurchase Program. Refer to Note 15 of the Notes to the Consolidated Financial Statements included in Part II, Item 8: “Financial Statements and Supplementary Data” for additional detail on our Repurchase Program.</w:t>
      </w:r>
    </w:p>
    <w:p>
      <w:pPr>
        <w:spacing w:after="0" w:line="193" w:lineRule="exact"/>
        <w:rPr>
          <w:sz w:val="20"/>
          <w:szCs w:val="20"/>
          <w:color w:val="auto"/>
        </w:rPr>
      </w:pPr>
    </w:p>
    <w:p>
      <w:pPr>
        <w:ind w:right="200" w:firstLine="698"/>
        <w:spacing w:after="0" w:line="265" w:lineRule="auto"/>
        <w:rPr>
          <w:sz w:val="20"/>
          <w:szCs w:val="20"/>
          <w:color w:val="auto"/>
        </w:rPr>
      </w:pPr>
      <w:r>
        <w:rPr>
          <w:rFonts w:ascii="Times New Roman" w:cs="Times New Roman" w:eastAsia="Times New Roman" w:hAnsi="Times New Roman"/>
          <w:sz w:val="19"/>
          <w:szCs w:val="19"/>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and as well as in money market funds. As of June 30, 2026, we did not have any corporate investments classified as available-for-sale securities.</w:t>
      </w:r>
    </w:p>
    <w:p>
      <w:pPr>
        <w:spacing w:after="0" w:line="191" w:lineRule="exact"/>
        <w:rPr>
          <w:sz w:val="20"/>
          <w:szCs w:val="20"/>
          <w:color w:val="auto"/>
        </w:rPr>
      </w:pPr>
    </w:p>
    <w:p>
      <w:pPr>
        <w:ind w:right="20" w:firstLine="698"/>
        <w:spacing w:after="0" w:line="260" w:lineRule="auto"/>
        <w:rPr>
          <w:sz w:val="20"/>
          <w:szCs w:val="20"/>
          <w:color w:val="auto"/>
        </w:rPr>
      </w:pPr>
      <w:r>
        <w:rPr>
          <w:rFonts w:ascii="Times New Roman" w:cs="Times New Roman" w:eastAsia="Times New Roman" w:hAnsi="Times New Roman"/>
          <w:sz w:val="19"/>
          <w:szCs w:val="19"/>
          <w:color w:val="auto"/>
        </w:rPr>
        <w:t>In order to grow our business, we intend to increase our personnel and related expenses and to make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244"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services via ACH transactions at the same time we debit the client’s account for payroll and payroll tax obligations and thus are able to reduce collectability and accounts receivable risks.</w:t>
      </w:r>
    </w:p>
    <w:p>
      <w:pPr>
        <w:spacing w:after="0" w:line="198" w:lineRule="exact"/>
        <w:rPr>
          <w:sz w:val="20"/>
          <w:szCs w:val="20"/>
          <w:color w:val="auto"/>
        </w:rPr>
      </w:pPr>
    </w:p>
    <w:p>
      <w:pPr>
        <w:ind w:right="220" w:firstLine="698"/>
        <w:spacing w:after="0" w:line="274" w:lineRule="auto"/>
        <w:rPr>
          <w:sz w:val="20"/>
          <w:szCs w:val="20"/>
          <w:color w:val="auto"/>
        </w:rPr>
      </w:pPr>
      <w:r>
        <w:rPr>
          <w:rFonts w:ascii="Times New Roman" w:cs="Times New Roman" w:eastAsia="Times New Roman" w:hAnsi="Times New Roman"/>
          <w:sz w:val="19"/>
          <w:szCs w:val="19"/>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580"/>
          </w:cols>
          <w:pgMar w:left="1140" w:top="872" w:right="11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color w:val="auto"/>
        </w:rPr>
        <w:t>Cash Flows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table sets forth data regarding cash flows for the periods indicated: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5"/>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0"/>
        </w:trPr>
        <w:tc>
          <w:tcPr>
            <w:tcW w:w="5640" w:type="dxa"/>
            <w:vAlign w:val="bottom"/>
          </w:tcPr>
          <w:p>
            <w:pPr>
              <w:jc w:val="right"/>
              <w:ind w:right="1823"/>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384,670</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418,226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533,252</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flows from investing activities: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Purchases of available-for-sale securities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(304,465)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(260,997)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(271,378)</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Proceeds from sales and maturities of available-for-sale securities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294,438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160,067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272,115</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Capitalized internal-use software costs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(60,726)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(69,302)</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Purchases of property and equipment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(18,028)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(36,152)</w:t>
            </w:r>
          </w:p>
        </w:tc>
      </w:tr>
      <w:tr>
        <w:trPr>
          <w:trHeight w:val="256"/>
        </w:trPr>
        <w:tc>
          <w:tcPr>
            <w:tcW w:w="5640" w:type="dxa"/>
            <w:vAlign w:val="bottom"/>
          </w:tcPr>
          <w:p>
            <w:pPr>
              <w:jc w:val="right"/>
              <w:ind w:right="183"/>
              <w:spacing w:after="0"/>
              <w:rPr>
                <w:sz w:val="20"/>
                <w:szCs w:val="20"/>
                <w:color w:val="auto"/>
              </w:rPr>
            </w:pPr>
            <w:r>
              <w:rPr>
                <w:rFonts w:ascii="Times New Roman" w:cs="Times New Roman" w:eastAsia="Times New Roman" w:hAnsi="Times New Roman"/>
                <w:sz w:val="19"/>
                <w:szCs w:val="19"/>
                <w:color w:val="auto"/>
              </w:rPr>
              <w:t>Acquisitions of businesses, net of cash and funds held for clients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3"/>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acquired </w:t>
            </w:r>
            <w:r>
              <w:rPr>
                <w:rFonts w:ascii="Times New Roman" w:cs="Times New Roman" w:eastAsia="Times New Roman" w:hAnsi="Times New Roman"/>
                <w:sz w:val="19"/>
                <w:szCs w:val="19"/>
                <w:color w:val="B4B4B4"/>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(277,851)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(49,183)</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investing activities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(1,079)</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(1,292)</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(893)</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cash used in investing activities</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(101,891)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(455,548)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(154,793)</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flows from financing activities: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change in client fund obligations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325,056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(297,923)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514,173</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Borrowings under credit facility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Repayment of credit facility</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(162,500)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(81,250)</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Repurchases of common shares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(149,638)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(398,113)</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Proceeds from employee stock purchase plan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19,143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18,222</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Taxes paid related to net share settlement of equity awards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(52,549)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(60,034)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(43,686)</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financing activities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(408)</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(365)</w:t>
            </w:r>
          </w:p>
        </w:tc>
      </w:tr>
      <w:tr>
        <w:trPr>
          <w:trHeight w:val="27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cash provided by (used in) financing activities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141,578</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(325,821)</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8,981</w:t>
            </w:r>
          </w:p>
        </w:tc>
      </w:tr>
      <w:tr>
        <w:trPr>
          <w:trHeight w:val="234"/>
        </w:trPr>
        <w:tc>
          <w:tcPr>
            <w:tcW w:w="564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Net change in cash, cash equivalents and funds held for clients' cash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and cash equivalents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424,357</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(363,143)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387,440</w:t>
            </w: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-54610</wp:posOffset>
            </wp:positionV>
            <wp:extent cx="2534920" cy="73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249" w:lineRule="exact"/>
        <w:rPr>
          <w:sz w:val="20"/>
          <w:szCs w:val="20"/>
          <w:color w:val="auto"/>
        </w:rPr>
      </w:pPr>
    </w:p>
    <w:p>
      <w:pPr>
        <w:ind w:right="400" w:firstLine="698"/>
        <w:spacing w:after="0" w:line="293" w:lineRule="auto"/>
        <w:rPr>
          <w:sz w:val="20"/>
          <w:szCs w:val="20"/>
          <w:color w:val="auto"/>
        </w:rPr>
      </w:pPr>
      <w:r>
        <w:rPr>
          <w:rFonts w:ascii="Times New Roman" w:cs="Times New Roman" w:eastAsia="Times New Roman" w:hAnsi="Times New Roman"/>
          <w:sz w:val="19"/>
          <w:szCs w:val="19"/>
          <w:color w:val="auto"/>
        </w:rPr>
        <w:t>Net cash provided by operating activities was $384.7 million, $418.2 million and $533.3 million for the years ended June 30, 2024, 2025 and 2026, respectively.</w:t>
      </w:r>
    </w:p>
    <w:p>
      <w:pPr>
        <w:spacing w:after="0" w:line="165" w:lineRule="exact"/>
        <w:rPr>
          <w:sz w:val="20"/>
          <w:szCs w:val="20"/>
          <w:color w:val="auto"/>
        </w:rPr>
      </w:pPr>
    </w:p>
    <w:p>
      <w:pPr>
        <w:ind w:right="280" w:firstLine="698"/>
        <w:spacing w:after="0" w:line="265" w:lineRule="auto"/>
        <w:rPr>
          <w:sz w:val="20"/>
          <w:szCs w:val="20"/>
          <w:color w:val="auto"/>
        </w:rPr>
      </w:pPr>
      <w:r>
        <w:rPr>
          <w:rFonts w:ascii="Times New Roman" w:cs="Times New Roman" w:eastAsia="Times New Roman" w:hAnsi="Times New Roman"/>
          <w:sz w:val="19"/>
          <w:szCs w:val="19"/>
          <w:color w:val="auto"/>
        </w:rPr>
        <w:t>The change in net cash provided by operating activities from fiscal 2025 to fiscal 2026 was primarily due to improved operating results after adjusting for non-cash items including stock-based compensation expense, depreciation and amortization expense and deferred income tax expense (benefit) and lower income tax payments resulting from the provisions of the One Big Beautiful Bill Act, partially offset by changes in operating assets and liabilities over the same period.</w:t>
      </w:r>
    </w:p>
    <w:p>
      <w:pPr>
        <w:spacing w:after="0" w:line="200" w:lineRule="exact"/>
        <w:rPr>
          <w:sz w:val="20"/>
          <w:szCs w:val="20"/>
          <w:color w:val="auto"/>
        </w:rPr>
      </w:pP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Investing Activities</w:t>
      </w:r>
    </w:p>
    <w:p>
      <w:pPr>
        <w:spacing w:after="0" w:line="249" w:lineRule="exact"/>
        <w:rPr>
          <w:sz w:val="20"/>
          <w:szCs w:val="20"/>
          <w:color w:val="auto"/>
        </w:rPr>
      </w:pPr>
    </w:p>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Net cash used in investing activities was $101.9 million, $455.5 million and $154.8 million, for the years ended June 30, 2024, 2025 and 2026, respectively. Net cash used in investing activities is significantly impacted by the timing of purchases and sales and maturities of investments as we may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93" w:lineRule="exact"/>
        <w:rPr>
          <w:sz w:val="20"/>
          <w:szCs w:val="20"/>
          <w:color w:val="auto"/>
        </w:rPr>
      </w:pPr>
    </w:p>
    <w:p>
      <w:pPr>
        <w:ind w:right="220" w:firstLine="698"/>
        <w:spacing w:after="0" w:line="274" w:lineRule="auto"/>
        <w:rPr>
          <w:sz w:val="20"/>
          <w:szCs w:val="20"/>
          <w:color w:val="auto"/>
        </w:rPr>
      </w:pPr>
      <w:r>
        <w:rPr>
          <w:rFonts w:ascii="Times New Roman" w:cs="Times New Roman" w:eastAsia="Times New Roman" w:hAnsi="Times New Roman"/>
          <w:sz w:val="19"/>
          <w:szCs w:val="19"/>
          <w:color w:val="auto"/>
        </w:rPr>
        <w:t>The change in net cash used in investing activities from fiscal 2025 to fiscal 2026 was primarily due to a $228.7 million reduction in amounts paid for acquisitions, net of cash acquired, associated with the fiscal 2025 acquisition of Airbase. It was also attributable to a $112.0 million increase in proceeds from sales and maturities of available-for-sale</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600"/>
          </w:cols>
          <w:pgMar w:left="1140" w:top="865" w:right="1140" w:bottom="0" w:gutter="0" w:footer="0" w:header="0"/>
          <w:type w:val="continuous"/>
        </w:sectPr>
      </w:pPr>
    </w:p>
    <w:bookmarkStart w:id="53" w:name="page54"/>
    <w:bookmarkEnd w:id="53"/>
    <w:p>
      <w:pPr>
        <w:ind w:right="140"/>
        <w:spacing w:after="0" w:line="293" w:lineRule="auto"/>
        <w:rPr>
          <w:sz w:val="20"/>
          <w:szCs w:val="20"/>
          <w:color w:val="auto"/>
        </w:rPr>
      </w:pPr>
      <w:r>
        <w:rPr>
          <w:rFonts w:ascii="Times New Roman" w:cs="Times New Roman" w:eastAsia="Times New Roman" w:hAnsi="Times New Roman"/>
          <w:sz w:val="19"/>
          <w:szCs w:val="19"/>
          <w:color w:val="auto"/>
        </w:rPr>
        <w:t>securities, partially offset by a $23.1 increase in purchases of property and equipment as compared to the year ended June 30, 2025.</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Financing Activities</w:t>
      </w:r>
    </w:p>
    <w:p>
      <w:pPr>
        <w:spacing w:after="0" w:line="249" w:lineRule="exact"/>
        <w:rPr>
          <w:sz w:val="20"/>
          <w:szCs w:val="20"/>
          <w:color w:val="auto"/>
        </w:rPr>
      </w:pPr>
    </w:p>
    <w:p>
      <w:pPr>
        <w:ind w:right="140" w:firstLine="698"/>
        <w:spacing w:after="0" w:line="261" w:lineRule="auto"/>
        <w:rPr>
          <w:sz w:val="20"/>
          <w:szCs w:val="20"/>
          <w:color w:val="auto"/>
        </w:rPr>
      </w:pPr>
      <w:r>
        <w:rPr>
          <w:rFonts w:ascii="Times New Roman" w:cs="Times New Roman" w:eastAsia="Times New Roman" w:hAnsi="Times New Roman"/>
          <w:sz w:val="19"/>
          <w:szCs w:val="19"/>
          <w:color w:val="auto"/>
        </w:rPr>
        <w:t>Net cash provided by (used in) financing activities was $141.6 million, $(325.8) million and $9.0 million for the years ended June 30, 2024, 2025 and 2026, respectively. The change in net cash provided by (used in) financing activities from fiscal 2025 to fiscal 2026 was primarily due to the net change in client fund obligations of $812.1 million due to the timing of client funds collected and related remittance of those funds to client employees, taxing and other regulatory authorities and vendors and an $81.3 million increase in credit facility repayments during the year ended June 30, 2025 as compared to the current year. This was partially offset by $325.0 million in borrowings under our credit facility related to the acquisition of Airbase Inc. during the year ended June 30, 2025 and $248.5 in additional share repurchases during the year ended June 30,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Expenditures</w:t>
      </w:r>
    </w:p>
    <w:p>
      <w:pPr>
        <w:spacing w:after="0" w:line="254" w:lineRule="exact"/>
        <w:rPr>
          <w:sz w:val="20"/>
          <w:szCs w:val="20"/>
          <w:color w:val="auto"/>
        </w:rPr>
      </w:pPr>
    </w:p>
    <w:p>
      <w:pPr>
        <w:ind w:firstLine="698"/>
        <w:spacing w:after="0" w:line="263" w:lineRule="auto"/>
        <w:rPr>
          <w:sz w:val="20"/>
          <w:szCs w:val="20"/>
          <w:color w:val="auto"/>
        </w:rPr>
      </w:pPr>
      <w:r>
        <w:rPr>
          <w:rFonts w:ascii="Times New Roman" w:cs="Times New Roman" w:eastAsia="Times New Roman" w:hAnsi="Times New Roman"/>
          <w:sz w:val="19"/>
          <w:szCs w:val="19"/>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$18.0 million, $13.1 million and $36.2 million for the years ended June 30, 2024, 2025 and 2026, respectively, exclusive of capitalized internal-use software costs of $60.7 million, $62.4 million, and $69.3 million for the same periods,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w:t>
      </w:r>
    </w:p>
    <w:p>
      <w:pPr>
        <w:spacing w:after="0" w:line="301" w:lineRule="exact"/>
        <w:rPr>
          <w:sz w:val="20"/>
          <w:szCs w:val="20"/>
          <w:color w:val="auto"/>
        </w:rPr>
      </w:pPr>
    </w:p>
    <w:p>
      <w:pPr>
        <w:ind w:right="40" w:firstLine="698"/>
        <w:spacing w:after="0" w:line="263" w:lineRule="auto"/>
        <w:rPr>
          <w:sz w:val="20"/>
          <w:szCs w:val="20"/>
          <w:color w:val="auto"/>
        </w:rPr>
      </w:pPr>
      <w:r>
        <w:rPr>
          <w:rFonts w:ascii="Times New Roman" w:cs="Times New Roman" w:eastAsia="Times New Roman" w:hAnsi="Times New Roman"/>
          <w:sz w:val="19"/>
          <w:szCs w:val="19"/>
          <w:color w:val="auto"/>
        </w:rPr>
        <w:t>At June 30, 2026, our principal commitments consist of $81.3 million in borrowings under our revolving credit facility, which is contractually not due in the next twelve months, and related interest payments, as well as $59.6 million in operating lease obligations, of which $11.7 million is due in the next twelve months. Refer to Note 13 of the Notes to the Consolidated Financial Statements included in Part II, Item 8: “Financial Statements and Supplementary Data” for additional details on our lease activity. We also have $140.6 million in purchase obligations, of which $85.8 million is due in the next twelve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Accounting Pronouncements</w:t>
      </w:r>
    </w:p>
    <w:p>
      <w:pPr>
        <w:spacing w:after="0" w:line="254" w:lineRule="exact"/>
        <w:rPr>
          <w:sz w:val="20"/>
          <w:szCs w:val="20"/>
          <w:color w:val="auto"/>
        </w:rPr>
      </w:pPr>
    </w:p>
    <w:p>
      <w:pPr>
        <w:ind w:right="500" w:firstLine="698"/>
        <w:spacing w:after="0" w:line="293" w:lineRule="auto"/>
        <w:rPr>
          <w:sz w:val="20"/>
          <w:szCs w:val="20"/>
          <w:color w:val="auto"/>
        </w:rPr>
      </w:pPr>
      <w:r>
        <w:rPr>
          <w:rFonts w:ascii="Times New Roman" w:cs="Times New Roman" w:eastAsia="Times New Roman" w:hAnsi="Times New Roman"/>
          <w:sz w:val="19"/>
          <w:szCs w:val="19"/>
          <w:color w:val="auto"/>
        </w:rPr>
        <w:t>Refer to Note 2 of the Notes to the Consolidated Financial Statements included in Part II, Item 8: “Financial Statements and Supplementary Data” for a discussion of recently issued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54"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Rate Risk</w:t>
      </w:r>
    </w:p>
    <w:p>
      <w:pPr>
        <w:spacing w:after="0" w:line="254"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As of June 30, 2026, we had cash and cash equivalents of $271.9 million and funds held for clients of $3,210.5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money market funds, commercial paper, corporate bonds, asset-backed debt securities, U.S. treasury securities, and other securities.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3" w:lineRule="exact"/>
        <w:rPr>
          <w:sz w:val="20"/>
          <w:szCs w:val="20"/>
          <w:color w:val="auto"/>
        </w:rPr>
      </w:pPr>
    </w:p>
    <w:p>
      <w:pPr>
        <w:ind w:right="120" w:firstLine="698"/>
        <w:spacing w:after="0" w:line="268" w:lineRule="auto"/>
        <w:rPr>
          <w:sz w:val="20"/>
          <w:szCs w:val="20"/>
          <w:color w:val="auto"/>
        </w:rPr>
      </w:pPr>
      <w:r>
        <w:rPr>
          <w:rFonts w:ascii="Times New Roman" w:cs="Times New Roman" w:eastAsia="Times New Roman" w:hAnsi="Times New Roman"/>
          <w:sz w:val="19"/>
          <w:szCs w:val="19"/>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w: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580"/>
          </w:cols>
          <w:pgMar w:left="1140" w:top="872" w:right="1160" w:bottom="0" w:gutter="0" w:footer="0" w:header="0"/>
          <w:type w:val="continuous"/>
        </w:sectPr>
      </w:pPr>
    </w:p>
    <w:bookmarkStart w:id="54" w:name="page55"/>
    <w:bookmarkEnd w:id="54"/>
    <w:p>
      <w:pPr>
        <w:ind w:right="60"/>
        <w:spacing w:after="0" w:line="274" w:lineRule="auto"/>
        <w:rPr>
          <w:sz w:val="20"/>
          <w:szCs w:val="20"/>
          <w:color w:val="auto"/>
        </w:rPr>
      </w:pPr>
      <w:r>
        <w:rPr>
          <w:rFonts w:ascii="Times New Roman" w:cs="Times New Roman" w:eastAsia="Times New Roman" w:hAnsi="Times New Roman"/>
          <w:sz w:val="19"/>
          <w:szCs w:val="19"/>
          <w:color w:val="auto"/>
        </w:rPr>
        <w:t>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83" w:lineRule="exact"/>
        <w:rPr>
          <w:sz w:val="20"/>
          <w:szCs w:val="20"/>
          <w:color w:val="auto"/>
        </w:rPr>
      </w:pPr>
    </w:p>
    <w:p>
      <w:pPr>
        <w:ind w:right="20" w:firstLine="747"/>
        <w:spacing w:after="0" w:line="263" w:lineRule="auto"/>
        <w:rPr>
          <w:sz w:val="20"/>
          <w:szCs w:val="20"/>
          <w:color w:val="auto"/>
        </w:rPr>
      </w:pPr>
      <w:r>
        <w:rPr>
          <w:rFonts w:ascii="Times New Roman" w:cs="Times New Roman" w:eastAsia="Times New Roman" w:hAnsi="Times New Roman"/>
          <w:sz w:val="19"/>
          <w:szCs w:val="19"/>
          <w:color w:val="auto"/>
        </w:rPr>
        <w:t>Based upon a sensitivity model that measures market value changes caused by interest rate fluctuations, an immediate 100-basis point increase in interest rates would have resulted in a decrease in the market value of our available-for-sale securities by $16.0 million as of June 30, 2026. An immediate 100-basis point decrease in interest rates would have resulted in an increase in the market value of our available-for-sale securities by $16.5 million as of June 30, 2026. Fluctuations in the value of our available-for-sale securities caused by changes in interest rates are recorded in other comprehensive income and are only realized if we sell the underlying securities.</w:t>
      </w:r>
    </w:p>
    <w:p>
      <w:pPr>
        <w:spacing w:after="0" w:line="193" w:lineRule="exact"/>
        <w:rPr>
          <w:sz w:val="20"/>
          <w:szCs w:val="20"/>
          <w:color w:val="auto"/>
        </w:rPr>
      </w:pPr>
    </w:p>
    <w:p>
      <w:pPr>
        <w:ind w:firstLine="698"/>
        <w:spacing w:after="0" w:line="260" w:lineRule="auto"/>
        <w:rPr>
          <w:sz w:val="20"/>
          <w:szCs w:val="20"/>
          <w:color w:val="auto"/>
        </w:rPr>
      </w:pPr>
      <w:r>
        <w:rPr>
          <w:rFonts w:ascii="Times New Roman" w:cs="Times New Roman" w:eastAsia="Times New Roman" w:hAnsi="Times New Roman"/>
          <w:sz w:val="19"/>
          <w:szCs w:val="19"/>
          <w:color w:val="212529"/>
        </w:rPr>
        <w:t xml:space="preserve">Additionally, as described in </w:t>
      </w:r>
      <w:r>
        <w:rPr>
          <w:rFonts w:ascii="Times New Roman" w:cs="Times New Roman" w:eastAsia="Times New Roman" w:hAnsi="Times New Roman"/>
          <w:sz w:val="19"/>
          <w:szCs w:val="19"/>
          <w:color w:val="000000"/>
        </w:rPr>
        <w:t>Note 12 of the Notes to the Consolidated Financial Statements included in Part II,</w:t>
      </w:r>
      <w:r>
        <w:rPr>
          <w:rFonts w:ascii="Times New Roman" w:cs="Times New Roman" w:eastAsia="Times New Roman" w:hAnsi="Times New Roman"/>
          <w:sz w:val="19"/>
          <w:szCs w:val="19"/>
          <w:color w:val="212529"/>
        </w:rPr>
        <w:t xml:space="preserve"> </w:t>
      </w:r>
      <w:r>
        <w:rPr>
          <w:rFonts w:ascii="Times New Roman" w:cs="Times New Roman" w:eastAsia="Times New Roman" w:hAnsi="Times New Roman"/>
          <w:sz w:val="19"/>
          <w:szCs w:val="19"/>
          <w:color w:val="000000"/>
        </w:rPr>
        <w:t>Item 8: “Financial Statements and Supplementary Data”</w:t>
      </w:r>
      <w:r>
        <w:rPr>
          <w:rFonts w:ascii="Times New Roman" w:cs="Times New Roman" w:eastAsia="Times New Roman" w:hAnsi="Times New Roman"/>
          <w:sz w:val="19"/>
          <w:szCs w:val="19"/>
          <w:color w:val="212529"/>
        </w:rPr>
        <w:t>, we entered into a first amendment to our credit agreement that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12529"/>
        </w:rPr>
        <w:t xml:space="preserve">provides for a revolving credit facility (“credit facility”) in the aggregate amount of </w:t>
      </w:r>
      <w:r>
        <w:rPr>
          <w:rFonts w:ascii="Times New Roman" w:cs="Times New Roman" w:eastAsia="Times New Roman" w:hAnsi="Times New Roman"/>
          <w:sz w:val="19"/>
          <w:szCs w:val="19"/>
          <w:color w:val="000000"/>
        </w:rPr>
        <w:t>$550.0</w:t>
      </w:r>
      <w:r>
        <w:rPr>
          <w:rFonts w:ascii="Times New Roman" w:cs="Times New Roman" w:eastAsia="Times New Roman" w:hAnsi="Times New Roman"/>
          <w:sz w:val="19"/>
          <w:szCs w:val="19"/>
          <w:color w:val="212529"/>
        </w:rPr>
        <w:t xml:space="preserve"> million, which may be increased up to </w:t>
      </w:r>
      <w:r>
        <w:rPr>
          <w:rFonts w:ascii="Times New Roman" w:cs="Times New Roman" w:eastAsia="Times New Roman" w:hAnsi="Times New Roman"/>
          <w:sz w:val="19"/>
          <w:szCs w:val="19"/>
          <w:color w:val="000000"/>
        </w:rPr>
        <w:t>$825.0</w:t>
      </w:r>
      <w:r>
        <w:rPr>
          <w:rFonts w:ascii="Times New Roman" w:cs="Times New Roman" w:eastAsia="Times New Roman" w:hAnsi="Times New Roman"/>
          <w:sz w:val="19"/>
          <w:szCs w:val="19"/>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9"/>
          <w:szCs w:val="19"/>
          <w:color w:val="000000"/>
        </w:rPr>
        <w:t>June 30, 2026</w:t>
      </w:r>
      <w:r>
        <w:rPr>
          <w:rFonts w:ascii="Times New Roman" w:cs="Times New Roman" w:eastAsia="Times New Roman" w:hAnsi="Times New Roman"/>
          <w:sz w:val="19"/>
          <w:szCs w:val="19"/>
          <w:color w:val="212529"/>
        </w:rPr>
        <w:t xml:space="preserve">, we had </w:t>
      </w:r>
      <w:r>
        <w:rPr>
          <w:rFonts w:ascii="Times New Roman" w:cs="Times New Roman" w:eastAsia="Times New Roman" w:hAnsi="Times New Roman"/>
          <w:sz w:val="19"/>
          <w:szCs w:val="19"/>
          <w:color w:val="000000"/>
        </w:rPr>
        <w:t>$81.3</w:t>
      </w:r>
      <w:r>
        <w:rPr>
          <w:rFonts w:ascii="Times New Roman" w:cs="Times New Roman" w:eastAsia="Times New Roman" w:hAnsi="Times New Roman"/>
          <w:sz w:val="19"/>
          <w:szCs w:val="19"/>
          <w:color w:val="212529"/>
        </w:rPr>
        <w:t xml:space="preserve"> million in borrowings outstanding under our credit facility. Because interest rates applicable to the credit facility are variable, we are exposed to market risk from changes in the underlying index rates, which affects our interest expense. A hypothetical change of 100 basis points in interest rates would not have had a significant impact on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Inflation Risk</w:t>
      </w:r>
    </w:p>
    <w:p>
      <w:pPr>
        <w:spacing w:after="0" w:line="254" w:lineRule="exact"/>
        <w:rPr>
          <w:sz w:val="20"/>
          <w:szCs w:val="20"/>
          <w:color w:val="auto"/>
        </w:rPr>
      </w:pPr>
    </w:p>
    <w:p>
      <w:pPr>
        <w:ind w:right="280" w:firstLine="698"/>
        <w:spacing w:after="0" w:line="268" w:lineRule="auto"/>
        <w:rPr>
          <w:sz w:val="20"/>
          <w:szCs w:val="20"/>
          <w:color w:val="auto"/>
        </w:rPr>
      </w:pPr>
      <w:r>
        <w:rPr>
          <w:rFonts w:ascii="Times New Roman" w:cs="Times New Roman" w:eastAsia="Times New Roman" w:hAnsi="Times New Roman"/>
          <w:sz w:val="19"/>
          <w:szCs w:val="19"/>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54" w:lineRule="exact"/>
        <w:rPr>
          <w:sz w:val="20"/>
          <w:szCs w:val="20"/>
          <w:color w:val="auto"/>
        </w:rPr>
      </w:pPr>
    </w:p>
    <w:p>
      <w:pPr>
        <w:ind w:right="340" w:firstLine="698"/>
        <w:spacing w:after="0" w:line="293"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consolidated financial statements and accompanying notes set forth starting on page F-1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Disclosure Controls and Procedures</w:t>
      </w:r>
    </w:p>
    <w:p>
      <w:pPr>
        <w:spacing w:after="0" w:line="254" w:lineRule="exact"/>
        <w:rPr>
          <w:sz w:val="20"/>
          <w:szCs w:val="20"/>
          <w:color w:val="auto"/>
        </w:rPr>
      </w:pPr>
    </w:p>
    <w:p>
      <w:pPr>
        <w:ind w:right="20" w:firstLine="698"/>
        <w:spacing w:after="0" w:line="262" w:lineRule="auto"/>
        <w:rPr>
          <w:sz w:val="20"/>
          <w:szCs w:val="20"/>
          <w:color w:val="auto"/>
        </w:rPr>
      </w:pPr>
      <w:r>
        <w:rPr>
          <w:rFonts w:ascii="Times New Roman" w:cs="Times New Roman" w:eastAsia="Times New Roman" w:hAnsi="Times New Roman"/>
          <w:sz w:val="19"/>
          <w:szCs w:val="19"/>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60" w:firstLine="698"/>
        <w:spacing w:after="0" w:line="268" w:lineRule="auto"/>
        <w:rPr>
          <w:sz w:val="20"/>
          <w:szCs w:val="20"/>
          <w:color w:val="auto"/>
        </w:rPr>
      </w:pPr>
      <w:r>
        <w:rPr>
          <w:rFonts w:ascii="Times New Roman" w:cs="Times New Roman" w:eastAsia="Times New Roman" w:hAnsi="Times New Roman"/>
          <w:sz w:val="19"/>
          <w:szCs w:val="19"/>
          <w:color w:val="auto"/>
        </w:rPr>
        <w:t>Our management, with the participation of our Chief Executive Officer and Chief Financial Officer, has evaluated the effectiveness of our disclosure controls and procedures as of June 30, 2026, the end of the period covered by this Annual Report on Form 10-K. Based upon such evaluation, our Chief Executive Officer and Chief Financial Officer have concluded that our disclosure controls and procedures were effective as of such date.</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600"/>
          </w:cols>
          <w:pgMar w:left="1140" w:top="872" w:right="1140" w:bottom="0" w:gutter="0" w:footer="0" w:header="0"/>
          <w:type w:val="continuous"/>
        </w:sectPr>
      </w:pPr>
    </w:p>
    <w:bookmarkStart w:id="55" w:name="page56"/>
    <w:bookmarkEnd w:id="55"/>
    <w:p>
      <w:pPr>
        <w:ind w:right="2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Management’s Report on Internal Control Over Financial Reporting and Attestation Report of the Registered Public Accounting Firm</w:t>
      </w:r>
    </w:p>
    <w:p>
      <w:pPr>
        <w:spacing w:after="0" w:line="10" w:lineRule="exact"/>
        <w:rPr>
          <w:sz w:val="20"/>
          <w:szCs w:val="20"/>
          <w:color w:val="auto"/>
        </w:rPr>
      </w:pPr>
    </w:p>
    <w:p>
      <w:pPr>
        <w:ind w:right="20" w:firstLine="698"/>
        <w:spacing w:after="0" w:line="259" w:lineRule="auto"/>
        <w:rPr>
          <w:sz w:val="20"/>
          <w:szCs w:val="20"/>
          <w:color w:val="auto"/>
        </w:rPr>
      </w:pPr>
      <w:r>
        <w:rPr>
          <w:rFonts w:ascii="Times New Roman" w:cs="Times New Roman" w:eastAsia="Times New Roman" w:hAnsi="Times New Roman"/>
          <w:sz w:val="19"/>
          <w:szCs w:val="19"/>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81" w:lineRule="exact"/>
        <w:rPr>
          <w:sz w:val="20"/>
          <w:szCs w:val="20"/>
          <w:color w:val="auto"/>
        </w:rPr>
      </w:pPr>
    </w:p>
    <w:p>
      <w:pPr>
        <w:ind w:right="80" w:firstLine="698"/>
        <w:spacing w:after="0" w:line="263" w:lineRule="auto"/>
        <w:rPr>
          <w:sz w:val="20"/>
          <w:szCs w:val="20"/>
          <w:color w:val="auto"/>
        </w:rPr>
      </w:pPr>
      <w:r>
        <w:rPr>
          <w:rFonts w:ascii="Times New Roman" w:cs="Times New Roman" w:eastAsia="Times New Roman" w:hAnsi="Times New Roman"/>
          <w:sz w:val="19"/>
          <w:szCs w:val="19"/>
          <w:color w:val="auto"/>
        </w:rPr>
        <w:t>Under the supervision and with the participation of our management, including our Chief Executive Officer and Chief Financial Officer, we conducted an evaluation of the effectiveness of our internal control over financial reporting as of June 30, 2026, based on the framework in Internal Control—Integrated Framework issued by the Committee of Sponsoring Organizations of the Treadway Commission (COSO) (2013 framework). Based on this evaluation under the Internal Control—Integrated Framework, our Chief Executive Officer and Chief Financial Officer have concluded that our internal control over financial reporting was effective as of June 30, 2026.</w:t>
      </w:r>
    </w:p>
    <w:p>
      <w:pPr>
        <w:spacing w:after="0" w:line="38" w:lineRule="exact"/>
        <w:rPr>
          <w:sz w:val="20"/>
          <w:szCs w:val="20"/>
          <w:color w:val="auto"/>
        </w:rPr>
      </w:pPr>
    </w:p>
    <w:p>
      <w:pPr>
        <w:ind w:right="260" w:firstLine="698"/>
        <w:spacing w:after="0" w:line="274" w:lineRule="auto"/>
        <w:rPr>
          <w:sz w:val="20"/>
          <w:szCs w:val="20"/>
          <w:color w:val="auto"/>
        </w:rPr>
      </w:pPr>
      <w:r>
        <w:rPr>
          <w:rFonts w:ascii="Times New Roman" w:cs="Times New Roman" w:eastAsia="Times New Roman" w:hAnsi="Times New Roman"/>
          <w:sz w:val="19"/>
          <w:szCs w:val="19"/>
          <w:color w:val="auto"/>
        </w:rPr>
        <w:t>Our independent registered public accounting firm, which has audited our financial statements, has also audited the effectiveness of our internal control over financial reporting as of June 30, 2026, as stated in their report, which is included in Item 15(a)(1) of this Annual Report on Form 10-K.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Internal Control Over Financial Reporting</w:t>
      </w:r>
    </w:p>
    <w:p>
      <w:pPr>
        <w:spacing w:after="0" w:line="99" w:lineRule="exact"/>
        <w:rPr>
          <w:sz w:val="20"/>
          <w:szCs w:val="20"/>
          <w:color w:val="auto"/>
        </w:rPr>
      </w:pPr>
    </w:p>
    <w:p>
      <w:pPr>
        <w:ind w:right="380" w:firstLine="698"/>
        <w:spacing w:after="0" w:line="274" w:lineRule="auto"/>
        <w:rPr>
          <w:sz w:val="20"/>
          <w:szCs w:val="20"/>
          <w:color w:val="auto"/>
        </w:rPr>
      </w:pPr>
      <w:r>
        <w:rPr>
          <w:rFonts w:ascii="Times New Roman" w:cs="Times New Roman" w:eastAsia="Times New Roman" w:hAnsi="Times New Roman"/>
          <w:sz w:val="19"/>
          <w:szCs w:val="19"/>
          <w:color w:val="auto"/>
        </w:rPr>
        <w:t>There were no changes in our internal control over financial reporting during the fiscal quarter ended June 30, 2026, that have materially affected, or are reasonably likely to materially affect, our internal control over financial reporting.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Limitations on Controls</w:t>
      </w:r>
    </w:p>
    <w:p>
      <w:pPr>
        <w:spacing w:after="0" w:line="99" w:lineRule="exact"/>
        <w:rPr>
          <w:sz w:val="20"/>
          <w:szCs w:val="20"/>
          <w:color w:val="auto"/>
        </w:rPr>
      </w:pPr>
    </w:p>
    <w:p>
      <w:pPr>
        <w:ind w:right="80" w:firstLine="698"/>
        <w:spacing w:after="0" w:line="262" w:lineRule="auto"/>
        <w:rPr>
          <w:sz w:val="20"/>
          <w:szCs w:val="20"/>
          <w:color w:val="auto"/>
        </w:rPr>
      </w:pPr>
      <w:r>
        <w:rPr>
          <w:rFonts w:ascii="Times New Roman" w:cs="Times New Roman" w:eastAsia="Times New Roman" w:hAnsi="Times New Roman"/>
          <w:sz w:val="19"/>
          <w:szCs w:val="19"/>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38" w:lineRule="exact"/>
        <w:rPr>
          <w:sz w:val="20"/>
          <w:szCs w:val="20"/>
          <w:color w:val="auto"/>
        </w:rPr>
      </w:pPr>
    </w:p>
    <w:p>
      <w:pPr>
        <w:ind w:right="200" w:firstLine="698"/>
        <w:spacing w:after="0" w:line="274" w:lineRule="auto"/>
        <w:rPr>
          <w:sz w:val="20"/>
          <w:szCs w:val="20"/>
          <w:color w:val="auto"/>
        </w:rPr>
      </w:pPr>
      <w:r>
        <w:rPr>
          <w:rFonts w:ascii="Times New Roman" w:cs="Times New Roman" w:eastAsia="Times New Roman" w:hAnsi="Times New Roman"/>
          <w:sz w:val="19"/>
          <w:szCs w:val="19"/>
          <w:color w:val="auto"/>
        </w:rPr>
        <w:t>During the three months ended June 30, 2026, the following executive and director (as defined in Rule 16a-1(f)) modified a “Rule 10b5-1 trading arrangement,” as defined in Item 408(a) of Regulation S-K intending to satisfy the affirmative defense conditions of Rule 10b5-1(c):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Total Shares of</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3"/>
        </w:trPr>
        <w:tc>
          <w:tcPr>
            <w:tcW w:w="2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Common Stock</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0"/>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Name and Title</w:t>
            </w:r>
          </w:p>
        </w:tc>
        <w:tc>
          <w:tcPr>
            <w:tcW w:w="6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60" w:type="dxa"/>
            <w:vAlign w:val="bottom"/>
          </w:tcPr>
          <w:p>
            <w:pPr>
              <w:spacing w:after="0"/>
              <w:rPr>
                <w:sz w:val="22"/>
                <w:szCs w:val="22"/>
                <w:color w:val="auto"/>
              </w:rPr>
            </w:pPr>
          </w:p>
        </w:tc>
        <w:tc>
          <w:tcPr>
            <w:tcW w:w="2020" w:type="dxa"/>
            <w:vAlign w:val="bottom"/>
            <w:tcBorders>
              <w:bottom w:val="single" w:sz="8" w:color="auto"/>
            </w:tcBorders>
          </w:tcPr>
          <w:p>
            <w:pPr>
              <w:jc w:val="right"/>
              <w:spacing w:after="0" w:line="259" w:lineRule="exact"/>
              <w:rPr>
                <w:sz w:val="20"/>
                <w:szCs w:val="20"/>
                <w:color w:val="auto"/>
              </w:rPr>
            </w:pPr>
            <w:r>
              <w:rPr>
                <w:rFonts w:ascii="Times New Roman" w:cs="Times New Roman" w:eastAsia="Times New Roman" w:hAnsi="Times New Roman"/>
                <w:sz w:val="19"/>
                <w:szCs w:val="19"/>
                <w:b w:val="1"/>
                <w:bCs w:val="1"/>
                <w:color w:val="auto"/>
              </w:rPr>
              <w:t>Duration</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Action Date</w:t>
            </w:r>
          </w:p>
        </w:tc>
        <w:tc>
          <w:tcPr>
            <w:tcW w:w="60" w:type="dxa"/>
            <w:vAlign w:val="bottom"/>
          </w:tcPr>
          <w:p>
            <w:pPr>
              <w:spacing w:after="0"/>
              <w:rPr>
                <w:sz w:val="22"/>
                <w:szCs w:val="22"/>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Expiration Date</w:t>
            </w:r>
          </w:p>
        </w:tc>
      </w:tr>
      <w:tr>
        <w:trPr>
          <w:trHeight w:val="248"/>
        </w:trPr>
        <w:tc>
          <w:tcPr>
            <w:tcW w:w="2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Steven R. Beauchamp</w:t>
            </w: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August 14, 2026 -</w:t>
            </w: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41"/>
        </w:trPr>
        <w:tc>
          <w:tcPr>
            <w:tcW w:w="2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Executive Chairman and Director</w:t>
            </w:r>
            <w:r>
              <w:rPr>
                <w:rFonts w:ascii="Times New Roman" w:cs="Times New Roman" w:eastAsia="Times New Roman" w:hAnsi="Times New Roman"/>
                <w:sz w:val="19"/>
                <w:szCs w:val="19"/>
                <w:color w:val="B4B4B4"/>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160,000</w:t>
            </w:r>
            <w:r>
              <w:rPr>
                <w:rFonts w:ascii="Times New Roman" w:cs="Times New Roman" w:eastAsia="Times New Roman" w:hAnsi="Times New Roman"/>
                <w:sz w:val="25"/>
                <w:szCs w:val="25"/>
                <w:color w:val="auto"/>
                <w:vertAlign w:val="superscript"/>
              </w:rPr>
              <w:t>(2)(3)</w:t>
            </w:r>
          </w:p>
        </w:tc>
        <w:tc>
          <w:tcPr>
            <w:tcW w:w="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January 31, 2027</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May 15, 2026</w:t>
            </w:r>
          </w:p>
        </w:tc>
        <w:tc>
          <w:tcPr>
            <w:tcW w:w="6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January 31, 2027</w:t>
            </w:r>
          </w:p>
        </w:tc>
      </w:tr>
    </w:tbl>
    <w:p>
      <w:pPr>
        <w:spacing w:after="0" w:line="20" w:lineRule="exact"/>
        <w:rPr>
          <w:sz w:val="20"/>
          <w:szCs w:val="20"/>
          <w:color w:val="auto"/>
        </w:rPr>
      </w:pPr>
    </w:p>
    <w:p>
      <w:pPr>
        <w:sectPr>
          <w:pgSz w:w="11880" w:h="15480" w:orient="portrait"/>
          <w:cols w:equalWidth="0" w:num="1">
            <w:col w:w="9600"/>
          </w:cols>
          <w:pgMar w:left="1140" w:top="865" w:right="1140" w:bottom="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400"/>
        <w:spacing w:after="0" w:line="259" w:lineRule="auto"/>
        <w:rPr>
          <w:sz w:val="20"/>
          <w:szCs w:val="20"/>
          <w:color w:val="auto"/>
        </w:rPr>
      </w:pPr>
      <w:r>
        <w:rPr>
          <w:rFonts w:ascii="Times New Roman" w:cs="Times New Roman" w:eastAsia="Times New Roman" w:hAnsi="Times New Roman"/>
          <w:sz w:val="19"/>
          <w:szCs w:val="19"/>
          <w:color w:val="auto"/>
        </w:rPr>
        <w:t>The Rule 10b5-1trading arrangement permits transactions through and including the earlier to occur of (a) the completion of all sales or (b) the expiration date listed in the table.</w:t>
      </w:r>
    </w:p>
    <w:p>
      <w:pPr>
        <w:spacing w:after="0" w:line="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Includes 100,000 shares held directly by Mr. Beauchamp and 60,000 shares to be sold by the IRIE Family Trust for the benefit of Mr. Beauchamp’s children and for which Mr. Beauchamp's spouse serves as the trustee.</w:t>
      </w:r>
    </w:p>
    <w:p>
      <w:pPr>
        <w:spacing w:after="0" w:line="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 number of shares that will be sold is determined, in part, based on pricing triggers outlined in the Rule 10b5-1 trading arrangement.</w:t>
      </w:r>
    </w:p>
    <w:p>
      <w:pPr>
        <w:spacing w:after="0" w:line="2" w:lineRule="exact"/>
        <w:rPr>
          <w:sz w:val="20"/>
          <w:szCs w:val="20"/>
          <w:color w:val="auto"/>
        </w:rPr>
      </w:pPr>
    </w:p>
    <w:p>
      <w:pPr>
        <w:sectPr>
          <w:pgSz w:w="11880" w:h="15480" w:orient="portrait"/>
          <w:cols w:equalWidth="0" w:num="2">
            <w:col w:w="140" w:space="560"/>
            <w:col w:w="8900"/>
          </w:cols>
          <w:pgMar w:left="1140" w:top="865" w:right="1140" w:bottom="0" w:gutter="0" w:footer="0" w:header="0"/>
          <w:type w:val="continuous"/>
        </w:sectPr>
      </w:pPr>
    </w:p>
    <w:p>
      <w:pPr>
        <w:ind w:right="240"/>
        <w:spacing w:after="0" w:line="276" w:lineRule="auto"/>
        <w:rPr>
          <w:sz w:val="20"/>
          <w:szCs w:val="20"/>
          <w:color w:val="auto"/>
        </w:rPr>
      </w:pPr>
      <w:r>
        <w:rPr>
          <w:rFonts w:ascii="Times New Roman" w:cs="Times New Roman" w:eastAsia="Times New Roman" w:hAnsi="Times New Roman"/>
          <w:sz w:val="19"/>
          <w:szCs w:val="19"/>
          <w:color w:val="auto"/>
        </w:rPr>
        <w:t>No directors or officers entered into or terminated a “non-Rule 10b5-1 trading arrangement” as defined in Item 408(a) of Regulation S-K during the three months ended June 30,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600"/>
          </w:cols>
          <w:pgMar w:left="1140" w:top="865" w:right="1140" w:bottom="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600"/>
          </w:cols>
          <w:pgMar w:left="1140" w:top="865" w:right="1140" w:bottom="0" w:gutter="0" w:footer="0" w:header="0"/>
          <w:type w:val="continuous"/>
        </w:sectPr>
      </w:pPr>
    </w:p>
    <w:bookmarkStart w:id="56" w:name="page57"/>
    <w:bookmarkEnd w:id="56"/>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54" w:lineRule="exact"/>
        <w:rPr>
          <w:sz w:val="20"/>
          <w:szCs w:val="20"/>
          <w:color w:val="auto"/>
        </w:rPr>
      </w:pPr>
    </w:p>
    <w:p>
      <w:pPr>
        <w:ind w:firstLine="698"/>
        <w:spacing w:after="0" w:line="274" w:lineRule="auto"/>
        <w:rPr>
          <w:sz w:val="20"/>
          <w:szCs w:val="20"/>
          <w:color w:val="auto"/>
        </w:rPr>
      </w:pPr>
      <w:r>
        <w:rPr>
          <w:rFonts w:ascii="Times New Roman" w:cs="Times New Roman" w:eastAsia="Times New Roman" w:hAnsi="Times New Roman"/>
          <w:sz w:val="19"/>
          <w:szCs w:val="19"/>
          <w:color w:val="auto"/>
        </w:rPr>
        <w:t>Information required by Part III, Item 10, will be included in our Proxy Statement relating to our 2027 annual meeting of stockholders to be filed with the SEC within 120 days after the end of our fiscal year ended June 30, 2026,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254" w:lineRule="exact"/>
        <w:rPr>
          <w:sz w:val="20"/>
          <w:szCs w:val="20"/>
          <w:color w:val="auto"/>
        </w:rPr>
      </w:pPr>
    </w:p>
    <w:p>
      <w:pPr>
        <w:ind w:firstLine="698"/>
        <w:spacing w:after="0" w:line="274" w:lineRule="auto"/>
        <w:rPr>
          <w:sz w:val="20"/>
          <w:szCs w:val="20"/>
          <w:color w:val="auto"/>
        </w:rPr>
      </w:pPr>
      <w:r>
        <w:rPr>
          <w:rFonts w:ascii="Times New Roman" w:cs="Times New Roman" w:eastAsia="Times New Roman" w:hAnsi="Times New Roman"/>
          <w:sz w:val="19"/>
          <w:szCs w:val="19"/>
          <w:color w:val="auto"/>
        </w:rPr>
        <w:t>Information required by Part III, Item 11, will be included in our Proxy Statement relating to our 2027 annual meeting of stockholders to be filed with the SEC within 120 days after the end of our fiscal year ended June 30, 2026,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54" w:lineRule="exact"/>
        <w:rPr>
          <w:sz w:val="20"/>
          <w:szCs w:val="20"/>
          <w:color w:val="auto"/>
        </w:rPr>
      </w:pPr>
    </w:p>
    <w:p>
      <w:pPr>
        <w:ind w:firstLine="698"/>
        <w:spacing w:after="0" w:line="274" w:lineRule="auto"/>
        <w:rPr>
          <w:sz w:val="20"/>
          <w:szCs w:val="20"/>
          <w:color w:val="auto"/>
        </w:rPr>
      </w:pPr>
      <w:r>
        <w:rPr>
          <w:rFonts w:ascii="Times New Roman" w:cs="Times New Roman" w:eastAsia="Times New Roman" w:hAnsi="Times New Roman"/>
          <w:sz w:val="19"/>
          <w:szCs w:val="19"/>
          <w:color w:val="auto"/>
        </w:rPr>
        <w:t>Information required by Part III, Item 12, will be included in our Proxy Statement relating to our 2027 annual meeting of stockholders to be filed with the SEC within 120 days after the end of our fiscal year ended June 30, 2026, and is incorporated herein by reference.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312" w:lineRule="exact"/>
        <w:rPr>
          <w:sz w:val="20"/>
          <w:szCs w:val="20"/>
          <w:color w:val="auto"/>
        </w:rPr>
      </w:pPr>
    </w:p>
    <w:p>
      <w:pPr>
        <w:ind w:firstLine="698"/>
        <w:spacing w:after="0" w:line="274" w:lineRule="auto"/>
        <w:rPr>
          <w:sz w:val="20"/>
          <w:szCs w:val="20"/>
          <w:color w:val="auto"/>
        </w:rPr>
      </w:pPr>
      <w:r>
        <w:rPr>
          <w:rFonts w:ascii="Times New Roman" w:cs="Times New Roman" w:eastAsia="Times New Roman" w:hAnsi="Times New Roman"/>
          <w:sz w:val="19"/>
          <w:szCs w:val="19"/>
          <w:color w:val="auto"/>
        </w:rPr>
        <w:t>Information required by Part III, Item 13, will be included in our Proxy Statement relating to our 2027 annual meeting of stockholders to be filed with the SEC within 120 days after the end of our fiscal year ended June 30, 2026,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Accounting Fees and Services.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Our independent registered public accounting firm is KPMG LLP, Chicago, IL, Audit Firm ID: 185.</w:t>
      </w:r>
    </w:p>
    <w:p>
      <w:pPr>
        <w:spacing w:after="0" w:line="247" w:lineRule="exact"/>
        <w:rPr>
          <w:sz w:val="20"/>
          <w:szCs w:val="20"/>
          <w:color w:val="auto"/>
        </w:rPr>
      </w:pPr>
    </w:p>
    <w:p>
      <w:pPr>
        <w:ind w:firstLine="698"/>
        <w:spacing w:after="0" w:line="274" w:lineRule="auto"/>
        <w:rPr>
          <w:sz w:val="20"/>
          <w:szCs w:val="20"/>
          <w:color w:val="auto"/>
        </w:rPr>
      </w:pPr>
      <w:r>
        <w:rPr>
          <w:rFonts w:ascii="Times New Roman" w:cs="Times New Roman" w:eastAsia="Times New Roman" w:hAnsi="Times New Roman"/>
          <w:sz w:val="19"/>
          <w:szCs w:val="19"/>
          <w:color w:val="auto"/>
        </w:rPr>
        <w:t>Information required by Part III, Item 14, will be included in our Proxy Statement relating to our 2027 annual meeting of stockholders to be filed with the SEC within 120 days after the end of our fiscal year ended June 30, 2026, and is incorporated herein by reference.</w:t>
      </w:r>
    </w:p>
    <w:p>
      <w:pPr>
        <w:sectPr>
          <w:pgSz w:w="11880" w:h="15480" w:orient="portrait"/>
          <w:cols w:equalWidth="0" w:num="1">
            <w:col w:w="9460"/>
          </w:cols>
          <w:pgMar w:left="1140" w:top="86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460"/>
          </w:cols>
          <w:pgMar w:left="1140" w:top="865" w:right="1280" w:bottom="0" w:gutter="0" w:footer="0" w:header="0"/>
          <w:type w:val="continuous"/>
        </w:sectPr>
      </w:pPr>
    </w:p>
    <w:bookmarkStart w:id="57" w:name="page58"/>
    <w:bookmarkEnd w:id="57"/>
    <w:p>
      <w:pPr>
        <w:jc w:val="center"/>
        <w:ind w:left="904"/>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38" w:lineRule="exact"/>
        <w:rPr>
          <w:sz w:val="20"/>
          <w:szCs w:val="20"/>
          <w:color w:val="auto"/>
        </w:rPr>
      </w:pPr>
    </w:p>
    <w:p>
      <w:pPr>
        <w:ind w:left="344" w:hanging="344"/>
        <w:spacing w:after="0"/>
        <w:tabs>
          <w:tab w:leader="none" w:pos="3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Documents Filed with Report</w:t>
      </w:r>
    </w:p>
    <w:p>
      <w:pPr>
        <w:spacing w:after="0" w:line="228" w:lineRule="exact"/>
        <w:rPr>
          <w:rFonts w:ascii="Times New Roman" w:cs="Times New Roman" w:eastAsia="Times New Roman" w:hAnsi="Times New Roman"/>
          <w:sz w:val="19"/>
          <w:szCs w:val="19"/>
          <w:color w:val="auto"/>
        </w:rPr>
      </w:pPr>
    </w:p>
    <w:p>
      <w:pPr>
        <w:ind w:left="704" w:hanging="355"/>
        <w:spacing w:after="0"/>
        <w:tabs>
          <w:tab w:leader="none" w:pos="704"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Financial Statements.</w:t>
      </w:r>
    </w:p>
    <w:p>
      <w:pPr>
        <w:spacing w:after="0" w:line="322"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9"/>
          <w:szCs w:val="19"/>
          <w:color w:val="auto"/>
        </w:rPr>
        <w:t xml:space="preserve">Report of Independent Registered Public Accounting Firm </w:t>
      </w:r>
      <w:r>
        <w:rPr>
          <w:rFonts w:ascii="Times New Roman" w:cs="Times New Roman" w:eastAsia="Times New Roman" w:hAnsi="Times New Roman"/>
          <w:sz w:val="19"/>
          <w:szCs w:val="19"/>
          <w:color w:val="B4B4B4"/>
        </w:rPr>
        <w:t>....................................................................................</w:t>
      </w:r>
    </w:p>
    <w:p>
      <w:pPr>
        <w:spacing w:after="0" w:line="145"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9"/>
          <w:szCs w:val="19"/>
          <w:color w:val="auto"/>
        </w:rPr>
        <w:t>Consolidated Balance Sheets as of June 30, 2025 and 2026</w:t>
      </w:r>
      <w:r>
        <w:rPr>
          <w:rFonts w:ascii="Times New Roman" w:cs="Times New Roman" w:eastAsia="Times New Roman" w:hAnsi="Times New Roman"/>
          <w:sz w:val="19"/>
          <w:szCs w:val="19"/>
          <w:color w:val="B4B4B4"/>
        </w:rPr>
        <w:t>....................................................................................</w:t>
      </w:r>
    </w:p>
    <w:p>
      <w:pPr>
        <w:spacing w:after="0" w:line="145"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9"/>
          <w:szCs w:val="19"/>
          <w:color w:val="auto"/>
        </w:rPr>
        <w:t>Consolidated Statements of Operations and Comprehensive Income for the years ended June 30, 2024, 2025</w:t>
      </w:r>
    </w:p>
    <w:p>
      <w:pPr>
        <w:spacing w:after="0" w:line="25"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9"/>
          <w:szCs w:val="19"/>
          <w:color w:val="auto"/>
        </w:rPr>
        <w:t xml:space="preserve">and 2026 </w:t>
      </w:r>
      <w:r>
        <w:rPr>
          <w:rFonts w:ascii="Times New Roman" w:cs="Times New Roman" w:eastAsia="Times New Roman" w:hAnsi="Times New Roman"/>
          <w:sz w:val="19"/>
          <w:szCs w:val="19"/>
          <w:color w:val="B4B4B4"/>
        </w:rPr>
        <w:t>................................................................................................................................................................</w:t>
      </w:r>
    </w:p>
    <w:p>
      <w:pPr>
        <w:spacing w:after="0" w:line="120"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9"/>
          <w:szCs w:val="19"/>
          <w:color w:val="auto"/>
        </w:rPr>
        <w:t>Consolidated Statements of Changes in Stockholders’ Equity for the years ended June 30, 2024, 2025 and</w:t>
      </w:r>
    </w:p>
    <w:p>
      <w:pPr>
        <w:spacing w:after="0" w:line="25"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9"/>
          <w:szCs w:val="19"/>
          <w:color w:val="auto"/>
        </w:rPr>
        <w:t xml:space="preserve">2026 </w:t>
      </w:r>
      <w:r>
        <w:rPr>
          <w:rFonts w:ascii="Times New Roman" w:cs="Times New Roman" w:eastAsia="Times New Roman" w:hAnsi="Times New Roman"/>
          <w:sz w:val="19"/>
          <w:szCs w:val="19"/>
          <w:color w:val="B4B4B4"/>
        </w:rPr>
        <w:t>.......................................................................................................................................................................</w:t>
      </w:r>
    </w:p>
    <w:p>
      <w:pPr>
        <w:spacing w:after="0" w:line="120"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9"/>
          <w:szCs w:val="19"/>
          <w:color w:val="auto"/>
        </w:rPr>
        <w:t xml:space="preserve">Consolidated Statements of Cash Flows for the years ended June 30, 2024, 2025 and 2026 </w:t>
      </w:r>
      <w:r>
        <w:rPr>
          <w:rFonts w:ascii="Times New Roman" w:cs="Times New Roman" w:eastAsia="Times New Roman" w:hAnsi="Times New Roman"/>
          <w:sz w:val="19"/>
          <w:szCs w:val="19"/>
          <w:color w:val="B4B4B4"/>
        </w:rPr>
        <w:t>.................................</w:t>
      </w:r>
    </w:p>
    <w:p>
      <w:pPr>
        <w:spacing w:after="0" w:line="145"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9"/>
          <w:szCs w:val="19"/>
          <w:color w:val="auto"/>
        </w:rPr>
        <w:t xml:space="preserve">Notes to the Consolidated Financial Statements </w:t>
      </w:r>
      <w:r>
        <w:rPr>
          <w:rFonts w:ascii="Times New Roman" w:cs="Times New Roman" w:eastAsia="Times New Roman" w:hAnsi="Times New Roman"/>
          <w:sz w:val="19"/>
          <w:szCs w:val="19"/>
          <w:color w:val="B4B4B4"/>
        </w:rPr>
        <w:t>......................................................................................................</w:t>
      </w:r>
    </w:p>
    <w:p>
      <w:pPr>
        <w:spacing w:after="0" w:line="328" w:lineRule="exact"/>
        <w:rPr>
          <w:sz w:val="20"/>
          <w:szCs w:val="20"/>
          <w:color w:val="auto"/>
        </w:rPr>
      </w:pPr>
    </w:p>
    <w:p>
      <w:pPr>
        <w:ind w:left="704" w:hanging="355"/>
        <w:spacing w:after="0"/>
        <w:tabs>
          <w:tab w:leader="none" w:pos="704"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Exhibits.</w:t>
      </w:r>
    </w:p>
    <w:p>
      <w:pPr>
        <w:spacing w:after="0" w:line="249"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9"/>
          <w:szCs w:val="19"/>
          <w:color w:val="auto"/>
        </w:rPr>
        <w:t>The information required by this Item is set forth on the Exhibit Index immediately following this page.</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54"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9"/>
          <w:szCs w:val="19"/>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F-4</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F-5</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F-8</w:t>
      </w:r>
    </w:p>
    <w:p>
      <w:pPr>
        <w:spacing w:after="0" w:line="2131" w:lineRule="exact"/>
        <w:rPr>
          <w:sz w:val="20"/>
          <w:szCs w:val="20"/>
          <w:color w:val="auto"/>
        </w:rPr>
      </w:pPr>
    </w:p>
    <w:p>
      <w:pPr>
        <w:sectPr>
          <w:pgSz w:w="11880" w:h="15480" w:orient="portrait"/>
          <w:cols w:equalWidth="0" w:num="2">
            <w:col w:w="8684" w:space="580"/>
            <w:col w:w="280"/>
          </w:cols>
          <w:pgMar w:left="1136" w:top="865"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544"/>
          </w:cols>
          <w:pgMar w:left="1136" w:top="865" w:right="1200" w:bottom="0" w:gutter="0" w:footer="0" w:header="0"/>
          <w:type w:val="continuous"/>
        </w:sectPr>
      </w:pPr>
    </w:p>
    <w:bookmarkStart w:id="58" w:name="page59"/>
    <w:bookmarkEnd w:id="58"/>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EXHIBIT INDEX</w:t>
      </w:r>
    </w:p>
    <w:p>
      <w:pPr>
        <w:sectPr>
          <w:pgSz w:w="11880" w:h="15480" w:orient="portrait"/>
          <w:cols w:equalWidth="0" w:num="1">
            <w:col w:w="9560"/>
          </w:cols>
          <w:pgMar w:left="1180" w:top="865" w:right="1140" w:bottom="0" w:gutter="0" w:footer="0" w:header="0"/>
        </w:sectPr>
      </w:pPr>
    </w:p>
    <w:p>
      <w:pPr>
        <w:spacing w:after="0" w:line="200" w:lineRule="exact"/>
        <w:rPr>
          <w:sz w:val="20"/>
          <w:szCs w:val="20"/>
          <w:color w:val="auto"/>
        </w:rPr>
      </w:pPr>
    </w:p>
    <w:p>
      <w:pPr>
        <w:spacing w:after="0" w:line="202" w:lineRule="exact"/>
        <w:rPr>
          <w:sz w:val="20"/>
          <w:szCs w:val="20"/>
          <w:color w:val="auto"/>
        </w:rPr>
      </w:pPr>
    </w:p>
    <w:p>
      <w:pPr>
        <w:ind w:right="20"/>
        <w:spacing w:after="0" w:line="342" w:lineRule="auto"/>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-32385</wp:posOffset>
                </wp:positionV>
                <wp:extent cx="61785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9pt,-2.5499pt" to="46.5pt,-2.5499pt" o:allowincell="f" strokecolor="#000000" strokeweight="1pt"/>
            </w:pict>
          </mc:Fallback>
        </mc:AlternateConten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3.1</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10.2.1†</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10.3.1†</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10.3.2†</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10.3.3†</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10.3.4†</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10.3.5†</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10.3.7†</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10.4</w:t>
      </w:r>
      <w:r>
        <w:rPr>
          <w:rFonts w:ascii="Times New Roman" w:cs="Times New Roman" w:eastAsia="Times New Roman" w:hAnsi="Times New Roman"/>
          <w:sz w:val="25"/>
          <w:szCs w:val="25"/>
          <w:color w:val="auto"/>
          <w:vertAlign w:val="superscript"/>
        </w:rPr>
        <w: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Exhibit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22860</wp:posOffset>
                </wp:positionV>
                <wp:extent cx="24663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6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8pt" to="191.7pt,1.8pt" o:allowincell="f" strokecolor="#000000" strokeweight="1pt"/>
            </w:pict>
          </mc:Fallback>
        </mc:AlternateConten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Third Amended and Restated Certificate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Incorporation of the Registrant.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Third Amended and Restated By-Laws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Registrant.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Amended and Restated Investor Rights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Agreement, dated June 29, 2012.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Description of Securities. </w:t>
      </w:r>
      <w:r>
        <w:rPr>
          <w:rFonts w:ascii="Times New Roman" w:cs="Times New Roman" w:eastAsia="Times New Roman" w:hAnsi="Times New Roman"/>
          <w:sz w:val="19"/>
          <w:szCs w:val="19"/>
          <w:color w:val="B4B4B4"/>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Indemnification Agreement for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directors and officers.</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2014 Equity Incentive Plan and forms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agreement thereunder.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Form of Market Stock Units Notice of Grant and Award Agreement under the 2014 Equity Incentive Plan.</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 xml:space="preserve">Form of Executive Restricted Stock Unit Notice of Grant and Award Agreement under 2014 Equity Incentive Plan.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Amended and Restated 2023 Equity Incentive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Plan.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Market Stock Unit Notice of Grant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Award Agreement under 2023 Equity Incentive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Plan.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Form of Performance Stock Unit Notice of Grant and Award Agreement under 2023 Equity Incentive Plan.</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 xml:space="preserve">Form of Performance Stock Unit Notice of Grant and Award Agreement (California) under 2023 Equity Incentive Plan.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Market Stock Unit Notice of Grant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Award Agreement under 2023 Equity Incentive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Plan. </w:t>
      </w:r>
      <w:r>
        <w:rPr>
          <w:rFonts w:ascii="Times New Roman" w:cs="Times New Roman" w:eastAsia="Times New Roman" w:hAnsi="Times New Roman"/>
          <w:sz w:val="19"/>
          <w:szCs w:val="19"/>
          <w:color w:val="B4B4B4"/>
        </w:rPr>
        <w:t>.....................................................................</w:t>
      </w:r>
    </w:p>
    <w:p>
      <w:pPr>
        <w:spacing w:after="0" w:line="1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 xml:space="preserve">Form of Market Stock Unit Notice of Grant and Award Agreement (California) under 2023 Equity Incentive Plan.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 xml:space="preserve">Form of U.S. Executive Restricted Stock Unit Notice of Grant and Award Agreement under 2023 Equity Incentive Plan.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 xml:space="preserve">Form of U.S. Executive Restricted Stock Unit Notice of Grant and Award Agreement (for California Participants Executive and Board) under 2023 Equity Incentive Plan. </w:t>
      </w:r>
      <w:r>
        <w:rPr>
          <w:rFonts w:ascii="Times New Roman" w:cs="Times New Roman" w:eastAsia="Times New Roman" w:hAnsi="Times New Roman"/>
          <w:sz w:val="19"/>
          <w:szCs w:val="19"/>
          <w:color w:val="B4B4B4"/>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2014 Employee Stock Purchase Plan. </w:t>
      </w:r>
      <w:r>
        <w:rPr>
          <w:rFonts w:ascii="Times New Roman" w:cs="Times New Roman" w:eastAsia="Times New Roman" w:hAnsi="Times New Roman"/>
          <w:sz w:val="19"/>
          <w:szCs w:val="19"/>
          <w:color w:val="B4B4B4"/>
        </w:rPr>
        <w:t>..................</w:t>
      </w:r>
    </w:p>
    <w:p>
      <w:pPr>
        <w:spacing w:after="0" w:line="131"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 xml:space="preserve">Second Amendment to Executive Employment Agreement between Paylocity Corporation and Steven R. Beauchamp, dated August 5, 2024.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27305</wp:posOffset>
                </wp:positionV>
                <wp:extent cx="293751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75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15pt" to="230.95pt,2.15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60" w:type="dxa"/>
            <w:vAlign w:val="bottom"/>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40" w:type="dxa"/>
            <w:vAlign w:val="bottom"/>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r>
      <w:tr>
        <w:trPr>
          <w:trHeight w:val="378"/>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December 4, 2023</w:t>
            </w:r>
          </w:p>
        </w:tc>
      </w:tr>
      <w:tr>
        <w:trPr>
          <w:trHeight w:val="582"/>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December 4, 2023</w:t>
            </w:r>
          </w:p>
        </w:tc>
      </w:tr>
      <w:tr>
        <w:trPr>
          <w:trHeight w:val="582"/>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333-193661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4.1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30, 2014</w:t>
            </w:r>
          </w:p>
        </w:tc>
      </w:tr>
      <w:tr>
        <w:trPr>
          <w:trHeight w:val="466"/>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4.2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2, 2024</w:t>
            </w:r>
          </w:p>
        </w:tc>
      </w:tr>
      <w:tr>
        <w:trPr>
          <w:trHeight w:val="466"/>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333-193661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30, 2014</w:t>
            </w:r>
          </w:p>
        </w:tc>
      </w:tr>
      <w:tr>
        <w:trPr>
          <w:trHeight w:val="582"/>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S-1/A</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333-193661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14, 2014</w:t>
            </w:r>
          </w:p>
        </w:tc>
      </w:tr>
      <w:tr>
        <w:trPr>
          <w:trHeight w:val="698"/>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18, 2020</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May 6, 2022</w:t>
            </w:r>
          </w:p>
        </w:tc>
      </w:tr>
      <w:tr>
        <w:trPr>
          <w:trHeight w:val="698"/>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December 5, 2025</w:t>
            </w:r>
          </w:p>
        </w:tc>
      </w:tr>
      <w:tr>
        <w:trPr>
          <w:trHeight w:val="698"/>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December 4, 2023</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October 31, 2024</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October 31, 2024</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October 31, 2024</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October 31, 2024</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November 5, 2025</w:t>
            </w:r>
          </w:p>
        </w:tc>
      </w:tr>
      <w:tr>
        <w:trPr>
          <w:trHeight w:val="931"/>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November 5, 2025</w:t>
            </w:r>
          </w:p>
        </w:tc>
      </w:tr>
      <w:tr>
        <w:trPr>
          <w:trHeight w:val="698"/>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S-1/A</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333-193661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10.9</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14, 2014</w:t>
            </w:r>
          </w:p>
        </w:tc>
      </w:tr>
      <w:tr>
        <w:trPr>
          <w:trHeight w:val="611"/>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October 31, 2024</w:t>
            </w:r>
          </w:p>
        </w:tc>
      </w:tr>
    </w:tbl>
    <w:p>
      <w:pPr>
        <w:spacing w:after="0" w:line="525" w:lineRule="exact"/>
        <w:rPr>
          <w:sz w:val="20"/>
          <w:szCs w:val="20"/>
          <w:color w:val="auto"/>
        </w:rPr>
      </w:pPr>
    </w:p>
    <w:p>
      <w:pPr>
        <w:sectPr>
          <w:pgSz w:w="11880" w:h="15480" w:orient="portrait"/>
          <w:cols w:equalWidth="0" w:num="3">
            <w:col w:w="580" w:space="460"/>
            <w:col w:w="3780" w:space="120"/>
            <w:col w:w="4620"/>
          </w:cols>
          <w:pgMar w:left="1180" w:top="865" w:right="1140" w:bottom="0" w:gutter="0" w:footer="0" w:header="0"/>
          <w:type w:val="continuous"/>
        </w:sect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560"/>
          </w:cols>
          <w:pgMar w:left="1180" w:top="865" w:right="1140" w:bottom="0" w:gutter="0" w:footer="0" w:header="0"/>
          <w:type w:val="continuous"/>
        </w:sectPr>
      </w:pPr>
    </w:p>
    <w:bookmarkStart w:id="59" w:name="page60"/>
    <w:bookmarkEnd w:id="5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 w:type="dxa"/>
            <w:vAlign w:val="bottom"/>
          </w:tcPr>
          <w:p>
            <w:pPr>
              <w:spacing w:after="0"/>
              <w:rPr>
                <w:sz w:val="18"/>
                <w:szCs w:val="18"/>
                <w:color w:val="auto"/>
              </w:rPr>
            </w:pPr>
          </w:p>
        </w:tc>
        <w:tc>
          <w:tcPr>
            <w:tcW w:w="39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Amendment to Executive Employment</w:t>
            </w:r>
          </w:p>
        </w:tc>
        <w:tc>
          <w:tcPr>
            <w:tcW w:w="0" w:type="dxa"/>
            <w:vAlign w:val="bottom"/>
          </w:tcPr>
          <w:p>
            <w:pPr>
              <w:spacing w:after="0"/>
              <w:rPr>
                <w:sz w:val="1"/>
                <w:szCs w:val="1"/>
                <w:color w:val="auto"/>
              </w:rPr>
            </w:pPr>
          </w:p>
        </w:tc>
      </w:tr>
      <w:tr>
        <w:trPr>
          <w:trHeight w:val="268"/>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10.6†</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Agreement between Paylocity Corporation and</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Toby J. Williams, dated August 5, 2024.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1"/>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Amended and Restated Executive Employment</w:t>
            </w:r>
          </w:p>
        </w:tc>
        <w:tc>
          <w:tcPr>
            <w:tcW w:w="0" w:type="dxa"/>
            <w:vAlign w:val="bottom"/>
          </w:tcPr>
          <w:p>
            <w:pPr>
              <w:spacing w:after="0"/>
              <w:rPr>
                <w:sz w:val="1"/>
                <w:szCs w:val="1"/>
                <w:color w:val="auto"/>
              </w:rPr>
            </w:pPr>
          </w:p>
        </w:tc>
      </w:tr>
      <w:tr>
        <w:trPr>
          <w:trHeight w:val="268"/>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10.7†</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Agreement between Paylocity Corporation and</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Ryan Glenn, dated March 11, 2022.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between</w:t>
            </w: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10.8†</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Paylocity Corporation and Joshua Scutt, dated</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August 16, 2021.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between</w:t>
            </w: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10.9†</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Paylocity Corporation and Andrew Cappotelli,</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dated May 13, 2024.</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between</w:t>
            </w: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10.10†</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Paylocity Corporation and Melissa King, dated</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December 16, 2024.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between</w:t>
            </w: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10.11†*</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Paylocity Corporation and Nicholas Rost, dated</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April 23, 2026.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Multi-Tenant Office Lease Agreement, dated</w:t>
            </w:r>
          </w:p>
        </w:tc>
        <w:tc>
          <w:tcPr>
            <w:tcW w:w="0" w:type="dxa"/>
            <w:vAlign w:val="bottom"/>
          </w:tcPr>
          <w:p>
            <w:pPr>
              <w:spacing w:after="0"/>
              <w:rPr>
                <w:sz w:val="1"/>
                <w:szCs w:val="1"/>
                <w:color w:val="auto"/>
              </w:rPr>
            </w:pPr>
          </w:p>
        </w:tc>
      </w:tr>
      <w:tr>
        <w:trPr>
          <w:trHeight w:val="233"/>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10.12</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June 1, 2016, by and between Paylocity</w:t>
            </w: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Corporation and RPAI Schaumburg American</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Lane, L.L.C.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Amendments to Multi-Tenant Office Lease</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Agreement dated June 1, 2016 by and between</w:t>
            </w:r>
          </w:p>
        </w:tc>
        <w:tc>
          <w:tcPr>
            <w:tcW w:w="0" w:type="dxa"/>
            <w:vAlign w:val="bottom"/>
          </w:tcPr>
          <w:p>
            <w:pPr>
              <w:spacing w:after="0"/>
              <w:rPr>
                <w:sz w:val="1"/>
                <w:szCs w:val="1"/>
                <w:color w:val="auto"/>
              </w:rPr>
            </w:pPr>
          </w:p>
        </w:tc>
      </w:tr>
      <w:tr>
        <w:trPr>
          <w:trHeight w:val="217"/>
        </w:trPr>
        <w:tc>
          <w:tcPr>
            <w:tcW w:w="980" w:type="dxa"/>
            <w:vAlign w:val="bottom"/>
          </w:tcPr>
          <w:p>
            <w:pPr>
              <w:ind w:left="40"/>
              <w:spacing w:after="0" w:line="217" w:lineRule="exact"/>
              <w:rPr>
                <w:sz w:val="20"/>
                <w:szCs w:val="20"/>
                <w:color w:val="auto"/>
              </w:rPr>
            </w:pPr>
            <w:r>
              <w:rPr>
                <w:rFonts w:ascii="Times New Roman" w:cs="Times New Roman" w:eastAsia="Times New Roman" w:hAnsi="Times New Roman"/>
                <w:sz w:val="19"/>
                <w:szCs w:val="19"/>
                <w:color w:val="auto"/>
              </w:rPr>
              <w:t>10.13</w:t>
            </w:r>
          </w:p>
        </w:tc>
        <w:tc>
          <w:tcPr>
            <w:tcW w:w="40" w:type="dxa"/>
            <w:vAlign w:val="bottom"/>
          </w:tcPr>
          <w:p>
            <w:pPr>
              <w:spacing w:after="0"/>
              <w:rPr>
                <w:sz w:val="18"/>
                <w:szCs w:val="18"/>
                <w:color w:val="auto"/>
              </w:rPr>
            </w:pPr>
          </w:p>
        </w:tc>
        <w:tc>
          <w:tcPr>
            <w:tcW w:w="39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Paylocity Corporation and RPAI Schaumburg</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American Lane, L.L.C. and Landmark</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Schaumburg Towers LP.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Credit Agreement by and among Paylocity</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Holding Corporation, the Guarantor party</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thereto, the Lenders party thereto, PNC Bank,</w:t>
            </w: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10.14</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National Association, as Administrative Agent,</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and PNC Capital Markets, LLC, as sole lead</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arranger and sole bookrunner, dated July 17,</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 xml:space="preserve">2019.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First Amendment to Credit Agreement and</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Security Agreement, dated as of August 19,</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2022, by and among Paylocity Holding</w:t>
            </w:r>
          </w:p>
        </w:tc>
        <w:tc>
          <w:tcPr>
            <w:tcW w:w="0" w:type="dxa"/>
            <w:vAlign w:val="bottom"/>
          </w:tcPr>
          <w:p>
            <w:pPr>
              <w:spacing w:after="0"/>
              <w:rPr>
                <w:sz w:val="1"/>
                <w:szCs w:val="1"/>
                <w:color w:val="auto"/>
              </w:rPr>
            </w:pPr>
          </w:p>
        </w:tc>
      </w:tr>
      <w:tr>
        <w:trPr>
          <w:trHeight w:val="233"/>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10.15</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Corporation, the Guarantor party thereto, the</w:t>
            </w:r>
          </w:p>
        </w:tc>
        <w:tc>
          <w:tcPr>
            <w:tcW w:w="0" w:type="dxa"/>
            <w:vAlign w:val="bottom"/>
          </w:tcPr>
          <w:p>
            <w:pPr>
              <w:spacing w:after="0"/>
              <w:rPr>
                <w:sz w:val="1"/>
                <w:szCs w:val="1"/>
                <w:color w:val="auto"/>
              </w:rPr>
            </w:pPr>
          </w:p>
        </w:tc>
      </w:tr>
      <w:tr>
        <w:trPr>
          <w:trHeight w:val="233"/>
        </w:trPr>
        <w:tc>
          <w:tcPr>
            <w:tcW w:w="9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Lenders party thereto, PNC Bank, National</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Association, as Administrative Agent, and PNC</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Capital Markets, LLC and JPMorgan Chase</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Bank, N.A., as joint lead arrangers and joint</w:t>
            </w: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bookrunners.</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bl>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74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Second Amendment to Credit Agreement, dated</w:t>
            </w:r>
          </w:p>
        </w:tc>
        <w:tc>
          <w:tcPr>
            <w:tcW w:w="0" w:type="dxa"/>
            <w:vAlign w:val="bottom"/>
          </w:tcPr>
          <w:p>
            <w:pPr>
              <w:spacing w:after="0"/>
              <w:rPr>
                <w:sz w:val="1"/>
                <w:szCs w:val="1"/>
                <w:color w:val="auto"/>
              </w:rPr>
            </w:pPr>
          </w:p>
        </w:tc>
      </w:tr>
      <w:tr>
        <w:trPr>
          <w:trHeight w:val="233"/>
        </w:trPr>
        <w:tc>
          <w:tcPr>
            <w:tcW w:w="74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as of October 1, 2024, by and among Paylocity</w:t>
            </w:r>
          </w:p>
        </w:tc>
        <w:tc>
          <w:tcPr>
            <w:tcW w:w="0" w:type="dxa"/>
            <w:vAlign w:val="bottom"/>
          </w:tcPr>
          <w:p>
            <w:pPr>
              <w:spacing w:after="0"/>
              <w:rPr>
                <w:sz w:val="1"/>
                <w:szCs w:val="1"/>
                <w:color w:val="auto"/>
              </w:rPr>
            </w:pPr>
          </w:p>
        </w:tc>
      </w:tr>
      <w:tr>
        <w:trPr>
          <w:trHeight w:val="233"/>
        </w:trPr>
        <w:tc>
          <w:tcPr>
            <w:tcW w:w="740" w:type="dxa"/>
            <w:vAlign w:val="bottom"/>
            <w:vMerge w:val="restart"/>
          </w:tcPr>
          <w:p>
            <w:pPr>
              <w:jc w:val="right"/>
              <w:ind w:right="203"/>
              <w:spacing w:after="0"/>
              <w:rPr>
                <w:sz w:val="20"/>
                <w:szCs w:val="20"/>
                <w:color w:val="auto"/>
              </w:rPr>
            </w:pPr>
            <w:r>
              <w:rPr>
                <w:rFonts w:ascii="Times New Roman" w:cs="Times New Roman" w:eastAsia="Times New Roman" w:hAnsi="Times New Roman"/>
                <w:sz w:val="19"/>
                <w:szCs w:val="19"/>
                <w:color w:val="auto"/>
                <w:w w:val="98"/>
              </w:rPr>
              <w:t>10.16</w:t>
            </w:r>
          </w:p>
        </w:tc>
        <w:tc>
          <w:tcPr>
            <w:tcW w:w="40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Holding Corporation, the Guarantor party</w:t>
            </w:r>
          </w:p>
        </w:tc>
        <w:tc>
          <w:tcPr>
            <w:tcW w:w="0" w:type="dxa"/>
            <w:vAlign w:val="bottom"/>
          </w:tcPr>
          <w:p>
            <w:pPr>
              <w:spacing w:after="0"/>
              <w:rPr>
                <w:sz w:val="1"/>
                <w:szCs w:val="1"/>
                <w:color w:val="auto"/>
              </w:rPr>
            </w:pPr>
          </w:p>
        </w:tc>
      </w:tr>
      <w:tr>
        <w:trPr>
          <w:trHeight w:val="143"/>
        </w:trPr>
        <w:tc>
          <w:tcPr>
            <w:tcW w:w="740" w:type="dxa"/>
            <w:vAlign w:val="bottom"/>
            <w:vMerge w:val="continue"/>
          </w:tcPr>
          <w:p>
            <w:pPr>
              <w:spacing w:after="0"/>
              <w:rPr>
                <w:sz w:val="12"/>
                <w:szCs w:val="12"/>
                <w:color w:val="auto"/>
              </w:rPr>
            </w:pPr>
          </w:p>
        </w:tc>
        <w:tc>
          <w:tcPr>
            <w:tcW w:w="4080" w:type="dxa"/>
            <w:vAlign w:val="bottom"/>
            <w:vMerge w:val="restart"/>
          </w:tcPr>
          <w:p>
            <w:pPr>
              <w:ind w:left="300"/>
              <w:spacing w:after="0"/>
              <w:rPr>
                <w:sz w:val="20"/>
                <w:szCs w:val="20"/>
                <w:color w:val="auto"/>
              </w:rPr>
            </w:pPr>
            <w:r>
              <w:rPr>
                <w:rFonts w:ascii="Times New Roman" w:cs="Times New Roman" w:eastAsia="Times New Roman" w:hAnsi="Times New Roman"/>
                <w:sz w:val="19"/>
                <w:szCs w:val="19"/>
                <w:color w:val="auto"/>
              </w:rPr>
              <w:t>thereto, the Lenders party thereto, and PNC</w:t>
            </w:r>
          </w:p>
        </w:tc>
        <w:tc>
          <w:tcPr>
            <w:tcW w:w="0" w:type="dxa"/>
            <w:vAlign w:val="bottom"/>
          </w:tcPr>
          <w:p>
            <w:pPr>
              <w:spacing w:after="0"/>
              <w:rPr>
                <w:sz w:val="1"/>
                <w:szCs w:val="1"/>
                <w:color w:val="auto"/>
              </w:rPr>
            </w:pPr>
          </w:p>
        </w:tc>
      </w:tr>
      <w:tr>
        <w:trPr>
          <w:trHeight w:val="90"/>
        </w:trPr>
        <w:tc>
          <w:tcPr>
            <w:tcW w:w="74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74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Bank, National Association, as Administrative</w:t>
            </w:r>
          </w:p>
        </w:tc>
        <w:tc>
          <w:tcPr>
            <w:tcW w:w="0" w:type="dxa"/>
            <w:vAlign w:val="bottom"/>
          </w:tcPr>
          <w:p>
            <w:pPr>
              <w:spacing w:after="0"/>
              <w:rPr>
                <w:sz w:val="1"/>
                <w:szCs w:val="1"/>
                <w:color w:val="auto"/>
              </w:rPr>
            </w:pPr>
          </w:p>
        </w:tc>
      </w:tr>
      <w:tr>
        <w:trPr>
          <w:trHeight w:val="253"/>
        </w:trPr>
        <w:tc>
          <w:tcPr>
            <w:tcW w:w="740" w:type="dxa"/>
            <w:vAlign w:val="bottom"/>
          </w:tcPr>
          <w:p>
            <w:pPr>
              <w:spacing w:after="0"/>
              <w:rPr>
                <w:sz w:val="21"/>
                <w:szCs w:val="21"/>
                <w:color w:val="auto"/>
              </w:rPr>
            </w:pPr>
          </w:p>
        </w:tc>
        <w:tc>
          <w:tcPr>
            <w:tcW w:w="408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Agent.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27305</wp:posOffset>
                </wp:positionV>
                <wp:extent cx="293751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75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15pt" to="230.95pt,2.15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40" w:type="dxa"/>
            <w:vAlign w:val="bottom"/>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r>
      <w:tr>
        <w:trPr>
          <w:trHeight w:val="523"/>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10.6</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October 31, 2024</w:t>
            </w:r>
          </w:p>
        </w:tc>
      </w:tr>
      <w:tr>
        <w:trPr>
          <w:trHeight w:val="873"/>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March 14, 2022</w:t>
            </w:r>
          </w:p>
        </w:tc>
      </w:tr>
      <w:tr>
        <w:trPr>
          <w:trHeight w:val="844"/>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10.15</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4, 2023</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2, 2024</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10.10</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6,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tabs>
          <w:tab w:leader="none" w:pos="960" w:val="left"/>
          <w:tab w:leader="none" w:pos="2260" w:val="left"/>
          <w:tab w:leader="none" w:pos="32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9"/>
          <w:szCs w:val="19"/>
          <w:color w:val="auto"/>
        </w:rPr>
        <w:t>001-36348</w:t>
      </w:r>
      <w:r>
        <w:rPr>
          <w:sz w:val="20"/>
          <w:szCs w:val="20"/>
          <w:color w:val="auto"/>
        </w:rPr>
        <w:tab/>
      </w: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color w:val="auto"/>
        </w:rPr>
        <w:t>June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tabs>
          <w:tab w:leader="none" w:pos="960" w:val="left"/>
          <w:tab w:leader="none" w:pos="2260" w:val="left"/>
          <w:tab w:leader="none" w:pos="3100" w:val="left"/>
        </w:tabs>
        <w:rPr>
          <w:sz w:val="20"/>
          <w:szCs w:val="20"/>
          <w:color w:val="auto"/>
        </w:rPr>
      </w:pPr>
      <w:r>
        <w:rPr>
          <w:rFonts w:ascii="Times New Roman" w:cs="Times New Roman" w:eastAsia="Times New Roman" w:hAnsi="Times New Roman"/>
          <w:sz w:val="19"/>
          <w:szCs w:val="19"/>
          <w:color w:val="auto"/>
        </w:rPr>
        <w:t>10-Q</w:t>
      </w:r>
      <w:r>
        <w:rPr>
          <w:sz w:val="20"/>
          <w:szCs w:val="20"/>
          <w:color w:val="auto"/>
        </w:rPr>
        <w:tab/>
      </w:r>
      <w:r>
        <w:rPr>
          <w:rFonts w:ascii="Times New Roman" w:cs="Times New Roman" w:eastAsia="Times New Roman" w:hAnsi="Times New Roman"/>
          <w:sz w:val="19"/>
          <w:szCs w:val="19"/>
          <w:color w:val="auto"/>
        </w:rPr>
        <w:t>001-36348</w:t>
      </w:r>
      <w:r>
        <w:rPr>
          <w:sz w:val="20"/>
          <w:szCs w:val="20"/>
          <w:color w:val="auto"/>
        </w:rPr>
        <w:tab/>
      </w: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auto"/>
        </w:rPr>
        <w:t>February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tabs>
          <w:tab w:leader="none" w:pos="960" w:val="left"/>
          <w:tab w:leader="none" w:pos="2260" w:val="left"/>
          <w:tab w:leader="none" w:pos="324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9"/>
          <w:szCs w:val="19"/>
          <w:color w:val="auto"/>
        </w:rPr>
        <w:t>001-36348</w:t>
      </w:r>
      <w:r>
        <w:rPr>
          <w:sz w:val="20"/>
          <w:szCs w:val="20"/>
          <w:color w:val="auto"/>
        </w:rPr>
        <w:tab/>
      </w: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color w:val="auto"/>
        </w:rPr>
        <w:t>July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tabs>
          <w:tab w:leader="none" w:pos="960" w:val="left"/>
          <w:tab w:leader="none" w:pos="2260" w:val="left"/>
          <w:tab w:leader="none" w:pos="312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9"/>
          <w:szCs w:val="19"/>
          <w:color w:val="auto"/>
        </w:rPr>
        <w:t>001-36348</w:t>
      </w:r>
      <w:r>
        <w:rPr>
          <w:sz w:val="20"/>
          <w:szCs w:val="20"/>
          <w:color w:val="auto"/>
        </w:rPr>
        <w:tab/>
      </w: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color w:val="auto"/>
        </w:rPr>
        <w:t>August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tabs>
          <w:tab w:leader="none" w:pos="960" w:val="left"/>
          <w:tab w:leader="none" w:pos="2320" w:val="left"/>
          <w:tab w:leader="none" w:pos="310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9"/>
          <w:szCs w:val="19"/>
          <w:color w:val="auto"/>
        </w:rPr>
        <w:t>001-36348</w:t>
      </w:r>
      <w:r>
        <w:rPr>
          <w:sz w:val="20"/>
          <w:szCs w:val="20"/>
          <w:color w:val="auto"/>
        </w:rPr>
        <w:tab/>
      </w: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color w:val="auto"/>
        </w:rPr>
        <w:t>February 7, 2025</w:t>
      </w:r>
    </w:p>
    <w:p>
      <w:pPr>
        <w:spacing w:after="0" w:line="809" w:lineRule="exact"/>
        <w:rPr>
          <w:sz w:val="20"/>
          <w:szCs w:val="20"/>
          <w:color w:val="auto"/>
        </w:rPr>
      </w:pPr>
    </w:p>
    <w:p>
      <w:pPr>
        <w:sectPr>
          <w:pgSz w:w="11880" w:h="15480" w:orient="portrait"/>
          <w:cols w:equalWidth="0" w:num="2">
            <w:col w:w="4920" w:space="60"/>
            <w:col w:w="4620"/>
          </w:cols>
          <w:pgMar w:left="1140" w:top="95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600"/>
          </w:cols>
          <w:pgMar w:left="1140" w:top="952" w:right="1140" w:bottom="0" w:gutter="0" w:footer="0" w:header="0"/>
          <w:type w:val="continuous"/>
        </w:sectPr>
      </w:pPr>
    </w:p>
    <w:bookmarkStart w:id="60" w:name="page61"/>
    <w:bookmarkEnd w:id="6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 w:type="dxa"/>
            <w:vAlign w:val="bottom"/>
          </w:tcPr>
          <w:p>
            <w:pPr>
              <w:spacing w:after="0"/>
              <w:rPr>
                <w:sz w:val="18"/>
                <w:szCs w:val="18"/>
                <w:color w:val="auto"/>
              </w:rPr>
            </w:pPr>
          </w:p>
        </w:tc>
        <w:tc>
          <w:tcPr>
            <w:tcW w:w="39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Agreement and Plan of Merger, dated August</w:t>
            </w:r>
          </w:p>
        </w:tc>
        <w:tc>
          <w:tcPr>
            <w:tcW w:w="0" w:type="dxa"/>
            <w:vAlign w:val="bottom"/>
          </w:tcPr>
          <w:p>
            <w:pPr>
              <w:spacing w:after="0"/>
              <w:rPr>
                <w:sz w:val="1"/>
                <w:szCs w:val="1"/>
                <w:color w:val="auto"/>
              </w:rPr>
            </w:pPr>
          </w:p>
        </w:tc>
      </w:tr>
      <w:tr>
        <w:trPr>
          <w:trHeight w:val="233"/>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10.17</w:t>
            </w:r>
          </w:p>
        </w:tc>
        <w:tc>
          <w:tcPr>
            <w:tcW w:w="40" w:type="dxa"/>
            <w:vAlign w:val="bottom"/>
          </w:tcPr>
          <w:p>
            <w:pPr>
              <w:spacing w:after="0"/>
              <w:rPr>
                <w:sz w:val="20"/>
                <w:szCs w:val="20"/>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29, 2024, by and among Paylocity Corporation,</w:t>
            </w: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Project Alpine Merger Sub, Inc. Airbase Inc and</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Shareholder Representative Services LLC.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2"/>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19.1</w:t>
            </w: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Paylocity Holding Corporation Insider Trading</w:t>
            </w:r>
          </w:p>
        </w:tc>
        <w:tc>
          <w:tcPr>
            <w:tcW w:w="0" w:type="dxa"/>
            <w:vAlign w:val="bottom"/>
          </w:tcPr>
          <w:p>
            <w:pPr>
              <w:spacing w:after="0"/>
              <w:rPr>
                <w:sz w:val="1"/>
                <w:szCs w:val="1"/>
                <w:color w:val="auto"/>
              </w:rPr>
            </w:pPr>
          </w:p>
        </w:tc>
      </w:tr>
      <w:tr>
        <w:trPr>
          <w:trHeight w:val="130"/>
        </w:trPr>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 xml:space="preserve">Policy.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123"/>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21.1*</w:t>
            </w: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List of Subsidiaries of the Registrant.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3"/>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23.1*</w:t>
            </w: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Consent of KPMG LLP, Independent Registered</w:t>
            </w:r>
          </w:p>
        </w:tc>
        <w:tc>
          <w:tcPr>
            <w:tcW w:w="0" w:type="dxa"/>
            <w:vAlign w:val="bottom"/>
          </w:tcPr>
          <w:p>
            <w:pPr>
              <w:spacing w:after="0"/>
              <w:rPr>
                <w:sz w:val="1"/>
                <w:szCs w:val="1"/>
                <w:color w:val="auto"/>
              </w:rPr>
            </w:pPr>
          </w:p>
        </w:tc>
      </w:tr>
      <w:tr>
        <w:trPr>
          <w:trHeight w:val="145"/>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 xml:space="preserve">Public Accounting Firm.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24.1*</w:t>
            </w: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Power of Attorney (included on the signature</w:t>
            </w:r>
          </w:p>
        </w:tc>
        <w:tc>
          <w:tcPr>
            <w:tcW w:w="0" w:type="dxa"/>
            <w:vAlign w:val="bottom"/>
          </w:tcPr>
          <w:p>
            <w:pPr>
              <w:spacing w:after="0"/>
              <w:rPr>
                <w:sz w:val="1"/>
                <w:szCs w:val="1"/>
                <w:color w:val="auto"/>
              </w:rPr>
            </w:pPr>
          </w:p>
        </w:tc>
      </w:tr>
      <w:tr>
        <w:trPr>
          <w:trHeight w:val="145"/>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 xml:space="preserve">page of this Report on Form 10-K).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Certification of Chief Executive Officer</w:t>
            </w:r>
          </w:p>
        </w:tc>
        <w:tc>
          <w:tcPr>
            <w:tcW w:w="0" w:type="dxa"/>
            <w:vAlign w:val="bottom"/>
          </w:tcPr>
          <w:p>
            <w:pPr>
              <w:spacing w:after="0"/>
              <w:rPr>
                <w:sz w:val="1"/>
                <w:szCs w:val="1"/>
                <w:color w:val="auto"/>
              </w:rPr>
            </w:pPr>
          </w:p>
        </w:tc>
      </w:tr>
      <w:tr>
        <w:trPr>
          <w:trHeight w:val="266"/>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31.1*</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Required Under Rule 13a-14(a) and 15d-14(a)</w:t>
            </w:r>
          </w:p>
        </w:tc>
        <w:tc>
          <w:tcPr>
            <w:tcW w:w="0" w:type="dxa"/>
            <w:vAlign w:val="bottom"/>
          </w:tcPr>
          <w:p>
            <w:pPr>
              <w:spacing w:after="0"/>
              <w:rPr>
                <w:sz w:val="1"/>
                <w:szCs w:val="1"/>
                <w:color w:val="auto"/>
              </w:rPr>
            </w:pPr>
          </w:p>
        </w:tc>
      </w:tr>
      <w:tr>
        <w:trPr>
          <w:trHeight w:val="141"/>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of the Securities Exchange Act of 1934, as</w:t>
            </w: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amended.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52"/>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Certification of Chief Financial Officer</w:t>
            </w:r>
          </w:p>
        </w:tc>
        <w:tc>
          <w:tcPr>
            <w:tcW w:w="0" w:type="dxa"/>
            <w:vAlign w:val="bottom"/>
          </w:tcPr>
          <w:p>
            <w:pPr>
              <w:spacing w:after="0"/>
              <w:rPr>
                <w:sz w:val="1"/>
                <w:szCs w:val="1"/>
                <w:color w:val="auto"/>
              </w:rPr>
            </w:pPr>
          </w:p>
        </w:tc>
      </w:tr>
      <w:tr>
        <w:trPr>
          <w:trHeight w:val="266"/>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31.2*</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Required Under Rule 13a-14(a) and 15d-14(a)</w:t>
            </w:r>
          </w:p>
        </w:tc>
        <w:tc>
          <w:tcPr>
            <w:tcW w:w="0" w:type="dxa"/>
            <w:vAlign w:val="bottom"/>
          </w:tcPr>
          <w:p>
            <w:pPr>
              <w:spacing w:after="0"/>
              <w:rPr>
                <w:sz w:val="1"/>
                <w:szCs w:val="1"/>
                <w:color w:val="auto"/>
              </w:rPr>
            </w:pPr>
          </w:p>
        </w:tc>
      </w:tr>
      <w:tr>
        <w:trPr>
          <w:trHeight w:val="141"/>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of the Securities Exchange Act of 1934, as</w:t>
            </w: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amended.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52"/>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Certification of Chief Executive Officer</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Required Under Rule 13a-14(a) and 15d-14(a)</w:t>
            </w:r>
          </w:p>
        </w:tc>
        <w:tc>
          <w:tcPr>
            <w:tcW w:w="0" w:type="dxa"/>
            <w:vAlign w:val="bottom"/>
          </w:tcPr>
          <w:p>
            <w:pPr>
              <w:spacing w:after="0"/>
              <w:rPr>
                <w:sz w:val="1"/>
                <w:szCs w:val="1"/>
                <w:color w:val="auto"/>
              </w:rPr>
            </w:pPr>
          </w:p>
        </w:tc>
      </w:tr>
      <w:tr>
        <w:trPr>
          <w:trHeight w:val="266"/>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32.1**</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of the Securities Exchange Act of 1934, as</w:t>
            </w: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amended, and 18 U.S.C. §1350 as adopted</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pursuant to Section 906 of The Sarbanes-Oxley</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Act of 2002.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Certification of Chief Financial Officer</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Required Under Rule 13a-14(a) and 15d-14(a)</w:t>
            </w:r>
          </w:p>
        </w:tc>
        <w:tc>
          <w:tcPr>
            <w:tcW w:w="0" w:type="dxa"/>
            <w:vAlign w:val="bottom"/>
          </w:tcPr>
          <w:p>
            <w:pPr>
              <w:spacing w:after="0"/>
              <w:rPr>
                <w:sz w:val="1"/>
                <w:szCs w:val="1"/>
                <w:color w:val="auto"/>
              </w:rPr>
            </w:pPr>
          </w:p>
        </w:tc>
      </w:tr>
      <w:tr>
        <w:trPr>
          <w:trHeight w:val="266"/>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32.2**</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of the Securities Exchange Act of 1934, as</w:t>
            </w: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amended, and 18 U.S.C. §1350 as adopted</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pursuant to Section 906 of The Sarbanes-Oxley</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Act of 2002.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Paylocity Holding Corporation Policy for</w:t>
            </w:r>
          </w:p>
        </w:tc>
        <w:tc>
          <w:tcPr>
            <w:tcW w:w="0" w:type="dxa"/>
            <w:vAlign w:val="bottom"/>
          </w:tcPr>
          <w:p>
            <w:pPr>
              <w:spacing w:after="0"/>
              <w:rPr>
                <w:sz w:val="1"/>
                <w:szCs w:val="1"/>
                <w:color w:val="auto"/>
              </w:rPr>
            </w:pPr>
          </w:p>
        </w:tc>
      </w:tr>
      <w:tr>
        <w:trPr>
          <w:trHeight w:val="268"/>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97.1</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Recovery of Erroneously Awarded Incentive</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Compensation.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41"/>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Inline XBRL Instance Document (the instance</w:t>
            </w:r>
          </w:p>
        </w:tc>
        <w:tc>
          <w:tcPr>
            <w:tcW w:w="0" w:type="dxa"/>
            <w:vAlign w:val="bottom"/>
          </w:tcPr>
          <w:p>
            <w:pPr>
              <w:spacing w:after="0"/>
              <w:rPr>
                <w:sz w:val="1"/>
                <w:szCs w:val="1"/>
                <w:color w:val="auto"/>
              </w:rPr>
            </w:pPr>
          </w:p>
        </w:tc>
      </w:tr>
      <w:tr>
        <w:trPr>
          <w:trHeight w:val="266"/>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101.INS*</w:t>
            </w: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document does not appear in the Interactive</w:t>
            </w:r>
          </w:p>
        </w:tc>
        <w:tc>
          <w:tcPr>
            <w:tcW w:w="0" w:type="dxa"/>
            <w:vAlign w:val="bottom"/>
          </w:tcPr>
          <w:p>
            <w:pPr>
              <w:spacing w:after="0"/>
              <w:rPr>
                <w:sz w:val="1"/>
                <w:szCs w:val="1"/>
                <w:color w:val="auto"/>
              </w:rPr>
            </w:pPr>
          </w:p>
        </w:tc>
      </w:tr>
      <w:tr>
        <w:trPr>
          <w:trHeight w:val="141"/>
        </w:trPr>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Data File because its XBRL tags are embedded</w:t>
            </w: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within the Inline XBRL document).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359"/>
        </w:trPr>
        <w:tc>
          <w:tcPr>
            <w:tcW w:w="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101.SCH*</w:t>
            </w:r>
          </w:p>
        </w:tc>
        <w:tc>
          <w:tcPr>
            <w:tcW w:w="4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Inline XBRL Taxonomy Extension Schema.</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Inline XBRL Taxonomy Extension Calculation</w:t>
            </w:r>
          </w:p>
        </w:tc>
        <w:tc>
          <w:tcPr>
            <w:tcW w:w="0" w:type="dxa"/>
            <w:vAlign w:val="bottom"/>
          </w:tcPr>
          <w:p>
            <w:pPr>
              <w:spacing w:after="0"/>
              <w:rPr>
                <w:sz w:val="1"/>
                <w:szCs w:val="1"/>
                <w:color w:val="auto"/>
              </w:rPr>
            </w:pPr>
          </w:p>
        </w:tc>
      </w:tr>
    </w:tbl>
    <w:p>
      <w:pPr>
        <w:ind w:left="40"/>
        <w:spacing w:after="0"/>
        <w:tabs>
          <w:tab w:leader="none" w:pos="1060" w:val="left"/>
        </w:tabs>
        <w:rPr>
          <w:sz w:val="20"/>
          <w:szCs w:val="20"/>
          <w:color w:val="auto"/>
        </w:rPr>
      </w:pPr>
      <w:r>
        <w:rPr>
          <w:rFonts w:ascii="Times New Roman" w:cs="Times New Roman" w:eastAsia="Times New Roman" w:hAnsi="Times New Roman"/>
          <w:sz w:val="38"/>
          <w:szCs w:val="38"/>
          <w:color w:val="auto"/>
          <w:vertAlign w:val="superscript"/>
        </w:rPr>
        <w:t>101.CAL*</w:t>
      </w:r>
      <w:r>
        <w:rPr>
          <w:rFonts w:ascii="Times New Roman" w:cs="Times New Roman" w:eastAsia="Times New Roman" w:hAnsi="Times New Roman"/>
          <w:sz w:val="19"/>
          <w:szCs w:val="19"/>
          <w:color w:val="auto"/>
        </w:rPr>
        <w:tab/>
        <w:t xml:space="preserve">Linkbase. </w:t>
      </w:r>
      <w:r>
        <w:rPr>
          <w:rFonts w:ascii="Times New Roman" w:cs="Times New Roman" w:eastAsia="Times New Roman" w:hAnsi="Times New Roman"/>
          <w:sz w:val="19"/>
          <w:szCs w:val="19"/>
          <w:color w:val="B4B4B4"/>
        </w:rPr>
        <w:t>..............................................................</w:t>
      </w:r>
    </w:p>
    <w:p>
      <w:pPr>
        <w:ind w:left="1080"/>
        <w:spacing w:after="0" w:line="238" w:lineRule="auto"/>
        <w:rPr>
          <w:sz w:val="20"/>
          <w:szCs w:val="20"/>
          <w:color w:val="auto"/>
        </w:rPr>
      </w:pPr>
      <w:r>
        <w:rPr>
          <w:rFonts w:ascii="Times New Roman" w:cs="Times New Roman" w:eastAsia="Times New Roman" w:hAnsi="Times New Roman"/>
          <w:sz w:val="19"/>
          <w:szCs w:val="19"/>
          <w:color w:val="auto"/>
        </w:rPr>
        <w:t>Inline XBRL Taxonomy Extension Label</w:t>
      </w:r>
    </w:p>
    <w:p>
      <w:pPr>
        <w:ind w:left="40"/>
        <w:spacing w:after="0"/>
        <w:tabs>
          <w:tab w:leader="none" w:pos="1060" w:val="left"/>
        </w:tabs>
        <w:rPr>
          <w:sz w:val="20"/>
          <w:szCs w:val="20"/>
          <w:color w:val="auto"/>
        </w:rPr>
      </w:pPr>
      <w:r>
        <w:rPr>
          <w:rFonts w:ascii="Times New Roman" w:cs="Times New Roman" w:eastAsia="Times New Roman" w:hAnsi="Times New Roman"/>
          <w:sz w:val="38"/>
          <w:szCs w:val="38"/>
          <w:color w:val="auto"/>
          <w:vertAlign w:val="superscript"/>
        </w:rPr>
        <w:t>101.LAB*</w:t>
      </w:r>
      <w:r>
        <w:rPr>
          <w:rFonts w:ascii="Times New Roman" w:cs="Times New Roman" w:eastAsia="Times New Roman" w:hAnsi="Times New Roman"/>
          <w:sz w:val="19"/>
          <w:szCs w:val="19"/>
          <w:color w:val="auto"/>
        </w:rPr>
        <w:tab/>
        <w:t xml:space="preserve">Linkbase. </w:t>
      </w:r>
      <w:r>
        <w:rPr>
          <w:rFonts w:ascii="Times New Roman" w:cs="Times New Roman" w:eastAsia="Times New Roman" w:hAnsi="Times New Roman"/>
          <w:sz w:val="19"/>
          <w:szCs w:val="19"/>
          <w:color w:val="B4B4B4"/>
        </w:rPr>
        <w:t>..............................................................</w:t>
      </w:r>
    </w:p>
    <w:p>
      <w:pPr>
        <w:ind w:left="1080"/>
        <w:spacing w:after="0" w:line="227" w:lineRule="auto"/>
        <w:rPr>
          <w:sz w:val="20"/>
          <w:szCs w:val="20"/>
          <w:color w:val="auto"/>
        </w:rPr>
      </w:pPr>
      <w:r>
        <w:rPr>
          <w:rFonts w:ascii="Times New Roman" w:cs="Times New Roman" w:eastAsia="Times New Roman" w:hAnsi="Times New Roman"/>
          <w:sz w:val="19"/>
          <w:szCs w:val="19"/>
          <w:color w:val="auto"/>
        </w:rPr>
        <w:t>Inline XBRL Taxonomy Extension Presentation</w:t>
      </w:r>
    </w:p>
    <w:p>
      <w:pPr>
        <w:ind w:left="40"/>
        <w:spacing w:after="0"/>
        <w:tabs>
          <w:tab w:leader="none" w:pos="1060" w:val="left"/>
        </w:tabs>
        <w:rPr>
          <w:sz w:val="20"/>
          <w:szCs w:val="20"/>
          <w:color w:val="auto"/>
        </w:rPr>
      </w:pPr>
      <w:r>
        <w:rPr>
          <w:rFonts w:ascii="Times New Roman" w:cs="Times New Roman" w:eastAsia="Times New Roman" w:hAnsi="Times New Roman"/>
          <w:sz w:val="38"/>
          <w:szCs w:val="38"/>
          <w:color w:val="auto"/>
          <w:vertAlign w:val="superscript"/>
        </w:rPr>
        <w:t>101.PRE*</w:t>
      </w:r>
      <w:r>
        <w:rPr>
          <w:rFonts w:ascii="Times New Roman" w:cs="Times New Roman" w:eastAsia="Times New Roman" w:hAnsi="Times New Roman"/>
          <w:sz w:val="19"/>
          <w:szCs w:val="19"/>
          <w:color w:val="auto"/>
        </w:rPr>
        <w:tab/>
        <w:t xml:space="preserve">Linkbase.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27305</wp:posOffset>
                </wp:positionV>
                <wp:extent cx="293751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75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15pt" to="230.95pt,2.15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40" w:type="dxa"/>
            <w:vAlign w:val="bottom"/>
          </w:tcPr>
          <w:p>
            <w:pPr>
              <w:spacing w:after="0"/>
              <w:rPr>
                <w:sz w:val="18"/>
                <w:szCs w:val="18"/>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r>
      <w:tr>
        <w:trPr>
          <w:trHeight w:val="611"/>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right"/>
              <w:ind w:right="222"/>
              <w:spacing w:after="0"/>
              <w:rPr>
                <w:sz w:val="20"/>
                <w:szCs w:val="20"/>
                <w:color w:val="auto"/>
              </w:rPr>
            </w:pPr>
            <w:r>
              <w:rPr>
                <w:rFonts w:ascii="Times New Roman" w:cs="Times New Roman" w:eastAsia="Times New Roman" w:hAnsi="Times New Roman"/>
                <w:sz w:val="19"/>
                <w:szCs w:val="19"/>
                <w:color w:val="auto"/>
              </w:rPr>
              <w:t>2.1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September 4, 2024</w:t>
            </w:r>
          </w:p>
        </w:tc>
      </w:tr>
      <w:tr>
        <w:trPr>
          <w:trHeight w:val="815"/>
        </w:trPr>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001-36348</w:t>
            </w: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9"/>
                <w:szCs w:val="19"/>
                <w:color w:val="auto"/>
              </w:rPr>
              <w:t>19.1</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tabs>
          <w:tab w:leader="none" w:pos="960" w:val="left"/>
          <w:tab w:leader="none" w:pos="2260" w:val="left"/>
          <w:tab w:leader="none" w:pos="3160" w:val="left"/>
        </w:tabs>
        <w:rPr>
          <w:sz w:val="20"/>
          <w:szCs w:val="20"/>
          <w:color w:val="auto"/>
        </w:rPr>
      </w:pPr>
      <w:r>
        <w:rPr>
          <w:rFonts w:ascii="Times New Roman" w:cs="Times New Roman" w:eastAsia="Times New Roman" w:hAnsi="Times New Roman"/>
          <w:sz w:val="19"/>
          <w:szCs w:val="19"/>
          <w:color w:val="auto"/>
        </w:rPr>
        <w:t>10-K</w:t>
      </w:r>
      <w:r>
        <w:rPr>
          <w:sz w:val="20"/>
          <w:szCs w:val="20"/>
          <w:color w:val="auto"/>
        </w:rPr>
        <w:tab/>
      </w:r>
      <w:r>
        <w:rPr>
          <w:rFonts w:ascii="Times New Roman" w:cs="Times New Roman" w:eastAsia="Times New Roman" w:hAnsi="Times New Roman"/>
          <w:sz w:val="19"/>
          <w:szCs w:val="19"/>
          <w:color w:val="auto"/>
        </w:rPr>
        <w:t>001-36348</w:t>
      </w:r>
      <w:r>
        <w:rPr>
          <w:sz w:val="20"/>
          <w:szCs w:val="20"/>
          <w:color w:val="auto"/>
        </w:rPr>
        <w:tab/>
      </w:r>
      <w:r>
        <w:rPr>
          <w:rFonts w:ascii="Times New Roman" w:cs="Times New Roman" w:eastAsia="Times New Roman" w:hAnsi="Times New Roman"/>
          <w:sz w:val="19"/>
          <w:szCs w:val="19"/>
          <w:color w:val="auto"/>
        </w:rPr>
        <w:t>97.1</w:t>
      </w:r>
      <w:r>
        <w:rPr>
          <w:sz w:val="20"/>
          <w:szCs w:val="20"/>
          <w:color w:val="auto"/>
        </w:rPr>
        <w:tab/>
      </w:r>
      <w:r>
        <w:rPr>
          <w:rFonts w:ascii="Times New Roman" w:cs="Times New Roman" w:eastAsia="Times New Roman" w:hAnsi="Times New Roman"/>
          <w:sz w:val="19"/>
          <w:szCs w:val="19"/>
          <w:color w:val="auto"/>
        </w:rPr>
        <w:t>August 2, 2024</w:t>
      </w:r>
    </w:p>
    <w:p>
      <w:pPr>
        <w:spacing w:after="0" w:line="3949" w:lineRule="exact"/>
        <w:rPr>
          <w:sz w:val="20"/>
          <w:szCs w:val="20"/>
          <w:color w:val="auto"/>
        </w:rPr>
      </w:pPr>
    </w:p>
    <w:p>
      <w:pPr>
        <w:sectPr>
          <w:pgSz w:w="11880" w:h="15480" w:orient="portrait"/>
          <w:cols w:equalWidth="0" w:num="2">
            <w:col w:w="4920" w:space="60"/>
            <w:col w:w="4620"/>
          </w:cols>
          <w:pgMar w:left="1140" w:top="952" w:right="1140" w:bottom="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600"/>
          </w:cols>
          <w:pgMar w:left="1140" w:top="952" w:right="1140" w:bottom="0" w:gutter="0" w:footer="0" w:header="0"/>
          <w:type w:val="continuous"/>
        </w:sectPr>
      </w:pPr>
    </w:p>
    <w:bookmarkStart w:id="61" w:name="page62"/>
    <w:bookmarkEnd w:id="61"/>
    <w:tbl>
      <w:tblPr>
        <w:tblLayout w:type="fixed"/>
        <w:tblInd w:w="44" w:type="dxa"/>
        <w:tblCellMar>
          <w:top w:w="0" w:type="dxa"/>
          <w:left w:w="0" w:type="dxa"/>
          <w:bottom w:w="0" w:type="dxa"/>
          <w:right w:w="0" w:type="dxa"/>
        </w:tblCellMar>
      </w:tblPr>
      <w:tr>
        <w:trPr>
          <w:trHeight w:val="218"/>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320" w:type="dxa"/>
            <w:vAlign w:val="bottom"/>
            <w:tcBorders>
              <w:bottom w:val="single" w:sz="8" w:color="auto"/>
            </w:tcBorders>
          </w:tcPr>
          <w:p>
            <w:pPr>
              <w:spacing w:after="0"/>
              <w:rPr>
                <w:sz w:val="18"/>
                <w:szCs w:val="18"/>
                <w:color w:val="auto"/>
              </w:rPr>
            </w:pPr>
          </w:p>
        </w:tc>
      </w:tr>
      <w:tr>
        <w:trPr>
          <w:trHeight w:val="221"/>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52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Filing Date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61849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8.7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655320</wp:posOffset>
                </wp:positionH>
                <wp:positionV relativeFrom="paragraph">
                  <wp:posOffset>10160</wp:posOffset>
                </wp:positionV>
                <wp:extent cx="24669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6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6pt,0.8pt" to="245.85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3159760</wp:posOffset>
                </wp:positionH>
                <wp:positionV relativeFrom="paragraph">
                  <wp:posOffset>10160</wp:posOffset>
                </wp:positionV>
                <wp:extent cx="48958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5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pt,0.8pt" to="287.35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3686175</wp:posOffset>
                </wp:positionH>
                <wp:positionV relativeFrom="paragraph">
                  <wp:posOffset>10160</wp:posOffset>
                </wp:positionV>
                <wp:extent cx="72961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25pt,0.8pt" to="347.7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4453255</wp:posOffset>
                </wp:positionH>
                <wp:positionV relativeFrom="paragraph">
                  <wp:posOffset>10160</wp:posOffset>
                </wp:positionV>
                <wp:extent cx="54483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65pt,0.8pt" to="393.55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5034915</wp:posOffset>
                </wp:positionH>
                <wp:positionV relativeFrom="paragraph">
                  <wp:posOffset>10160</wp:posOffset>
                </wp:positionV>
                <wp:extent cx="106235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2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45pt,0.8pt" to="480.1pt,0.8pt" o:allowincell="f" strokecolor="#000000" strokeweight="1pt"/>
            </w:pict>
          </mc:Fallback>
        </mc:AlternateConten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101.DEF*</w:t>
            </w:r>
          </w:p>
        </w:tc>
        <w:tc>
          <w:tcPr>
            <w:tcW w:w="39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Inline XBRL Taxonomy Extension Definition</w:t>
            </w:r>
          </w:p>
        </w:tc>
        <w:tc>
          <w:tcPr>
            <w:tcW w:w="0" w:type="dxa"/>
            <w:vAlign w:val="bottom"/>
          </w:tcPr>
          <w:p>
            <w:pPr>
              <w:spacing w:after="0"/>
              <w:rPr>
                <w:sz w:val="1"/>
                <w:szCs w:val="1"/>
                <w:color w:val="auto"/>
              </w:rPr>
            </w:pPr>
          </w:p>
        </w:tc>
      </w:tr>
      <w:tr>
        <w:trPr>
          <w:trHeight w:val="145"/>
        </w:trPr>
        <w:tc>
          <w:tcPr>
            <w:tcW w:w="960" w:type="dxa"/>
            <w:vAlign w:val="bottom"/>
            <w:vMerge w:val="continue"/>
          </w:tcPr>
          <w:p>
            <w:pPr>
              <w:spacing w:after="0"/>
              <w:rPr>
                <w:sz w:val="12"/>
                <w:szCs w:val="12"/>
                <w:color w:val="auto"/>
              </w:rPr>
            </w:pPr>
          </w:p>
        </w:tc>
        <w:tc>
          <w:tcPr>
            <w:tcW w:w="3900" w:type="dxa"/>
            <w:vAlign w:val="bottom"/>
            <w:vMerge w:val="restart"/>
          </w:tcPr>
          <w:p>
            <w:pPr>
              <w:ind w:left="120"/>
              <w:spacing w:after="0"/>
              <w:rPr>
                <w:sz w:val="20"/>
                <w:szCs w:val="20"/>
                <w:color w:val="auto"/>
              </w:rPr>
            </w:pPr>
            <w:r>
              <w:rPr>
                <w:rFonts w:ascii="Times New Roman" w:cs="Times New Roman" w:eastAsia="Times New Roman" w:hAnsi="Times New Roman"/>
                <w:sz w:val="19"/>
                <w:szCs w:val="19"/>
                <w:color w:val="auto"/>
              </w:rPr>
              <w:t xml:space="preserve">Linkbase.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104*</w:t>
            </w:r>
          </w:p>
        </w:tc>
        <w:tc>
          <w:tcPr>
            <w:tcW w:w="39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Cover Page Interactive Data File (Formatted as</w:t>
            </w:r>
          </w:p>
        </w:tc>
        <w:tc>
          <w:tcPr>
            <w:tcW w:w="0" w:type="dxa"/>
            <w:vAlign w:val="bottom"/>
          </w:tcPr>
          <w:p>
            <w:pPr>
              <w:spacing w:after="0"/>
              <w:rPr>
                <w:sz w:val="1"/>
                <w:szCs w:val="1"/>
                <w:color w:val="auto"/>
              </w:rPr>
            </w:pPr>
          </w:p>
        </w:tc>
      </w:tr>
      <w:tr>
        <w:trPr>
          <w:trHeight w:val="145"/>
        </w:trPr>
        <w:tc>
          <w:tcPr>
            <w:tcW w:w="960" w:type="dxa"/>
            <w:vAlign w:val="bottom"/>
            <w:vMerge w:val="continue"/>
          </w:tcPr>
          <w:p>
            <w:pPr>
              <w:spacing w:after="0"/>
              <w:rPr>
                <w:sz w:val="12"/>
                <w:szCs w:val="12"/>
                <w:color w:val="auto"/>
              </w:rPr>
            </w:pPr>
          </w:p>
        </w:tc>
        <w:tc>
          <w:tcPr>
            <w:tcW w:w="3900" w:type="dxa"/>
            <w:vAlign w:val="bottom"/>
            <w:vMerge w:val="restart"/>
          </w:tcPr>
          <w:p>
            <w:pPr>
              <w:ind w:left="120"/>
              <w:spacing w:after="0"/>
              <w:rPr>
                <w:sz w:val="20"/>
                <w:szCs w:val="20"/>
                <w:color w:val="auto"/>
              </w:rPr>
            </w:pPr>
            <w:r>
              <w:rPr>
                <w:rFonts w:ascii="Times New Roman" w:cs="Times New Roman" w:eastAsia="Times New Roman" w:hAnsi="Times New Roman"/>
                <w:sz w:val="19"/>
                <w:szCs w:val="19"/>
                <w:color w:val="auto"/>
              </w:rPr>
              <w:t xml:space="preserve">Inline XBRL and contained in Exhibit 101). </w:t>
            </w:r>
            <w:r>
              <w:rPr>
                <w:rFonts w:ascii="Times New Roman" w:cs="Times New Roman" w:eastAsia="Times New Roman" w:hAnsi="Times New Roman"/>
                <w:sz w:val="19"/>
                <w:szCs w:val="19"/>
                <w:color w:val="B4B4B4"/>
              </w:rPr>
              <w:t>.......</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860" w:type="dxa"/>
            <w:vAlign w:val="bottom"/>
            <w:gridSpan w:val="2"/>
          </w:tcPr>
          <w:p>
            <w:pPr>
              <w:jc w:val="right"/>
              <w:ind w:right="783"/>
              <w:spacing w:after="0"/>
              <w:rPr>
                <w:sz w:val="20"/>
                <w:szCs w:val="20"/>
                <w:color w:val="auto"/>
              </w:rPr>
            </w:pPr>
            <w:r>
              <w:rPr>
                <w:rFonts w:ascii="Times New Roman" w:cs="Times New Roman" w:eastAsia="Times New Roman" w:hAnsi="Times New Roman"/>
                <w:sz w:val="19"/>
                <w:szCs w:val="19"/>
                <w:color w:val="auto"/>
              </w:rPr>
              <w:t>_________________________________________</w:t>
            </w:r>
          </w:p>
        </w:tc>
        <w:tc>
          <w:tcPr>
            <w:tcW w:w="0" w:type="dxa"/>
            <w:vAlign w:val="bottom"/>
          </w:tcPr>
          <w:p>
            <w:pPr>
              <w:spacing w:after="0"/>
              <w:rPr>
                <w:sz w:val="1"/>
                <w:szCs w:val="1"/>
                <w:color w:val="auto"/>
              </w:rPr>
            </w:pPr>
          </w:p>
        </w:tc>
      </w:tr>
    </w:tbl>
    <w:p>
      <w:pPr>
        <w:ind w:left="4" w:right="4720" w:hanging="4"/>
        <w:spacing w:after="0" w:line="255" w:lineRule="auto"/>
        <w:tabs>
          <w:tab w:leader="none" w:pos="353"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 compensatory plan or arrangement. * Filed herewith.</w:t>
      </w:r>
    </w:p>
    <w:p>
      <w:pPr>
        <w:spacing w:after="0" w:line="1"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Furnished herewith.</w:t>
      </w:r>
    </w:p>
    <w:p>
      <w:pPr>
        <w:sectPr>
          <w:pgSz w:w="11880" w:h="15480" w:orient="portrait"/>
          <w:cols w:equalWidth="0" w:num="1">
            <w:col w:w="9604"/>
          </w:cols>
          <w:pgMar w:left="1136" w:top="95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604"/>
          </w:cols>
          <w:pgMar w:left="1136" w:top="952" w:right="114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4" w:lineRule="exact"/>
        <w:rPr>
          <w:sz w:val="20"/>
          <w:szCs w:val="20"/>
          <w:color w:val="auto"/>
        </w:rPr>
      </w:pPr>
    </w:p>
    <w:p>
      <w:pPr>
        <w:ind w:firstLine="698"/>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PAYLOCITY HOLDING CORPORATION</w:t>
      </w:r>
    </w:p>
    <w:p>
      <w:pPr>
        <w:spacing w:after="0" w:line="342" w:lineRule="exact"/>
        <w:rPr>
          <w:sz w:val="20"/>
          <w:szCs w:val="20"/>
          <w:color w:val="auto"/>
        </w:rPr>
      </w:pPr>
    </w:p>
    <w:p>
      <w:pPr>
        <w:ind w:left="40"/>
        <w:spacing w:after="0"/>
        <w:tabs>
          <w:tab w:leader="none" w:pos="4620" w:val="left"/>
          <w:tab w:leader="none" w:pos="5160" w:val="left"/>
        </w:tabs>
        <w:rPr>
          <w:sz w:val="20"/>
          <w:szCs w:val="20"/>
          <w:color w:val="auto"/>
        </w:rPr>
      </w:pPr>
      <w:r>
        <w:rPr>
          <w:rFonts w:ascii="Times New Roman" w:cs="Times New Roman" w:eastAsia="Times New Roman" w:hAnsi="Times New Roman"/>
          <w:sz w:val="19"/>
          <w:szCs w:val="19"/>
          <w:color w:val="auto"/>
        </w:rPr>
        <w:t>Date: August 5, 2026</w:t>
      </w:r>
      <w:r>
        <w:rPr>
          <w:sz w:val="20"/>
          <w:szCs w:val="20"/>
          <w:color w:val="auto"/>
        </w:rPr>
        <w:tab/>
      </w:r>
      <w:r>
        <w:rPr>
          <w:rFonts w:ascii="Times New Roman" w:cs="Times New Roman" w:eastAsia="Times New Roman" w:hAnsi="Times New Roman"/>
          <w:sz w:val="19"/>
          <w:szCs w:val="19"/>
          <w:color w:val="auto"/>
        </w:rPr>
        <w:t>By:</w:t>
        <w:tab/>
        <w:t>/s/ Toby J. Williams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3184525</wp:posOffset>
                </wp:positionH>
                <wp:positionV relativeFrom="paragraph">
                  <wp:posOffset>38100</wp:posOffset>
                </wp:positionV>
                <wp:extent cx="29108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0840" cy="4763"/>
                        </a:xfrm>
                        <a:prstGeom prst="line">
                          <a:avLst/>
                        </a:prstGeom>
                        <a:solidFill>
                          <a:srgbClr val="FFFFFF"/>
                        </a:solidFill>
                        <a:ln w="9239">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75pt,3pt" to="479.95pt,3pt" o:allowincell="f" strokecolor="#000000" strokeweight="0.7275pt"/>
            </w:pict>
          </mc:Fallback>
        </mc:AlternateContent>
      </w:r>
    </w:p>
    <w:p>
      <w:pPr>
        <w:spacing w:after="0" w:line="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Toby J. Williams</w:t>
      </w:r>
    </w:p>
    <w:p>
      <w:pPr>
        <w:spacing w:after="0" w:line="7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President, Chief Executive Officer (Principal Executive</w:t>
      </w:r>
    </w:p>
    <w:p>
      <w:pPr>
        <w:spacing w:after="0" w:line="4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Officer) and Director</w:t>
      </w:r>
    </w:p>
    <w:p>
      <w:pPr>
        <w:sectPr>
          <w:pgSz w:w="11880" w:h="15480" w:orient="portrait"/>
          <w:cols w:equalWidth="0" w:num="1">
            <w:col w:w="9580"/>
          </w:cols>
          <w:pgMar w:left="1140" w:top="86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580"/>
          </w:cols>
          <w:pgMar w:left="1140" w:top="865" w:right="1160" w:bottom="0" w:gutter="0" w:footer="0" w:header="0"/>
          <w:type w:val="continuous"/>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SIGNATURES AND POWER OF ATTORNEY</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4"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indicated.</w:t>
      </w:r>
    </w:p>
    <w:p>
      <w:pPr>
        <w:spacing w:after="0" w:line="245" w:lineRule="exact"/>
        <w:rPr>
          <w:sz w:val="20"/>
          <w:szCs w:val="20"/>
          <w:color w:val="auto"/>
        </w:rPr>
      </w:pPr>
    </w:p>
    <w:p>
      <w:pPr>
        <w:ind w:left="1120"/>
        <w:spacing w:after="0"/>
        <w:tabs>
          <w:tab w:leader="none" w:pos="5300" w:val="left"/>
          <w:tab w:leader="none" w:pos="864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27305</wp:posOffset>
                </wp:positionV>
                <wp:extent cx="183769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9239">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15pt" to="144.55pt,2.15pt" o:allowincell="f" strokecolor="#000000" strokeweight="0.7275pt"/>
            </w:pict>
          </mc:Fallback>
        </mc:AlternateContent>
        <mc:AlternateContent>
          <mc:Choice Requires="wps">
            <w:drawing>
              <wp:anchor simplePos="0" relativeHeight="251657728" behindDoc="1" locked="0" layoutInCell="0" allowOverlap="1">
                <wp:simplePos x="0" y="0"/>
                <wp:positionH relativeFrom="column">
                  <wp:posOffset>1882140</wp:posOffset>
                </wp:positionH>
                <wp:positionV relativeFrom="paragraph">
                  <wp:posOffset>27305</wp:posOffset>
                </wp:positionV>
                <wp:extent cx="31781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8175" cy="4763"/>
                        </a:xfrm>
                        <a:prstGeom prst="line">
                          <a:avLst/>
                        </a:prstGeom>
                        <a:solidFill>
                          <a:srgbClr val="FFFFFF"/>
                        </a:solidFill>
                        <a:ln w="9239">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2pt,2.15pt" to="398.45pt,2.15pt" o:allowincell="f" strokecolor="#000000" strokeweight="0.7275pt"/>
            </w:pict>
          </mc:Fallback>
        </mc:AlternateContent>
        <mc:AlternateContent>
          <mc:Choice Requires="wps">
            <w:drawing>
              <wp:anchor simplePos="0" relativeHeight="251657728" behindDoc="1" locked="0" layoutInCell="0" allowOverlap="1">
                <wp:simplePos x="0" y="0"/>
                <wp:positionH relativeFrom="column">
                  <wp:posOffset>5106670</wp:posOffset>
                </wp:positionH>
                <wp:positionV relativeFrom="paragraph">
                  <wp:posOffset>27305</wp:posOffset>
                </wp:positionV>
                <wp:extent cx="98869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4763"/>
                        </a:xfrm>
                        <a:prstGeom prst="line">
                          <a:avLst/>
                        </a:prstGeom>
                        <a:solidFill>
                          <a:srgbClr val="FFFFFF"/>
                        </a:solidFill>
                        <a:ln w="9239">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1pt,2.15pt" to="479.95pt,2.15pt" o:allowincell="f" strokecolor="#000000" strokeweight="0.7275pt"/>
            </w:pict>
          </mc:Fallback>
        </mc:AlternateContent>
      </w:r>
    </w:p>
    <w:p>
      <w:pPr>
        <w:sectPr>
          <w:pgSz w:w="11880" w:h="15480" w:orient="portrait"/>
          <w:cols w:equalWidth="0" w:num="1">
            <w:col w:w="9540"/>
          </w:cols>
          <w:pgMar w:left="1140" w:top="865" w:right="1200" w:bottom="0" w:gutter="0" w:footer="0" w:header="0"/>
        </w:sectPr>
      </w:pPr>
    </w:p>
    <w:p>
      <w:pPr>
        <w:spacing w:after="0" w:line="346" w:lineRule="exact"/>
        <w:rPr>
          <w:sz w:val="20"/>
          <w:szCs w:val="20"/>
          <w:color w:val="auto"/>
        </w:rPr>
      </w:pPr>
    </w:p>
    <w:p>
      <w:pPr>
        <w:ind w:left="40" w:right="680"/>
        <w:spacing w:after="0" w:line="357" w:lineRule="auto"/>
        <w:rPr>
          <w:sz w:val="20"/>
          <w:szCs w:val="20"/>
          <w:color w:val="auto"/>
        </w:rPr>
      </w:pPr>
      <w:r>
        <w:rPr>
          <w:rFonts w:ascii="Times New Roman" w:cs="Times New Roman" w:eastAsia="Times New Roman" w:hAnsi="Times New Roman"/>
          <w:sz w:val="19"/>
          <w:szCs w:val="19"/>
          <w:color w:val="auto"/>
        </w:rPr>
        <w:t xml:space="preserve">/s/ Toby J. Williams </w:t>
      </w:r>
      <w:r>
        <w:rPr>
          <w:rFonts w:ascii="Times New Roman" w:cs="Times New Roman" w:eastAsia="Times New Roman" w:hAnsi="Times New Roman"/>
          <w:sz w:val="19"/>
          <w:szCs w:val="19"/>
          <w:b w:val="1"/>
          <w:bCs w:val="1"/>
          <w:i w:val="1"/>
          <w:iCs w:val="1"/>
          <w:color w:val="auto"/>
        </w:rPr>
        <w:t>Toby J. Williams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699pt"/>
            </w:pict>
          </mc:Fallback>
        </mc:AlternateConten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 Ryan Glenn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29845</wp:posOffset>
                </wp:positionV>
                <wp:extent cx="183769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35pt" to="144.55pt,2.35pt" o:allowincell="f" strokecolor="#000000" strokeweight="0.9699pt"/>
            </w:pict>
          </mc:Fallback>
        </mc:AlternateConten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Ryan Glenn</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 Nicholas Rost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29845</wp:posOffset>
                </wp:positionV>
                <wp:extent cx="183769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35pt" to="144.55pt,2.35pt" o:allowincell="f" strokecolor="#000000" strokeweight="0.9699pt"/>
            </w:pict>
          </mc:Fallback>
        </mc:AlternateConten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Nicholas Rost</w:t>
      </w:r>
    </w:p>
    <w:p>
      <w:pPr>
        <w:spacing w:after="0" w:line="351" w:lineRule="exact"/>
        <w:rPr>
          <w:sz w:val="20"/>
          <w:szCs w:val="20"/>
          <w:color w:val="auto"/>
        </w:rPr>
      </w:pPr>
    </w:p>
    <w:p>
      <w:pPr>
        <w:ind w:left="40" w:right="300"/>
        <w:spacing w:after="0" w:line="357" w:lineRule="auto"/>
        <w:rPr>
          <w:sz w:val="20"/>
          <w:szCs w:val="20"/>
          <w:color w:val="auto"/>
        </w:rPr>
      </w:pPr>
      <w:r>
        <w:rPr>
          <w:rFonts w:ascii="Times New Roman" w:cs="Times New Roman" w:eastAsia="Times New Roman" w:hAnsi="Times New Roman"/>
          <w:sz w:val="19"/>
          <w:szCs w:val="19"/>
          <w:color w:val="auto"/>
        </w:rPr>
        <w:t xml:space="preserve">/s/ Steven R. Beauchamp </w:t>
      </w:r>
      <w:r>
        <w:rPr>
          <w:rFonts w:ascii="Times New Roman" w:cs="Times New Roman" w:eastAsia="Times New Roman" w:hAnsi="Times New Roman"/>
          <w:sz w:val="19"/>
          <w:szCs w:val="19"/>
          <w:b w:val="1"/>
          <w:bCs w:val="1"/>
          <w:i w:val="1"/>
          <w:iCs w:val="1"/>
          <w:color w:val="auto"/>
        </w:rPr>
        <w:t>Steven R. Beauchamp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699pt"/>
            </w:pict>
          </mc:Fallback>
        </mc:AlternateContent>
      </w:r>
    </w:p>
    <w:p>
      <w:pPr>
        <w:spacing w:after="0" w:line="188" w:lineRule="exact"/>
        <w:rPr>
          <w:sz w:val="20"/>
          <w:szCs w:val="20"/>
          <w:color w:val="auto"/>
        </w:rPr>
      </w:pPr>
    </w:p>
    <w:p>
      <w:pPr>
        <w:ind w:left="40" w:right="720"/>
        <w:spacing w:after="0" w:line="357" w:lineRule="auto"/>
        <w:rPr>
          <w:sz w:val="20"/>
          <w:szCs w:val="20"/>
          <w:color w:val="auto"/>
        </w:rPr>
      </w:pPr>
      <w:r>
        <w:rPr>
          <w:rFonts w:ascii="Times New Roman" w:cs="Times New Roman" w:eastAsia="Times New Roman" w:hAnsi="Times New Roman"/>
          <w:sz w:val="19"/>
          <w:szCs w:val="19"/>
          <w:color w:val="auto"/>
        </w:rPr>
        <w:t xml:space="preserve">/s/ Linda M. Breard </w:t>
      </w:r>
      <w:r>
        <w:rPr>
          <w:rFonts w:ascii="Times New Roman" w:cs="Times New Roman" w:eastAsia="Times New Roman" w:hAnsi="Times New Roman"/>
          <w:sz w:val="19"/>
          <w:szCs w:val="19"/>
          <w:b w:val="1"/>
          <w:bCs w:val="1"/>
          <w:i w:val="1"/>
          <w:iCs w:val="1"/>
          <w:color w:val="auto"/>
        </w:rPr>
        <w:t>Linda M. Breard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699pt"/>
            </w:pict>
          </mc:Fallback>
        </mc:AlternateContent>
      </w:r>
    </w:p>
    <w:p>
      <w:pPr>
        <w:spacing w:after="0" w:line="188" w:lineRule="exact"/>
        <w:rPr>
          <w:sz w:val="20"/>
          <w:szCs w:val="20"/>
          <w:color w:val="auto"/>
        </w:rPr>
      </w:pPr>
    </w:p>
    <w:p>
      <w:pPr>
        <w:ind w:left="40" w:right="620"/>
        <w:spacing w:after="0" w:line="357" w:lineRule="auto"/>
        <w:rPr>
          <w:sz w:val="20"/>
          <w:szCs w:val="20"/>
          <w:color w:val="auto"/>
        </w:rPr>
      </w:pPr>
      <w:r>
        <w:rPr>
          <w:rFonts w:ascii="Times New Roman" w:cs="Times New Roman" w:eastAsia="Times New Roman" w:hAnsi="Times New Roman"/>
          <w:sz w:val="19"/>
          <w:szCs w:val="19"/>
          <w:color w:val="auto"/>
        </w:rPr>
        <w:t xml:space="preserve">/s/ Virginia G. Breen </w:t>
      </w:r>
      <w:r>
        <w:rPr>
          <w:rFonts w:ascii="Times New Roman" w:cs="Times New Roman" w:eastAsia="Times New Roman" w:hAnsi="Times New Roman"/>
          <w:sz w:val="19"/>
          <w:szCs w:val="19"/>
          <w:b w:val="1"/>
          <w:bCs w:val="1"/>
          <w:i w:val="1"/>
          <w:iCs w:val="1"/>
          <w:color w:val="auto"/>
        </w:rPr>
        <w:t>Virginia G. Breen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699pt"/>
            </w:pict>
          </mc:Fallback>
        </mc:AlternateContent>
      </w:r>
    </w:p>
    <w:p>
      <w:pPr>
        <w:spacing w:after="0" w:line="188" w:lineRule="exact"/>
        <w:rPr>
          <w:sz w:val="20"/>
          <w:szCs w:val="20"/>
          <w:color w:val="auto"/>
        </w:rPr>
      </w:pPr>
    </w:p>
    <w:p>
      <w:pPr>
        <w:ind w:left="40" w:right="660"/>
        <w:spacing w:after="0" w:line="357" w:lineRule="auto"/>
        <w:rPr>
          <w:sz w:val="20"/>
          <w:szCs w:val="20"/>
          <w:color w:val="auto"/>
        </w:rPr>
      </w:pPr>
      <w:r>
        <w:rPr>
          <w:rFonts w:ascii="Times New Roman" w:cs="Times New Roman" w:eastAsia="Times New Roman" w:hAnsi="Times New Roman"/>
          <w:sz w:val="19"/>
          <w:szCs w:val="19"/>
          <w:color w:val="auto"/>
        </w:rPr>
        <w:t xml:space="preserve">/s/ Craig A. Conway </w:t>
      </w:r>
      <w:r>
        <w:rPr>
          <w:rFonts w:ascii="Times New Roman" w:cs="Times New Roman" w:eastAsia="Times New Roman" w:hAnsi="Times New Roman"/>
          <w:sz w:val="19"/>
          <w:szCs w:val="19"/>
          <w:b w:val="1"/>
          <w:bCs w:val="1"/>
          <w:i w:val="1"/>
          <w:iCs w:val="1"/>
          <w:color w:val="auto"/>
        </w:rPr>
        <w:t>Craig A. Conway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699pt"/>
            </w:pict>
          </mc:Fallback>
        </mc:AlternateContent>
      </w:r>
    </w:p>
    <w:p>
      <w:pPr>
        <w:spacing w:after="0" w:line="203" w:lineRule="exact"/>
        <w:rPr>
          <w:sz w:val="20"/>
          <w:szCs w:val="20"/>
          <w:color w:val="auto"/>
        </w:rPr>
      </w:pPr>
    </w:p>
    <w:p>
      <w:pPr>
        <w:ind w:left="40" w:right="580"/>
        <w:spacing w:after="0" w:line="357" w:lineRule="auto"/>
        <w:rPr>
          <w:sz w:val="20"/>
          <w:szCs w:val="20"/>
          <w:color w:val="auto"/>
        </w:rPr>
      </w:pPr>
      <w:r>
        <w:rPr>
          <w:rFonts w:ascii="Times New Roman" w:cs="Times New Roman" w:eastAsia="Times New Roman" w:hAnsi="Times New Roman"/>
          <w:sz w:val="19"/>
          <w:szCs w:val="19"/>
          <w:color w:val="auto"/>
        </w:rPr>
        <w:t xml:space="preserve">/s/ Robin L. Pederson </w:t>
      </w:r>
      <w:r>
        <w:rPr>
          <w:rFonts w:ascii="Times New Roman" w:cs="Times New Roman" w:eastAsia="Times New Roman" w:hAnsi="Times New Roman"/>
          <w:sz w:val="19"/>
          <w:szCs w:val="19"/>
          <w:b w:val="1"/>
          <w:bCs w:val="1"/>
          <w:i w:val="1"/>
          <w:iCs w:val="1"/>
          <w:color w:val="auto"/>
        </w:rPr>
        <w:t>Robin L. Pederson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7pt"/>
            </w:pict>
          </mc:Fallback>
        </mc:AlternateContent>
      </w:r>
    </w:p>
    <w:p>
      <w:pPr>
        <w:spacing w:after="0" w:line="188" w:lineRule="exact"/>
        <w:rPr>
          <w:sz w:val="20"/>
          <w:szCs w:val="20"/>
          <w:color w:val="auto"/>
        </w:rPr>
      </w:pPr>
    </w:p>
    <w:p>
      <w:pPr>
        <w:ind w:left="40" w:right="660"/>
        <w:spacing w:after="0" w:line="357" w:lineRule="auto"/>
        <w:rPr>
          <w:sz w:val="20"/>
          <w:szCs w:val="20"/>
          <w:color w:val="auto"/>
        </w:rPr>
      </w:pPr>
      <w:r>
        <w:rPr>
          <w:rFonts w:ascii="Times New Roman" w:cs="Times New Roman" w:eastAsia="Times New Roman" w:hAnsi="Times New Roman"/>
          <w:sz w:val="19"/>
          <w:szCs w:val="19"/>
          <w:color w:val="auto"/>
        </w:rPr>
        <w:t xml:space="preserve">/s/ Andres D. Reiner </w:t>
      </w:r>
      <w:r>
        <w:rPr>
          <w:rFonts w:ascii="Times New Roman" w:cs="Times New Roman" w:eastAsia="Times New Roman" w:hAnsi="Times New Roman"/>
          <w:sz w:val="19"/>
          <w:szCs w:val="19"/>
          <w:b w:val="1"/>
          <w:bCs w:val="1"/>
          <w:i w:val="1"/>
          <w:iCs w:val="1"/>
          <w:color w:val="auto"/>
        </w:rPr>
        <w:t>Andres D. Reiner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7pt"/>
            </w:pict>
          </mc:Fallback>
        </mc:AlternateContent>
      </w:r>
    </w:p>
    <w:p>
      <w:pPr>
        <w:spacing w:after="0" w:line="188" w:lineRule="exact"/>
        <w:rPr>
          <w:sz w:val="20"/>
          <w:szCs w:val="20"/>
          <w:color w:val="auto"/>
        </w:rPr>
      </w:pPr>
    </w:p>
    <w:p>
      <w:pPr>
        <w:ind w:left="40" w:right="340"/>
        <w:spacing w:after="0" w:line="357" w:lineRule="auto"/>
        <w:rPr>
          <w:sz w:val="20"/>
          <w:szCs w:val="20"/>
          <w:color w:val="auto"/>
        </w:rPr>
      </w:pPr>
      <w:r>
        <w:rPr>
          <w:rFonts w:ascii="Times New Roman" w:cs="Times New Roman" w:eastAsia="Times New Roman" w:hAnsi="Times New Roman"/>
          <w:sz w:val="19"/>
          <w:szCs w:val="19"/>
          <w:color w:val="auto"/>
        </w:rPr>
        <w:t xml:space="preserve">/s/ Kenneth B. Robinson </w:t>
      </w:r>
      <w:r>
        <w:rPr>
          <w:rFonts w:ascii="Times New Roman" w:cs="Times New Roman" w:eastAsia="Times New Roman" w:hAnsi="Times New Roman"/>
          <w:sz w:val="19"/>
          <w:szCs w:val="19"/>
          <w:b w:val="1"/>
          <w:bCs w:val="1"/>
          <w:i w:val="1"/>
          <w:iCs w:val="1"/>
          <w:color w:val="auto"/>
        </w:rPr>
        <w:t>Kenneth B. Robinson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7pt"/>
            </w:pict>
          </mc:Fallback>
        </mc:AlternateContent>
      </w:r>
    </w:p>
    <w:p>
      <w:pPr>
        <w:spacing w:after="0" w:line="188" w:lineRule="exact"/>
        <w:rPr>
          <w:sz w:val="20"/>
          <w:szCs w:val="20"/>
          <w:color w:val="auto"/>
        </w:rPr>
      </w:pPr>
    </w:p>
    <w:p>
      <w:pPr>
        <w:ind w:left="40" w:right="600"/>
        <w:spacing w:after="0" w:line="357" w:lineRule="auto"/>
        <w:rPr>
          <w:sz w:val="20"/>
          <w:szCs w:val="20"/>
          <w:color w:val="auto"/>
        </w:rPr>
      </w:pPr>
      <w:r>
        <w:rPr>
          <w:rFonts w:ascii="Times New Roman" w:cs="Times New Roman" w:eastAsia="Times New Roman" w:hAnsi="Times New Roman"/>
          <w:sz w:val="19"/>
          <w:szCs w:val="19"/>
          <w:color w:val="auto"/>
        </w:rPr>
        <w:t xml:space="preserve">/s/ Steven I. Sarowitz </w:t>
      </w:r>
      <w:r>
        <w:rPr>
          <w:rFonts w:ascii="Times New Roman" w:cs="Times New Roman" w:eastAsia="Times New Roman" w:hAnsi="Times New Roman"/>
          <w:sz w:val="19"/>
          <w:szCs w:val="19"/>
          <w:b w:val="1"/>
          <w:bCs w:val="1"/>
          <w:i w:val="1"/>
          <w:iCs w:val="1"/>
          <w:color w:val="auto"/>
        </w:rPr>
        <w:t>Steven I. Sarowitz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-243840</wp:posOffset>
                </wp:positionV>
                <wp:extent cx="183769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1999pt" to="144.55pt,-19.1999pt" o:allowincell="f" strokecolor="#000000" strokeweight="0.97pt"/>
            </w:pict>
          </mc:Fallback>
        </mc:AlternateConten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President, Chief Executive Officer (Principal Executive</w:t>
      </w:r>
      <w:r>
        <w:rPr>
          <w:sz w:val="20"/>
          <w:szCs w:val="20"/>
          <w:color w:val="auto"/>
        </w:rPr>
        <w:tab/>
      </w:r>
      <w:r>
        <w:rPr>
          <w:rFonts w:ascii="Times New Roman" w:cs="Times New Roman" w:eastAsia="Times New Roman" w:hAnsi="Times New Roman"/>
          <w:sz w:val="19"/>
          <w:szCs w:val="19"/>
          <w:color w:val="auto"/>
        </w:rPr>
        <w:t>August 5, 2026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Officer) and Director</w:t>
      </w:r>
    </w:p>
    <w:p>
      <w:pPr>
        <w:spacing w:after="0" w:line="374"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Chief Financial Officer (Principal Financial Officer)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Vice President, Chief Accounting Officer and Treasurer</w:t>
      </w:r>
      <w:r>
        <w:rPr>
          <w:sz w:val="20"/>
          <w:szCs w:val="20"/>
          <w:color w:val="auto"/>
        </w:rPr>
        <w:tab/>
      </w:r>
      <w:r>
        <w:rPr>
          <w:rFonts w:ascii="Times New Roman" w:cs="Times New Roman" w:eastAsia="Times New Roman" w:hAnsi="Times New Roman"/>
          <w:sz w:val="19"/>
          <w:szCs w:val="19"/>
          <w:color w:val="auto"/>
        </w:rPr>
        <w:t>August 5, 2026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374"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Executive Chairman of the Board and 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644" w:lineRule="exact"/>
        <w:rPr>
          <w:sz w:val="20"/>
          <w:szCs w:val="20"/>
          <w:color w:val="auto"/>
        </w:rPr>
      </w:pPr>
    </w:p>
    <w:p>
      <w:pPr>
        <w:sectPr>
          <w:pgSz w:w="11880" w:h="15480" w:orient="portrait"/>
          <w:cols w:equalWidth="0" w:num="2">
            <w:col w:w="2300" w:space="720"/>
            <w:col w:w="6520"/>
          </w:cols>
          <w:pgMar w:left="1140" w:top="865"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540"/>
          </w:cols>
          <w:pgMar w:left="1140" w:top="865" w:right="1200" w:bottom="0" w:gutter="0" w:footer="0" w:header="0"/>
          <w:type w:val="continuous"/>
        </w:sectPr>
      </w:pPr>
    </w:p>
    <w:bookmarkStart w:id="64" w:name="page65"/>
    <w:bookmarkEnd w:id="64"/>
    <w:p>
      <w:pPr>
        <w:spacing w:after="0"/>
        <w:tabs>
          <w:tab w:leader="none" w:pos="2960" w:val="left"/>
          <w:tab w:leader="none" w:pos="8160" w:val="left"/>
        </w:tabs>
        <w:rPr>
          <w:sz w:val="20"/>
          <w:szCs w:val="20"/>
          <w:color w:val="auto"/>
        </w:rPr>
      </w:pPr>
      <w:r>
        <w:rPr>
          <w:rFonts w:ascii="Times New Roman" w:cs="Times New Roman" w:eastAsia="Times New Roman" w:hAnsi="Times New Roman"/>
          <w:sz w:val="19"/>
          <w:szCs w:val="19"/>
          <w:color w:val="auto"/>
        </w:rPr>
        <w:t>/s/ Ronald V. Waters, III</w:t>
      </w:r>
      <w:r>
        <w:rPr>
          <w:sz w:val="20"/>
          <w:szCs w:val="20"/>
          <w:color w:val="auto"/>
        </w:rPr>
        <w:tab/>
      </w: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5,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38100</wp:posOffset>
                </wp:positionV>
                <wp:extent cx="183769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9pt,3pt" to="142.55pt,3pt" o:allowincell="f" strokecolor="#000000" strokeweight="1pt"/>
            </w:pict>
          </mc:Fallback>
        </mc:AlternateConten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Ronald V. Waters, III</w:t>
      </w:r>
    </w:p>
    <w:p>
      <w:pPr>
        <w:sectPr>
          <w:pgSz w:w="11880" w:h="15480" w:orient="portrait"/>
          <w:cols w:equalWidth="0" w:num="1">
            <w:col w:w="9380"/>
          </w:cols>
          <w:pgMar w:left="1180" w:top="945"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380"/>
          </w:cols>
          <w:pgMar w:left="1180" w:top="945" w:right="1320" w:bottom="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66" w:name="page67"/>
    <w:bookmarkEnd w:id="66"/>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ectPr>
          <w:pgSz w:w="11880" w:h="15480" w:orient="portrait"/>
          <w:cols w:equalWidth="0" w:num="1">
            <w:col w:w="9420"/>
          </w:cols>
          <w:pgMar w:left="1180" w:top="865" w:right="1280" w:bottom="0" w:gutter="0" w:footer="0" w:header="0"/>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Report of Independent Registered Public Accounting Firm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Consolidated Balance Sheets as of June 30, 2025 and 2026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Consolidated Statements of Operations and Comprehensive Income for the years ended June 30, 2024, 2025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2026 </w:t>
      </w:r>
      <w:r>
        <w:rPr>
          <w:rFonts w:ascii="Times New Roman" w:cs="Times New Roman" w:eastAsia="Times New Roman" w:hAnsi="Times New Roman"/>
          <w:sz w:val="19"/>
          <w:szCs w:val="19"/>
          <w:color w:val="B4B4B4"/>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Consolidated Statements of Changes in Stockholders’ Equity for the years ended June 30, 2024, 2025 and 2026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Consolidated Statements of Cash Flows for the years ended June 30, 2024, 2025 and 2026 </w:t>
      </w:r>
      <w:r>
        <w:rPr>
          <w:rFonts w:ascii="Times New Roman" w:cs="Times New Roman" w:eastAsia="Times New Roman" w:hAnsi="Times New Roman"/>
          <w:sz w:val="19"/>
          <w:szCs w:val="19"/>
          <w:color w:val="B4B4B4"/>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Notes to the Consolidated Financial Statements</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-77470</wp:posOffset>
                </wp:positionH>
                <wp:positionV relativeFrom="paragraph">
                  <wp:posOffset>37465</wp:posOffset>
                </wp:positionV>
                <wp:extent cx="36893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935" cy="4763"/>
                        </a:xfrm>
                        <a:prstGeom prst="line">
                          <a:avLst/>
                        </a:prstGeom>
                        <a:solidFill>
                          <a:srgbClr val="FFFFFF"/>
                        </a:solidFill>
                        <a:ln w="9239">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99pt,2.95pt" to="22.95pt,2.95pt" o:allowincell="f" strokecolor="#000000" strokeweight="0.7275pt"/>
            </w:pict>
          </mc:Fallback>
        </mc:AlternateContent>
      </w:r>
    </w:p>
    <w:p>
      <w:pPr>
        <w:spacing w:after="0" w:line="342" w:lineRule="exact"/>
        <w:rPr>
          <w:sz w:val="20"/>
          <w:szCs w:val="20"/>
          <w:color w:val="auto"/>
        </w:rPr>
      </w:pPr>
    </w:p>
    <w:p>
      <w:pPr>
        <w:jc w:val="both"/>
        <w:ind w:left="40" w:right="20"/>
        <w:spacing w:after="0" w:line="390" w:lineRule="auto"/>
        <w:rPr>
          <w:sz w:val="20"/>
          <w:szCs w:val="20"/>
          <w:color w:val="auto"/>
        </w:rPr>
      </w:pPr>
      <w:r>
        <w:rPr>
          <w:rFonts w:ascii="Times New Roman" w:cs="Times New Roman" w:eastAsia="Times New Roman" w:hAnsi="Times New Roman"/>
          <w:sz w:val="18"/>
          <w:szCs w:val="18"/>
          <w:color w:val="auto"/>
        </w:rPr>
        <w:t>F-2 F-4</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F-5</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F-6</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F-7</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F-8</w:t>
      </w:r>
    </w:p>
    <w:p>
      <w:pPr>
        <w:spacing w:after="0" w:line="200" w:lineRule="exact"/>
        <w:rPr>
          <w:sz w:val="20"/>
          <w:szCs w:val="20"/>
          <w:color w:val="auto"/>
        </w:rPr>
      </w:pPr>
    </w:p>
    <w:p>
      <w:pPr>
        <w:sectPr>
          <w:pgSz w:w="11880" w:h="15480" w:orient="portrait"/>
          <w:cols w:equalWidth="0" w:num="2">
            <w:col w:w="8920" w:space="180"/>
            <w:col w:w="320"/>
          </w:cols>
          <w:pgMar w:left="1180" w:top="865" w:right="12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F-1</w:t>
      </w:r>
    </w:p>
    <w:p>
      <w:pPr>
        <w:sectPr>
          <w:pgSz w:w="11880" w:h="15480" w:orient="portrait"/>
          <w:cols w:equalWidth="0" w:num="1">
            <w:col w:w="9420"/>
          </w:cols>
          <w:pgMar w:left="1180" w:top="865" w:right="1280" w:bottom="0" w:gutter="0" w:footer="0" w:header="0"/>
          <w:type w:val="continuous"/>
        </w:sectPr>
      </w:pPr>
    </w:p>
    <w:bookmarkStart w:id="67" w:name="page68"/>
    <w:bookmarkEnd w:id="67"/>
    <w:p>
      <w:pPr>
        <w:ind w:left="236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and the Board of Directors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Paylocity Holding Corporation: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Consolidated Financial Statements and Internal Control Over Financial Reporting</w:t>
      </w:r>
    </w:p>
    <w:p>
      <w:pPr>
        <w:spacing w:after="0" w:line="21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Paylocity Holding Corporation and subsidiaries (the Company) as of June 30, 2026 and 2025, the related consolidated statements of operations and comprehensive income, changes in stockholders’ equity, and cash flows for each of the years in the three-year period ended June 30, 2026, and the related notes (collectively, the consolidated financial statements). We also have audited the Company’s internal control over financial reporting as of June 30, 2026, based on criteria established in Internal Control – Integrated Framework (2013) issued by the Committee of Sponsoring Organizations of the Treadway Commission.</w:t>
      </w:r>
    </w:p>
    <w:p>
      <w:pPr>
        <w:spacing w:after="0" w:line="1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In our opinion, the consolidated financial statements referred to above present fairly, in all material respects, the financial position of the Company as of June 30, 2026 and 2025, and the results of its operations and its cash flows for each of the years in the three-year period ended June 30, 2026, in conformity with U.S. generally accepted accounting principles. Also in our opinion, the Company maintained, in all material respects, effective internal control over financial reporting as of June 30, 2026 based on criteria established in Internal Control – Integrated Framework (2013) issued by the Committee of Sponsoring Organizations of the Treadway Commission.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1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1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540"/>
          </w:cols>
          <w:pgMar w:left="1140" w:top="865"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F-2</w:t>
      </w:r>
    </w:p>
    <w:p>
      <w:pPr>
        <w:sectPr>
          <w:pgSz w:w="11880" w:h="15480" w:orient="portrait"/>
          <w:cols w:equalWidth="0" w:num="1">
            <w:col w:w="9540"/>
          </w:cols>
          <w:pgMar w:left="1140" w:top="865" w:right="1200" w:bottom="0" w:gutter="0" w:footer="0" w:header="0"/>
          <w:type w:val="continuous"/>
        </w:sectPr>
      </w:pPr>
    </w:p>
    <w:bookmarkStart w:id="68" w:name="page69"/>
    <w:bookmarkEnd w:id="68"/>
    <w:p>
      <w:pPr>
        <w:jc w:val="both"/>
        <w:ind w:right="80"/>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w:t>
      </w:r>
    </w:p>
    <w:p>
      <w:pPr>
        <w:spacing w:after="0" w:line="19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Capitalized internal-use software development costs</w:t>
      </w:r>
    </w:p>
    <w:p>
      <w:pPr>
        <w:spacing w:after="0" w:line="210" w:lineRule="exact"/>
        <w:rPr>
          <w:sz w:val="20"/>
          <w:szCs w:val="20"/>
          <w:color w:val="auto"/>
        </w:rPr>
      </w:pPr>
    </w:p>
    <w:p>
      <w:pPr>
        <w:ind w:left="340"/>
        <w:spacing w:after="0" w:line="265" w:lineRule="auto"/>
        <w:rPr>
          <w:sz w:val="20"/>
          <w:szCs w:val="20"/>
          <w:color w:val="auto"/>
        </w:rPr>
      </w:pPr>
      <w:r>
        <w:rPr>
          <w:rFonts w:ascii="Times New Roman" w:cs="Times New Roman" w:eastAsia="Times New Roman" w:hAnsi="Times New Roman"/>
          <w:sz w:val="19"/>
          <w:szCs w:val="19"/>
          <w:color w:val="auto"/>
        </w:rPr>
        <w:t>As discussed in Notes 2 and 8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$143.6 million as of June 30, 2026. The Company capitalized approximately $81.8 million of internal-use software costs during the year ended June 30, 2026.</w:t>
      </w:r>
    </w:p>
    <w:p>
      <w:pPr>
        <w:spacing w:after="0" w:line="152" w:lineRule="exact"/>
        <w:rPr>
          <w:sz w:val="20"/>
          <w:szCs w:val="20"/>
          <w:color w:val="auto"/>
        </w:rPr>
      </w:pPr>
    </w:p>
    <w:p>
      <w:pPr>
        <w:ind w:left="340" w:right="600"/>
        <w:spacing w:after="0" w:line="293" w:lineRule="auto"/>
        <w:rPr>
          <w:sz w:val="20"/>
          <w:szCs w:val="20"/>
          <w:color w:val="auto"/>
        </w:rPr>
      </w:pPr>
      <w:r>
        <w:rPr>
          <w:rFonts w:ascii="Times New Roman" w:cs="Times New Roman" w:eastAsia="Times New Roman" w:hAnsi="Times New Roman"/>
          <w:sz w:val="19"/>
          <w:szCs w:val="19"/>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26" w:lineRule="exact"/>
        <w:rPr>
          <w:sz w:val="20"/>
          <w:szCs w:val="20"/>
          <w:color w:val="auto"/>
        </w:rPr>
      </w:pPr>
    </w:p>
    <w:p>
      <w:pPr>
        <w:ind w:left="340" w:right="100"/>
        <w:spacing w:after="0" w:line="262" w:lineRule="auto"/>
        <w:rPr>
          <w:sz w:val="20"/>
          <w:szCs w:val="20"/>
          <w:color w:val="auto"/>
        </w:rPr>
      </w:pPr>
      <w:r>
        <w:rPr>
          <w:rFonts w:ascii="Times New Roman" w:cs="Times New Roman" w:eastAsia="Times New Roman" w:hAnsi="Times New Roman"/>
          <w:sz w:val="19"/>
          <w:szCs w:val="19"/>
          <w:color w:val="auto"/>
        </w:rPr>
        <w:t>The following are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 KPMG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Chicago, Illinois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August 5, 2026</w:t>
      </w:r>
    </w:p>
    <w:p>
      <w:pPr>
        <w:sectPr>
          <w:pgSz w:w="11880" w:h="15480" w:orient="portrait"/>
          <w:cols w:equalWidth="0" w:num="1">
            <w:col w:w="9580"/>
          </w:cols>
          <w:pgMar w:left="1140" w:top="129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w:t>
      </w:r>
    </w:p>
    <w:p>
      <w:pPr>
        <w:sectPr>
          <w:pgSz w:w="11880" w:h="15480" w:orient="portrait"/>
          <w:cols w:equalWidth="0" w:num="1">
            <w:col w:w="9580"/>
          </w:cols>
          <w:pgMar w:left="1140" w:top="1299" w:right="1160" w:bottom="0" w:gutter="0" w:footer="0" w:header="0"/>
          <w:type w:val="continuous"/>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PAYLOCITY HOLDING CORPORATION</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9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21"/>
        </w:trPr>
        <w:tc>
          <w:tcPr>
            <w:tcW w:w="6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398,070</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271,917</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Accounts receivable, net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41,642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50,093</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contract costs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117,177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132,960</w:t>
            </w:r>
          </w:p>
        </w:tc>
        <w:tc>
          <w:tcPr>
            <w:tcW w:w="0" w:type="dxa"/>
            <w:vAlign w:val="bottom"/>
          </w:tcPr>
          <w:p>
            <w:pPr>
              <w:spacing w:after="0"/>
              <w:rPr>
                <w:sz w:val="1"/>
                <w:szCs w:val="1"/>
                <w:color w:val="auto"/>
              </w:rPr>
            </w:pPr>
          </w:p>
        </w:tc>
      </w:tr>
      <w:tr>
        <w:trPr>
          <w:trHeight w:val="253"/>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Prepaid expenses and other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50,943</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57,582</w:t>
            </w:r>
          </w:p>
        </w:tc>
        <w:tc>
          <w:tcPr>
            <w:tcW w:w="0" w:type="dxa"/>
            <w:vAlign w:val="bottom"/>
          </w:tcPr>
          <w:p>
            <w:pPr>
              <w:spacing w:after="0"/>
              <w:rPr>
                <w:sz w:val="1"/>
                <w:szCs w:val="1"/>
                <w:color w:val="auto"/>
              </w:rPr>
            </w:pPr>
          </w:p>
        </w:tc>
      </w:tr>
      <w:tr>
        <w:trPr>
          <w:trHeight w:val="222"/>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000000"/>
              </w:rPr>
              <w:t>Totalcurrentassetsbeforefundsheldforclients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607,832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512,552</w:t>
            </w:r>
          </w:p>
        </w:tc>
        <w:tc>
          <w:tcPr>
            <w:tcW w:w="0" w:type="dxa"/>
            <w:vAlign w:val="bottom"/>
          </w:tcPr>
          <w:p>
            <w:pPr>
              <w:spacing w:after="0"/>
              <w:rPr>
                <w:sz w:val="1"/>
                <w:szCs w:val="1"/>
                <w:color w:val="auto"/>
              </w:rPr>
            </w:pPr>
          </w:p>
        </w:tc>
      </w:tr>
      <w:tr>
        <w:trPr>
          <w:trHeight w:val="253"/>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Funds held for clients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2,704,137</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3,210,504</w:t>
            </w:r>
          </w:p>
        </w:tc>
        <w:tc>
          <w:tcPr>
            <w:tcW w:w="0" w:type="dxa"/>
            <w:vAlign w:val="bottom"/>
          </w:tcPr>
          <w:p>
            <w:pPr>
              <w:spacing w:after="0"/>
              <w:rPr>
                <w:sz w:val="1"/>
                <w:szCs w:val="1"/>
                <w:color w:val="auto"/>
              </w:rPr>
            </w:pPr>
          </w:p>
        </w:tc>
      </w:tr>
      <w:tr>
        <w:trPr>
          <w:trHeight w:val="222"/>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000000"/>
              </w:rPr>
              <w:t>Totalcurrentassets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3,311,969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3,723,056</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Capitalized internal-use software, net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132,317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143,594</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Property and equipment, net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54,210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71,403</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lease right-of-use assets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35,997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33,137</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Intangible assets, net</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92,671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86,140</w:t>
            </w:r>
          </w:p>
        </w:tc>
        <w:tc>
          <w:tcPr>
            <w:tcW w:w="0" w:type="dxa"/>
            <w:vAlign w:val="bottom"/>
          </w:tcPr>
          <w:p>
            <w:pPr>
              <w:spacing w:after="0"/>
              <w:rPr>
                <w:sz w:val="1"/>
                <w:szCs w:val="1"/>
                <w:color w:val="auto"/>
              </w:rPr>
            </w:pPr>
          </w:p>
        </w:tc>
      </w:tr>
      <w:tr>
        <w:trPr>
          <w:trHeight w:val="247"/>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Goodwill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343,100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378,964</w:t>
            </w:r>
          </w:p>
        </w:tc>
        <w:tc>
          <w:tcPr>
            <w:tcW w:w="0" w:type="dxa"/>
            <w:vAlign w:val="bottom"/>
          </w:tcPr>
          <w:p>
            <w:pPr>
              <w:spacing w:after="0"/>
              <w:rPr>
                <w:sz w:val="1"/>
                <w:szCs w:val="1"/>
                <w:color w:val="auto"/>
              </w:rPr>
            </w:pPr>
          </w:p>
        </w:tc>
      </w:tr>
      <w:tr>
        <w:trPr>
          <w:trHeight w:val="235"/>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Long-term deferred contract costs </w:t>
            </w:r>
            <w:r>
              <w:rPr>
                <w:rFonts w:ascii="Times New Roman" w:cs="Times New Roman" w:eastAsia="Times New Roman" w:hAnsi="Times New Roman"/>
                <w:sz w:val="19"/>
                <w:szCs w:val="19"/>
                <w:color w:val="B4B4B4"/>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393,671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426,226</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Long</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term prepaid expenses and other </w:t>
            </w:r>
            <w:r>
              <w:rPr>
                <w:rFonts w:ascii="Times New Roman" w:cs="Times New Roman" w:eastAsia="Times New Roman" w:hAnsi="Times New Roman"/>
                <w:sz w:val="19"/>
                <w:szCs w:val="19"/>
                <w:color w:val="B4B4B4"/>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7,739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10,363</w:t>
            </w:r>
          </w:p>
        </w:tc>
        <w:tc>
          <w:tcPr>
            <w:tcW w:w="0" w:type="dxa"/>
            <w:vAlign w:val="bottom"/>
          </w:tcPr>
          <w:p>
            <w:pPr>
              <w:spacing w:after="0"/>
              <w:rPr>
                <w:sz w:val="1"/>
                <w:szCs w:val="1"/>
                <w:color w:val="auto"/>
              </w:rPr>
            </w:pPr>
          </w:p>
        </w:tc>
      </w:tr>
      <w:tr>
        <w:trPr>
          <w:trHeight w:val="253"/>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income tax assets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17,754</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11,475</w:t>
            </w:r>
          </w:p>
        </w:tc>
        <w:tc>
          <w:tcPr>
            <w:tcW w:w="0" w:type="dxa"/>
            <w:vAlign w:val="bottom"/>
          </w:tcPr>
          <w:p>
            <w:pPr>
              <w:spacing w:after="0"/>
              <w:rPr>
                <w:sz w:val="1"/>
                <w:szCs w:val="1"/>
                <w:color w:val="auto"/>
              </w:rPr>
            </w:pPr>
          </w:p>
        </w:tc>
      </w:tr>
      <w:tr>
        <w:trPr>
          <w:trHeight w:val="211"/>
        </w:trPr>
        <w:tc>
          <w:tcPr>
            <w:tcW w:w="6960" w:type="dxa"/>
            <w:vAlign w:val="bottom"/>
          </w:tcPr>
          <w:p>
            <w:pPr>
              <w:jc w:val="right"/>
              <w:spacing w:after="0" w:line="211" w:lineRule="exact"/>
              <w:rPr>
                <w:sz w:val="20"/>
                <w:szCs w:val="20"/>
                <w:color w:val="auto"/>
              </w:rPr>
            </w:pPr>
            <w:r>
              <w:rPr>
                <w:rFonts w:ascii="Times New Roman" w:cs="Times New Roman" w:eastAsia="Times New Roman" w:hAnsi="Times New Roman"/>
                <w:sz w:val="19"/>
                <w:szCs w:val="19"/>
                <w:color w:val="B4B4B4"/>
              </w:rPr>
              <w:t>....................................................................................................................</w:t>
            </w:r>
            <w:r>
              <w:rPr>
                <w:rFonts w:ascii="Times New Roman" w:cs="Times New Roman" w:eastAsia="Times New Roman" w:hAnsi="Times New Roman"/>
                <w:sz w:val="19"/>
                <w:szCs w:val="19"/>
                <w:color w:val="000000"/>
              </w:rPr>
              <w:t>Totalassets</w:t>
            </w:r>
          </w:p>
        </w:tc>
        <w:tc>
          <w:tcPr>
            <w:tcW w:w="280" w:type="dxa"/>
            <w:vAlign w:val="bottom"/>
            <w:tcBorders>
              <w:bottom w:val="single" w:sz="8" w:color="auto"/>
            </w:tcBorders>
          </w:tcPr>
          <w:p>
            <w:pPr>
              <w:jc w:val="right"/>
              <w:ind w:right="23"/>
              <w:spacing w:after="0" w:line="211"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4,389,428</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83"/>
              <w:spacing w:after="0" w:line="211"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19"/>
                <w:szCs w:val="19"/>
                <w:color w:val="auto"/>
              </w:rPr>
              <w:t>4,884,358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Accounts payable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17,347</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10,944</w:t>
            </w:r>
          </w:p>
        </w:tc>
        <w:tc>
          <w:tcPr>
            <w:tcW w:w="0" w:type="dxa"/>
            <w:vAlign w:val="bottom"/>
          </w:tcPr>
          <w:p>
            <w:pPr>
              <w:spacing w:after="0"/>
              <w:rPr>
                <w:sz w:val="1"/>
                <w:szCs w:val="1"/>
                <w:color w:val="auto"/>
              </w:rPr>
            </w:pP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Accrued expenses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193,081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200,279</w:t>
            </w:r>
          </w:p>
        </w:tc>
        <w:tc>
          <w:tcPr>
            <w:tcW w:w="0" w:type="dxa"/>
            <w:vAlign w:val="bottom"/>
          </w:tcPr>
          <w:p>
            <w:pPr>
              <w:spacing w:after="0"/>
              <w:rPr>
                <w:sz w:val="1"/>
                <w:szCs w:val="1"/>
                <w:color w:val="auto"/>
              </w:rPr>
            </w:pP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current liabilities before client fund obligations </w:t>
            </w:r>
            <w:r>
              <w:rPr>
                <w:rFonts w:ascii="Times New Roman" w:cs="Times New Roman" w:eastAsia="Times New Roman" w:hAnsi="Times New Roman"/>
                <w:sz w:val="19"/>
                <w:szCs w:val="19"/>
                <w:color w:val="B4B4B4"/>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210,428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211,223</w:t>
            </w:r>
          </w:p>
        </w:tc>
        <w:tc>
          <w:tcPr>
            <w:tcW w:w="0" w:type="dxa"/>
            <w:vAlign w:val="bottom"/>
          </w:tcPr>
          <w:p>
            <w:pPr>
              <w:spacing w:after="0"/>
              <w:rPr>
                <w:sz w:val="1"/>
                <w:szCs w:val="1"/>
                <w:color w:val="auto"/>
              </w:rPr>
            </w:pP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Client fund obligations</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2,694,842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3,209,015</w:t>
            </w:r>
          </w:p>
        </w:tc>
        <w:tc>
          <w:tcPr>
            <w:tcW w:w="0" w:type="dxa"/>
            <w:vAlign w:val="bottom"/>
          </w:tcPr>
          <w:p>
            <w:pPr>
              <w:spacing w:after="0"/>
              <w:rPr>
                <w:sz w:val="1"/>
                <w:szCs w:val="1"/>
                <w:color w:val="auto"/>
              </w:rPr>
            </w:pP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current liabilities </w:t>
            </w:r>
            <w:r>
              <w:rPr>
                <w:rFonts w:ascii="Times New Roman" w:cs="Times New Roman" w:eastAsia="Times New Roman" w:hAnsi="Times New Roman"/>
                <w:sz w:val="19"/>
                <w:szCs w:val="19"/>
                <w:color w:val="B4B4B4"/>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2,905,270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3,420,238</w:t>
            </w:r>
          </w:p>
        </w:tc>
        <w:tc>
          <w:tcPr>
            <w:tcW w:w="0" w:type="dxa"/>
            <w:vAlign w:val="bottom"/>
          </w:tcPr>
          <w:p>
            <w:pPr>
              <w:spacing w:after="0"/>
              <w:rPr>
                <w:sz w:val="1"/>
                <w:szCs w:val="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Long-term debt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162,500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81,250</w:t>
            </w:r>
          </w:p>
        </w:tc>
        <w:tc>
          <w:tcPr>
            <w:tcW w:w="0" w:type="dxa"/>
            <w:vAlign w:val="bottom"/>
          </w:tcPr>
          <w:p>
            <w:pPr>
              <w:spacing w:after="0"/>
              <w:rPr>
                <w:sz w:val="1"/>
                <w:szCs w:val="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Long-term operating lease liabilities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46,772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42,200</w:t>
            </w:r>
          </w:p>
        </w:tc>
        <w:tc>
          <w:tcPr>
            <w:tcW w:w="0" w:type="dxa"/>
            <w:vAlign w:val="bottom"/>
          </w:tcPr>
          <w:p>
            <w:pPr>
              <w:spacing w:after="0"/>
              <w:rPr>
                <w:sz w:val="1"/>
                <w:szCs w:val="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long-term liabilities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8,580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12,930</w:t>
            </w:r>
          </w:p>
        </w:tc>
        <w:tc>
          <w:tcPr>
            <w:tcW w:w="0" w:type="dxa"/>
            <w:vAlign w:val="bottom"/>
          </w:tcPr>
          <w:p>
            <w:pPr>
              <w:spacing w:after="0"/>
              <w:rPr>
                <w:sz w:val="1"/>
                <w:szCs w:val="1"/>
                <w:color w:val="auto"/>
              </w:rPr>
            </w:pP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income tax liabilities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32,559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106,323</w:t>
            </w:r>
          </w:p>
        </w:tc>
        <w:tc>
          <w:tcPr>
            <w:tcW w:w="0" w:type="dxa"/>
            <w:vAlign w:val="bottom"/>
          </w:tcPr>
          <w:p>
            <w:pPr>
              <w:spacing w:after="0"/>
              <w:rPr>
                <w:sz w:val="1"/>
                <w:szCs w:val="1"/>
                <w:color w:val="auto"/>
              </w:rPr>
            </w:pP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 liabilities</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3,155,681</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3,662,941</w:t>
            </w:r>
          </w:p>
        </w:tc>
        <w:tc>
          <w:tcPr>
            <w:tcW w:w="0" w:type="dxa"/>
            <w:vAlign w:val="bottom"/>
          </w:tcPr>
          <w:p>
            <w:pPr>
              <w:spacing w:after="0"/>
              <w:rPr>
                <w:sz w:val="1"/>
                <w:szCs w:val="1"/>
                <w:color w:val="auto"/>
              </w:rPr>
            </w:pPr>
          </w:p>
        </w:tc>
      </w:tr>
      <w:tr>
        <w:trPr>
          <w:trHeight w:val="27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Stockholders’ equity: </w:t>
            </w:r>
            <w:r>
              <w:rPr>
                <w:rFonts w:ascii="Times New Roman" w:cs="Times New Roman" w:eastAsia="Times New Roman" w:hAnsi="Times New Roman"/>
                <w:sz w:val="19"/>
                <w:szCs w:val="19"/>
                <w:color w:val="B4B4B4"/>
              </w:rPr>
              <w:t>............................................................................................................</w:t>
            </w:r>
          </w:p>
        </w:tc>
        <w:tc>
          <w:tcPr>
            <w:tcW w:w="2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9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Preferred stock, $0.001 par value, 5,000 authorized, no shares issued and outstanding</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at June 30, 2025 and June 30, 2026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Common stock, $0.001 par value, 155,000 shares authorized at June 30, 2025 and June</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30, 2026; 55,366 shares issued and outstanding at June 30, 2025 and 53,271 shares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issued and outstanding at June 30, 2026 </w:t>
            </w:r>
            <w:r>
              <w:rPr>
                <w:rFonts w:ascii="Times New Roman" w:cs="Times New Roman" w:eastAsia="Times New Roman" w:hAnsi="Times New Roman"/>
                <w:sz w:val="19"/>
                <w:szCs w:val="19"/>
                <w:color w:val="B4B4B4"/>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0" w:type="dxa"/>
            <w:vAlign w:val="bottom"/>
          </w:tcPr>
          <w:p>
            <w:pPr>
              <w:spacing w:after="0"/>
              <w:rPr>
                <w:sz w:val="1"/>
                <w:szCs w:val="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Additional paid-in capital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327,518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52,271</w:t>
            </w:r>
          </w:p>
        </w:tc>
        <w:tc>
          <w:tcPr>
            <w:tcW w:w="0" w:type="dxa"/>
            <w:vAlign w:val="bottom"/>
          </w:tcPr>
          <w:p>
            <w:pPr>
              <w:spacing w:after="0"/>
              <w:rPr>
                <w:sz w:val="1"/>
                <w:szCs w:val="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Retained earnings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900,583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1,170,324</w:t>
            </w:r>
          </w:p>
        </w:tc>
        <w:tc>
          <w:tcPr>
            <w:tcW w:w="0" w:type="dxa"/>
            <w:vAlign w:val="bottom"/>
          </w:tcPr>
          <w:p>
            <w:pPr>
              <w:spacing w:after="0"/>
              <w:rPr>
                <w:sz w:val="1"/>
                <w:szCs w:val="1"/>
                <w:color w:val="auto"/>
              </w:rPr>
            </w:pP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Accumulated other comprehensive income (loss)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5,591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(1,231)</w:t>
            </w:r>
          </w:p>
        </w:tc>
        <w:tc>
          <w:tcPr>
            <w:tcW w:w="0" w:type="dxa"/>
            <w:vAlign w:val="bottom"/>
          </w:tcPr>
          <w:p>
            <w:pPr>
              <w:spacing w:after="0"/>
              <w:rPr>
                <w:sz w:val="1"/>
                <w:szCs w:val="1"/>
                <w:color w:val="auto"/>
              </w:rPr>
            </w:pPr>
          </w:p>
        </w:tc>
      </w:tr>
      <w:tr>
        <w:trPr>
          <w:trHeight w:val="27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stockholders' equity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1,233,747</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1,221,417</w:t>
            </w:r>
          </w:p>
        </w:tc>
        <w:tc>
          <w:tcPr>
            <w:tcW w:w="0" w:type="dxa"/>
            <w:vAlign w:val="bottom"/>
          </w:tcPr>
          <w:p>
            <w:pPr>
              <w:spacing w:after="0"/>
              <w:rPr>
                <w:sz w:val="1"/>
                <w:szCs w:val="1"/>
                <w:color w:val="auto"/>
              </w:rPr>
            </w:pPr>
          </w:p>
        </w:tc>
      </w:tr>
      <w:tr>
        <w:trPr>
          <w:trHeight w:val="252"/>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liabilities and stockholders’ equity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4,389,428</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4,884,358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-4341495</wp:posOffset>
            </wp:positionV>
            <wp:extent cx="1693545" cy="73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a:extLst>
                        <a:ext uri="{28A0092B-C50C-407E-A947-70E740481C1C}"/>
                      </a:extLst>
                    </a:blip>
                    <a:srcRect/>
                    <a:stretch>
                      <a:fillRect/>
                    </a:stretch>
                  </pic:blipFill>
                  <pic:spPr bwMode="auto">
                    <a:xfrm>
                      <a:off x="0" y="0"/>
                      <a:ext cx="1693545" cy="7366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-54610</wp:posOffset>
            </wp:positionV>
            <wp:extent cx="1693545" cy="73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6">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560"/>
          </w:cols>
          <w:pgMar w:left="118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F-4</w:t>
      </w:r>
    </w:p>
    <w:p>
      <w:pPr>
        <w:sectPr>
          <w:pgSz w:w="11880" w:h="15480" w:orient="portrait"/>
          <w:cols w:equalWidth="0" w:num="1">
            <w:col w:w="9560"/>
          </w:cols>
          <w:pgMar w:left="1180" w:top="865" w:right="1140" w:bottom="0" w:gutter="0" w:footer="0" w:header="0"/>
          <w:type w:val="continuous"/>
        </w:sectPr>
      </w:pPr>
    </w:p>
    <w:bookmarkStart w:id="70" w:name="page71"/>
    <w:bookmarkEnd w:id="70"/>
    <w:p>
      <w:pPr>
        <w:jc w:val="center"/>
        <w:ind w:right="40"/>
        <w:spacing w:after="0" w:line="276" w:lineRule="auto"/>
        <w:rPr>
          <w:sz w:val="20"/>
          <w:szCs w:val="20"/>
          <w:color w:val="auto"/>
        </w:rPr>
      </w:pPr>
      <w:r>
        <w:rPr>
          <w:rFonts w:ascii="Times New Roman" w:cs="Times New Roman" w:eastAsia="Times New Roman" w:hAnsi="Times New Roman"/>
          <w:sz w:val="19"/>
          <w:szCs w:val="19"/>
          <w:b w:val="1"/>
          <w:bCs w:val="1"/>
          <w:color w:val="auto"/>
        </w:rPr>
        <w:t>PAYLOCITY HOLDING CORPORATION Consolidated Statements of Operations and Comprehensive Income (in thousands,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7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Revenues: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Recurring and other revenue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1,281,680</w:t>
            </w:r>
          </w:p>
        </w:tc>
        <w:tc>
          <w:tcPr>
            <w:tcW w:w="36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1,471,801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1,651,362</w:t>
            </w:r>
          </w:p>
        </w:tc>
        <w:tc>
          <w:tcPr>
            <w:tcW w:w="0" w:type="dxa"/>
            <w:vAlign w:val="bottom"/>
          </w:tcPr>
          <w:p>
            <w:pPr>
              <w:spacing w:after="0"/>
              <w:rPr>
                <w:sz w:val="1"/>
                <w:szCs w:val="1"/>
                <w:color w:val="auto"/>
              </w:rPr>
            </w:pP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Interest income on funds held for clients</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120,835</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123,420</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119,964</w:t>
            </w:r>
          </w:p>
        </w:tc>
        <w:tc>
          <w:tcPr>
            <w:tcW w:w="0" w:type="dxa"/>
            <w:vAlign w:val="bottom"/>
          </w:tcPr>
          <w:p>
            <w:pPr>
              <w:spacing w:after="0"/>
              <w:rPr>
                <w:sz w:val="1"/>
                <w:szCs w:val="1"/>
                <w:color w:val="auto"/>
              </w:rPr>
            </w:pP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revenues </w:t>
            </w:r>
            <w:r>
              <w:rPr>
                <w:rFonts w:ascii="Times New Roman" w:cs="Times New Roman" w:eastAsia="Times New Roman" w:hAnsi="Times New Roman"/>
                <w:sz w:val="19"/>
                <w:szCs w:val="19"/>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1,402,515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1,595,221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1,771,326</w:t>
            </w:r>
          </w:p>
        </w:tc>
        <w:tc>
          <w:tcPr>
            <w:tcW w:w="0" w:type="dxa"/>
            <w:vAlign w:val="bottom"/>
          </w:tcPr>
          <w:p>
            <w:pPr>
              <w:spacing w:after="0"/>
              <w:rPr>
                <w:sz w:val="1"/>
                <w:szCs w:val="1"/>
                <w:color w:val="auto"/>
              </w:rPr>
            </w:pP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Cost of revenues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441,729</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498,223</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545,824</w:t>
            </w:r>
          </w:p>
        </w:tc>
        <w:tc>
          <w:tcPr>
            <w:tcW w:w="0" w:type="dxa"/>
            <w:vAlign w:val="bottom"/>
          </w:tcPr>
          <w:p>
            <w:pPr>
              <w:spacing w:after="0"/>
              <w:rPr>
                <w:sz w:val="1"/>
                <w:szCs w:val="1"/>
                <w:color w:val="auto"/>
              </w:rPr>
            </w:pP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Gross profit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960,786</w:t>
            </w:r>
          </w:p>
        </w:tc>
        <w:tc>
          <w:tcPr>
            <w:tcW w:w="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1,096,998</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1,225,502</w:t>
            </w:r>
          </w:p>
        </w:tc>
        <w:tc>
          <w:tcPr>
            <w:tcW w:w="0" w:type="dxa"/>
            <w:vAlign w:val="bottom"/>
          </w:tcPr>
          <w:p>
            <w:pPr>
              <w:spacing w:after="0"/>
              <w:rPr>
                <w:sz w:val="1"/>
                <w:szCs w:val="1"/>
                <w:color w:val="auto"/>
              </w:rPr>
            </w:pPr>
          </w:p>
        </w:tc>
      </w:tr>
      <w:tr>
        <w:trPr>
          <w:trHeight w:val="27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expenses: </w:t>
            </w:r>
            <w:r>
              <w:rPr>
                <w:rFonts w:ascii="Times New Roman" w:cs="Times New Roman" w:eastAsia="Times New Roman" w:hAnsi="Times New Roman"/>
                <w:sz w:val="19"/>
                <w:szCs w:val="19"/>
                <w:color w:val="B4B4B4"/>
              </w:rPr>
              <w:t>..................................................................................</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Sales and marketing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334,954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374,216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393,878</w:t>
            </w:r>
          </w:p>
        </w:tc>
        <w:tc>
          <w:tcPr>
            <w:tcW w:w="0" w:type="dxa"/>
            <w:vAlign w:val="bottom"/>
          </w:tcPr>
          <w:p>
            <w:pPr>
              <w:spacing w:after="0"/>
              <w:rPr>
                <w:sz w:val="1"/>
                <w:szCs w:val="1"/>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178,333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205,851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221,389</w:t>
            </w:r>
          </w:p>
        </w:tc>
        <w:tc>
          <w:tcPr>
            <w:tcW w:w="0" w:type="dxa"/>
            <w:vAlign w:val="bottom"/>
          </w:tcPr>
          <w:p>
            <w:pPr>
              <w:spacing w:after="0"/>
              <w:rPr>
                <w:sz w:val="1"/>
                <w:szCs w:val="1"/>
                <w:color w:val="auto"/>
              </w:rPr>
            </w:pP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187,406</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212,907</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224,242</w:t>
            </w:r>
          </w:p>
        </w:tc>
        <w:tc>
          <w:tcPr>
            <w:tcW w:w="0" w:type="dxa"/>
            <w:vAlign w:val="bottom"/>
          </w:tcPr>
          <w:p>
            <w:pPr>
              <w:spacing w:after="0"/>
              <w:rPr>
                <w:sz w:val="1"/>
                <w:szCs w:val="1"/>
                <w:color w:val="auto"/>
              </w:rPr>
            </w:pPr>
          </w:p>
        </w:tc>
      </w:tr>
      <w:tr>
        <w:trPr>
          <w:trHeight w:val="27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operating expenses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700,693</w:t>
            </w:r>
          </w:p>
        </w:tc>
        <w:tc>
          <w:tcPr>
            <w:tcW w:w="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792,974</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839,509</w:t>
            </w:r>
          </w:p>
        </w:tc>
        <w:tc>
          <w:tcPr>
            <w:tcW w:w="0" w:type="dxa"/>
            <w:vAlign w:val="bottom"/>
          </w:tcPr>
          <w:p>
            <w:pPr>
              <w:spacing w:after="0"/>
              <w:rPr>
                <w:sz w:val="1"/>
                <w:szCs w:val="1"/>
                <w:color w:val="auto"/>
              </w:rPr>
            </w:pP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income </w:t>
            </w:r>
            <w:r>
              <w:rPr>
                <w:rFonts w:ascii="Times New Roman" w:cs="Times New Roman" w:eastAsia="Times New Roman" w:hAnsi="Times New Roman"/>
                <w:sz w:val="19"/>
                <w:szCs w:val="19"/>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260,093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385,993</w:t>
            </w:r>
          </w:p>
        </w:tc>
        <w:tc>
          <w:tcPr>
            <w:tcW w:w="0" w:type="dxa"/>
            <w:vAlign w:val="bottom"/>
          </w:tcPr>
          <w:p>
            <w:pPr>
              <w:spacing w:after="0"/>
              <w:rPr>
                <w:sz w:val="1"/>
                <w:szCs w:val="1"/>
                <w:color w:val="auto"/>
              </w:rPr>
            </w:pP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income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16,922</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5,039</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1,310</w:t>
            </w:r>
          </w:p>
        </w:tc>
        <w:tc>
          <w:tcPr>
            <w:tcW w:w="0" w:type="dxa"/>
            <w:vAlign w:val="bottom"/>
          </w:tcPr>
          <w:p>
            <w:pPr>
              <w:spacing w:after="0"/>
              <w:rPr>
                <w:sz w:val="1"/>
                <w:szCs w:val="1"/>
                <w:color w:val="auto"/>
              </w:rPr>
            </w:pP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Income before income taxes </w:t>
            </w:r>
            <w:r>
              <w:rPr>
                <w:rFonts w:ascii="Times New Roman" w:cs="Times New Roman" w:eastAsia="Times New Roman" w:hAnsi="Times New Roman"/>
                <w:sz w:val="19"/>
                <w:szCs w:val="19"/>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277,015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309,063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387,303</w:t>
            </w:r>
          </w:p>
        </w:tc>
        <w:tc>
          <w:tcPr>
            <w:tcW w:w="0" w:type="dxa"/>
            <w:vAlign w:val="bottom"/>
          </w:tcPr>
          <w:p>
            <w:pPr>
              <w:spacing w:after="0"/>
              <w:rPr>
                <w:sz w:val="1"/>
                <w:szCs w:val="1"/>
                <w:color w:val="auto"/>
              </w:rPr>
            </w:pP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Income tax expense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70,249</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81,936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117,562</w:t>
            </w:r>
          </w:p>
        </w:tc>
        <w:tc>
          <w:tcPr>
            <w:tcW w:w="0" w:type="dxa"/>
            <w:vAlign w:val="bottom"/>
          </w:tcPr>
          <w:p>
            <w:pPr>
              <w:spacing w:after="0"/>
              <w:rPr>
                <w:sz w:val="1"/>
                <w:szCs w:val="1"/>
                <w:color w:val="auto"/>
              </w:rPr>
            </w:pPr>
          </w:p>
        </w:tc>
      </w:tr>
      <w:tr>
        <w:trPr>
          <w:trHeight w:val="252"/>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income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206,766</w:t>
            </w:r>
          </w:p>
        </w:tc>
        <w:tc>
          <w:tcPr>
            <w:tcW w:w="36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227,127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269,741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Other comprehensive income (loss), net of tax</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640" w:type="dxa"/>
            <w:vAlign w:val="bottom"/>
            <w:vMerge w:val="continue"/>
          </w:tcPr>
          <w:p>
            <w:pPr>
              <w:jc w:val="right"/>
              <w:spacing w:after="0" w:line="189" w:lineRule="exact"/>
              <w:rPr>
                <w:sz w:val="20"/>
                <w:szCs w:val="20"/>
                <w:color w:val="auto"/>
              </w:rPr>
            </w:pP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3,579</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6,527</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(6,822)</w:t>
            </w:r>
          </w:p>
        </w:tc>
        <w:tc>
          <w:tcPr>
            <w:tcW w:w="0" w:type="dxa"/>
            <w:vAlign w:val="bottom"/>
          </w:tcPr>
          <w:p>
            <w:pPr>
              <w:spacing w:after="0"/>
              <w:rPr>
                <w:sz w:val="1"/>
                <w:szCs w:val="1"/>
                <w:color w:val="auto"/>
              </w:rPr>
            </w:pPr>
          </w:p>
        </w:tc>
      </w:tr>
      <w:tr>
        <w:trPr>
          <w:trHeight w:val="250"/>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Comprehensive income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210,345</w:t>
            </w:r>
          </w:p>
        </w:tc>
        <w:tc>
          <w:tcPr>
            <w:tcW w:w="36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233,654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262,919</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5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Basic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3.68</w:t>
            </w:r>
          </w:p>
        </w:tc>
        <w:tc>
          <w:tcPr>
            <w:tcW w:w="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4.08</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4.99</w:t>
            </w:r>
          </w:p>
        </w:tc>
        <w:tc>
          <w:tcPr>
            <w:tcW w:w="0" w:type="dxa"/>
            <w:vAlign w:val="bottom"/>
          </w:tcPr>
          <w:p>
            <w:pPr>
              <w:spacing w:after="0"/>
              <w:rPr>
                <w:sz w:val="1"/>
                <w:szCs w:val="1"/>
                <w:color w:val="auto"/>
              </w:rPr>
            </w:pPr>
          </w:p>
        </w:tc>
      </w:tr>
      <w:tr>
        <w:trPr>
          <w:trHeight w:val="20"/>
        </w:trPr>
        <w:tc>
          <w:tcPr>
            <w:tcW w:w="5640" w:type="dxa"/>
            <w:vAlign w:val="bottom"/>
            <w:vMerge w:val="restart"/>
          </w:tcPr>
          <w:p>
            <w:pPr>
              <w:jc w:val="right"/>
              <w:ind w:right="4783"/>
              <w:spacing w:after="0"/>
              <w:rPr>
                <w:sz w:val="20"/>
                <w:szCs w:val="20"/>
                <w:color w:val="auto"/>
              </w:rPr>
            </w:pPr>
            <w:r>
              <w:rPr>
                <w:rFonts w:ascii="Times New Roman" w:cs="Times New Roman" w:eastAsia="Times New Roman" w:hAnsi="Times New Roman"/>
                <w:sz w:val="19"/>
                <w:szCs w:val="19"/>
                <w:color w:val="auto"/>
              </w:rPr>
              <w:t>Diluted</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40" w:type="dxa"/>
            <w:vAlign w:val="bottom"/>
            <w:vMerge w:val="continue"/>
          </w:tcPr>
          <w:p>
            <w:pPr>
              <w:jc w:val="right"/>
              <w:spacing w:after="0" w:line="189" w:lineRule="exact"/>
              <w:rPr>
                <w:sz w:val="20"/>
                <w:szCs w:val="20"/>
                <w:color w:val="auto"/>
              </w:rPr>
            </w:pPr>
            <w:r>
              <w:rPr>
                <w:rFonts w:ascii="Times New Roman" w:cs="Times New Roman" w:eastAsia="Times New Roman" w:hAnsi="Times New Roman"/>
                <w:sz w:val="19"/>
                <w:szCs w:val="19"/>
                <w:color w:val="B4B4B4"/>
              </w:rPr>
              <w:t>...................................................................................................</w:t>
            </w: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3.63</w:t>
            </w:r>
          </w:p>
        </w:tc>
        <w:tc>
          <w:tcPr>
            <w:tcW w:w="4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4.02</w:t>
            </w: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4.92</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Weighted-average shares used in computing net income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5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Basic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56,214</w:t>
            </w:r>
          </w:p>
        </w:tc>
        <w:tc>
          <w:tcPr>
            <w:tcW w:w="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55,649</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54,082</w:t>
            </w:r>
          </w:p>
        </w:tc>
        <w:tc>
          <w:tcPr>
            <w:tcW w:w="0" w:type="dxa"/>
            <w:vAlign w:val="bottom"/>
          </w:tcPr>
          <w:p>
            <w:pPr>
              <w:spacing w:after="0"/>
              <w:rPr>
                <w:sz w:val="1"/>
                <w:szCs w:val="1"/>
                <w:color w:val="auto"/>
              </w:rPr>
            </w:pPr>
          </w:p>
        </w:tc>
      </w:tr>
      <w:tr>
        <w:trPr>
          <w:trHeight w:val="20"/>
        </w:trPr>
        <w:tc>
          <w:tcPr>
            <w:tcW w:w="5640" w:type="dxa"/>
            <w:vAlign w:val="bottom"/>
            <w:vMerge w:val="restart"/>
          </w:tcPr>
          <w:p>
            <w:pPr>
              <w:jc w:val="right"/>
              <w:ind w:right="4783"/>
              <w:spacing w:after="0"/>
              <w:rPr>
                <w:sz w:val="20"/>
                <w:szCs w:val="20"/>
                <w:color w:val="auto"/>
              </w:rPr>
            </w:pPr>
            <w:r>
              <w:rPr>
                <w:rFonts w:ascii="Times New Roman" w:cs="Times New Roman" w:eastAsia="Times New Roman" w:hAnsi="Times New Roman"/>
                <w:sz w:val="19"/>
                <w:szCs w:val="19"/>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40" w:type="dxa"/>
            <w:vAlign w:val="bottom"/>
            <w:vMerge w:val="continue"/>
          </w:tcPr>
          <w:p>
            <w:pPr>
              <w:jc w:val="right"/>
              <w:spacing w:after="0" w:line="189" w:lineRule="exact"/>
              <w:rPr>
                <w:sz w:val="20"/>
                <w:szCs w:val="20"/>
                <w:color w:val="auto"/>
              </w:rPr>
            </w:pP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56,976</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56,550</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54,770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-1920875</wp:posOffset>
            </wp:positionV>
            <wp:extent cx="2534920" cy="73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7">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-1551305</wp:posOffset>
            </wp:positionV>
            <wp:extent cx="2534920" cy="7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-988060</wp:posOffset>
            </wp:positionV>
            <wp:extent cx="2534920" cy="73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9">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-803275</wp:posOffset>
            </wp:positionV>
            <wp:extent cx="2534920" cy="73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-239395</wp:posOffset>
            </wp:positionV>
            <wp:extent cx="2534920" cy="73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1">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-54610</wp:posOffset>
            </wp:positionV>
            <wp:extent cx="2534920" cy="73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2">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560"/>
          </w:cols>
          <w:pgMar w:left="118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F-5</w:t>
      </w:r>
    </w:p>
    <w:p>
      <w:pPr>
        <w:sectPr>
          <w:pgSz w:w="11880" w:h="15480" w:orient="portrait"/>
          <w:cols w:equalWidth="0" w:num="1">
            <w:col w:w="9560"/>
          </w:cols>
          <w:pgMar w:left="1180" w:top="865" w:right="1140" w:bottom="0" w:gutter="0" w:footer="0" w:header="0"/>
          <w:type w:val="continuous"/>
        </w:sectPr>
      </w:pPr>
    </w:p>
    <w:bookmarkStart w:id="71" w:name="page72"/>
    <w:bookmarkEnd w:id="71"/>
    <w:p>
      <w:pPr>
        <w:jc w:val="center"/>
        <w:ind w:right="40"/>
        <w:spacing w:after="0" w:line="289" w:lineRule="auto"/>
        <w:rPr>
          <w:sz w:val="20"/>
          <w:szCs w:val="20"/>
          <w:color w:val="auto"/>
        </w:rPr>
      </w:pPr>
      <w:r>
        <w:rPr>
          <w:rFonts w:ascii="Times New Roman" w:cs="Times New Roman" w:eastAsia="Times New Roman" w:hAnsi="Times New Roman"/>
          <w:sz w:val="19"/>
          <w:szCs w:val="19"/>
          <w:b w:val="1"/>
          <w:bCs w:val="1"/>
          <w:color w:val="auto"/>
        </w:rPr>
        <w:t>PAYLOCITY HOLDING CORPORATION Consolidated Statements of Changes in Stockholders’ Equity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80" w:type="dxa"/>
            <w:vAlign w:val="bottom"/>
          </w:tcPr>
          <w:p>
            <w:pPr>
              <w:spacing w:after="0"/>
              <w:rPr>
                <w:sz w:val="15"/>
                <w:szCs w:val="15"/>
                <w:color w:val="auto"/>
              </w:rPr>
            </w:pPr>
          </w:p>
        </w:tc>
        <w:tc>
          <w:tcPr>
            <w:tcW w:w="212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2"/>
              <w:spacing w:after="0" w:line="177"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2"/>
              <w:spacing w:after="0" w:line="177"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62"/>
              <w:spacing w:after="0" w:line="177"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62"/>
              <w:spacing w:after="0" w:line="157"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2"/>
              <w:spacing w:after="0" w:line="157"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3"/>
                <w:szCs w:val="13"/>
                <w:color w:val="auto"/>
              </w:rPr>
            </w:pPr>
          </w:p>
        </w:tc>
        <w:tc>
          <w:tcPr>
            <w:tcW w:w="116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1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1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 xml:space="preserve">Balances at June 30, 2023 </w:t>
            </w:r>
            <w:r>
              <w:rPr>
                <w:rFonts w:ascii="Times New Roman" w:cs="Times New Roman" w:eastAsia="Times New Roman" w:hAnsi="Times New Roman"/>
                <w:sz w:val="16"/>
                <w:szCs w:val="16"/>
                <w:b w:val="1"/>
                <w:bCs w:val="1"/>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55,912</w:t>
            </w:r>
          </w:p>
        </w:tc>
        <w:tc>
          <w:tcPr>
            <w:tcW w:w="96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380,632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466,690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842,863</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Stock-based compensation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163,602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163,602</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Stock options exercised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vesting of equity awards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employee stock purchase plan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19,143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awards</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(54,632)</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Repurchases of common shares </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(150,340)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(150,340)</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securities, net</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of tax</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0" w:type="dxa"/>
            <w:vAlign w:val="bottom"/>
          </w:tcPr>
          <w:p>
            <w:pPr>
              <w:spacing w:after="0"/>
              <w:rPr>
                <w:sz w:val="1"/>
                <w:szCs w:val="1"/>
                <w:color w:val="auto"/>
              </w:rPr>
            </w:pPr>
          </w:p>
        </w:tc>
      </w:tr>
      <w:tr>
        <w:trPr>
          <w:trHeight w:val="251"/>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Net income </w:t>
            </w:r>
            <w:r>
              <w:rPr>
                <w:rFonts w:ascii="Times New Roman" w:cs="Times New Roman" w:eastAsia="Times New Roman" w:hAnsi="Times New Roman"/>
                <w:sz w:val="16"/>
                <w:szCs w:val="16"/>
                <w:color w:val="B4B4B4"/>
                <w:w w:val="9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206,766</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206,766</w:t>
            </w: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 xml:space="preserve">Balances at June 30, 2024 </w:t>
            </w:r>
            <w:r>
              <w:rPr>
                <w:rFonts w:ascii="Times New Roman" w:cs="Times New Roman" w:eastAsia="Times New Roman" w:hAnsi="Times New Roman"/>
                <w:sz w:val="16"/>
                <w:szCs w:val="16"/>
                <w:b w:val="1"/>
                <w:bCs w:val="1"/>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55,514</w:t>
            </w:r>
          </w:p>
        </w:tc>
        <w:tc>
          <w:tcPr>
            <w:tcW w:w="96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360,488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673,456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1,033,064</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Stock-based compensation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157,337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157,337</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Stock options exercised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4,692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vesting of equity awards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employee stock purchase plan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19,682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awards</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(64,725)</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Repurchases of common shares </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(149,956)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(149,957)</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securities, net</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of tax</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adjustments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51"/>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Net income </w:t>
            </w:r>
            <w:r>
              <w:rPr>
                <w:rFonts w:ascii="Times New Roman" w:cs="Times New Roman" w:eastAsia="Times New Roman" w:hAnsi="Times New Roman"/>
                <w:sz w:val="16"/>
                <w:szCs w:val="16"/>
                <w:color w:val="B4B4B4"/>
                <w:w w:val="9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227,127</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227,127</w:t>
            </w: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 xml:space="preserve">Balances at June 30, 2025 </w:t>
            </w:r>
            <w:r>
              <w:rPr>
                <w:rFonts w:ascii="Times New Roman" w:cs="Times New Roman" w:eastAsia="Times New Roman" w:hAnsi="Times New Roman"/>
                <w:sz w:val="16"/>
                <w:szCs w:val="16"/>
                <w:b w:val="1"/>
                <w:bCs w:val="1"/>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55,366</w:t>
            </w:r>
          </w:p>
        </w:tc>
        <w:tc>
          <w:tcPr>
            <w:tcW w:w="96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327,518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900,583</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1,233,747</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Stock-based compensation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151,422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151,422</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vesting of equity awards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employee stock purchase plan </w:t>
            </w:r>
            <w:r>
              <w:rPr>
                <w:rFonts w:ascii="Times New Roman" w:cs="Times New Roman" w:eastAsia="Times New Roman" w:hAnsi="Times New Roman"/>
                <w:sz w:val="16"/>
                <w:szCs w:val="16"/>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18,222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18,222</w:t>
            </w: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for taxes related to</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equity awards</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(43,686)</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Repurchases of common shares </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(401,205)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(401,207)</w:t>
            </w: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securities, net</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of tax</w:t>
            </w:r>
            <w:r>
              <w:rPr>
                <w:rFonts w:ascii="Times New Roman" w:cs="Times New Roman" w:eastAsia="Times New Roman" w:hAnsi="Times New Roman"/>
                <w:sz w:val="16"/>
                <w:szCs w:val="16"/>
                <w:color w:val="B4B4B4"/>
                <w:w w:val="9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adjustments </w:t>
            </w:r>
            <w:r>
              <w:rPr>
                <w:rFonts w:ascii="Times New Roman" w:cs="Times New Roman" w:eastAsia="Times New Roman" w:hAnsi="Times New Roman"/>
                <w:sz w:val="16"/>
                <w:szCs w:val="16"/>
                <w:color w:val="B4B4B4"/>
                <w:w w:val="97"/>
              </w:rPr>
              <w:t>......................................</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51"/>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Net income </w:t>
            </w:r>
            <w:r>
              <w:rPr>
                <w:rFonts w:ascii="Times New Roman" w:cs="Times New Roman" w:eastAsia="Times New Roman" w:hAnsi="Times New Roman"/>
                <w:sz w:val="16"/>
                <w:szCs w:val="16"/>
                <w:color w:val="B4B4B4"/>
                <w:w w:val="9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269,741</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269,741</w:t>
            </w: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 xml:space="preserve">Balances at June 30, 2026 </w:t>
            </w:r>
            <w:r>
              <w:rPr>
                <w:rFonts w:ascii="Times New Roman" w:cs="Times New Roman" w:eastAsia="Times New Roman" w:hAnsi="Times New Roman"/>
                <w:sz w:val="16"/>
                <w:szCs w:val="16"/>
                <w:b w:val="1"/>
                <w:bCs w:val="1"/>
                <w:color w:val="B4B4B4"/>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53,271</w:t>
            </w:r>
          </w:p>
        </w:tc>
        <w:tc>
          <w:tcPr>
            <w:tcW w:w="96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52,271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1,170,324</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1,221,417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-54610</wp:posOffset>
            </wp:positionV>
            <wp:extent cx="4669155" cy="73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a:extLst>
                        <a:ext uri="{28A0092B-C50C-407E-A947-70E740481C1C}"/>
                      </a:extLst>
                    </a:blip>
                    <a:srcRect/>
                    <a:stretch>
                      <a:fillRect/>
                    </a:stretch>
                  </pic:blipFill>
                  <pic:spPr bwMode="auto">
                    <a:xfrm>
                      <a:off x="0" y="0"/>
                      <a:ext cx="4669155" cy="73660"/>
                    </a:xfrm>
                    <a:prstGeom prst="rect">
                      <a:avLst/>
                    </a:prstGeom>
                    <a:noFill/>
                  </pic:spPr>
                </pic:pic>
              </a:graphicData>
            </a:graphic>
          </wp:anchor>
        </w:drawing>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560"/>
          </w:cols>
          <w:pgMar w:left="118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F-6</w:t>
      </w:r>
    </w:p>
    <w:p>
      <w:pPr>
        <w:sectPr>
          <w:pgSz w:w="11880" w:h="15480" w:orient="portrait"/>
          <w:cols w:equalWidth="0" w:num="1">
            <w:col w:w="9560"/>
          </w:cols>
          <w:pgMar w:left="1180" w:top="865" w:right="1140" w:bottom="0" w:gutter="0" w:footer="0" w:header="0"/>
          <w:type w:val="continuous"/>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PAYLOCITY HOLDING CORPORATION</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income </w:t>
            </w:r>
            <w:r>
              <w:rPr>
                <w:rFonts w:ascii="Times New Roman" w:cs="Times New Roman" w:eastAsia="Times New Roman" w:hAnsi="Times New Roman"/>
                <w:sz w:val="16"/>
                <w:szCs w:val="16"/>
                <w:color w:val="B4B4B4"/>
                <w:w w:val="99"/>
              </w:rPr>
              <w:t>........................................................................................................................</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206,766</w:t>
            </w:r>
          </w:p>
        </w:tc>
        <w:tc>
          <w:tcPr>
            <w:tcW w:w="38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227,127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269,741</w:t>
            </w:r>
          </w:p>
        </w:tc>
        <w:tc>
          <w:tcPr>
            <w:tcW w:w="0" w:type="dxa"/>
            <w:vAlign w:val="bottom"/>
          </w:tcPr>
          <w:p>
            <w:pPr>
              <w:spacing w:after="0"/>
              <w:rPr>
                <w:sz w:val="1"/>
                <w:szCs w:val="1"/>
                <w:color w:val="auto"/>
              </w:rPr>
            </w:pPr>
          </w:p>
        </w:tc>
      </w:tr>
      <w:tr>
        <w:trPr>
          <w:trHeight w:val="247"/>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Adjustments to reconcile net income to net cash provided by operating activities</w:t>
            </w:r>
            <w:r>
              <w:rPr>
                <w:rFonts w:ascii="Times New Roman" w:cs="Times New Roman" w:eastAsia="Times New Roman" w:hAnsi="Times New Roman"/>
                <w:sz w:val="16"/>
                <w:szCs w:val="16"/>
                <w:color w:val="B4B4B4"/>
                <w:w w:val="99"/>
              </w:rPr>
              <w: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142,820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138,657</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Depreciation and amortization expense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99,636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111,797</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Deferred income tax expense (benefit)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82,947</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Provision for credit losses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20"/>
        </w:trPr>
        <w:tc>
          <w:tcPr>
            <w:tcW w:w="56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Net amortization of premiums (accretion of discounts) on available-for-sale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6"/>
                <w:szCs w:val="16"/>
                <w:color w:val="B4B4B4"/>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Changes in operating assets and liabilities: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receivable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Deferred contract costs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(47,933)</w:t>
            </w:r>
          </w:p>
        </w:tc>
        <w:tc>
          <w:tcPr>
            <w:tcW w:w="0" w:type="dxa"/>
            <w:vAlign w:val="bottom"/>
          </w:tcPr>
          <w:p>
            <w:pPr>
              <w:spacing w:after="0"/>
              <w:rPr>
                <w:sz w:val="1"/>
                <w:szCs w:val="1"/>
                <w:color w:val="auto"/>
              </w:rPr>
            </w:pPr>
          </w:p>
        </w:tc>
      </w:tr>
      <w:tr>
        <w:trPr>
          <w:trHeight w:val="205"/>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Prepaid expenses and other </w:t>
            </w:r>
            <w:r>
              <w:rPr>
                <w:rFonts w:ascii="Times New Roman" w:cs="Times New Roman" w:eastAsia="Times New Roman" w:hAnsi="Times New Roman"/>
                <w:sz w:val="16"/>
                <w:szCs w:val="16"/>
                <w:color w:val="B4B4B4"/>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0" w:type="dxa"/>
            <w:vAlign w:val="bottom"/>
          </w:tcPr>
          <w:p>
            <w:pPr>
              <w:spacing w:after="0"/>
              <w:rPr>
                <w:sz w:val="1"/>
                <w:szCs w:val="1"/>
                <w:color w:val="auto"/>
              </w:rPr>
            </w:pPr>
          </w:p>
        </w:tc>
      </w:tr>
      <w:tr>
        <w:trPr>
          <w:trHeight w:val="202"/>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payable </w:t>
            </w:r>
            <w:r>
              <w:rPr>
                <w:rFonts w:ascii="Times New Roman" w:cs="Times New Roman" w:eastAsia="Times New Roman" w:hAnsi="Times New Roman"/>
                <w:sz w:val="16"/>
                <w:szCs w:val="16"/>
                <w:color w:val="B4B4B4"/>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7,287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w:t>
            </w:r>
          </w:p>
        </w:tc>
        <w:tc>
          <w:tcPr>
            <w:tcW w:w="0" w:type="dxa"/>
            <w:vAlign w:val="bottom"/>
          </w:tcPr>
          <w:p>
            <w:pPr>
              <w:spacing w:after="0"/>
              <w:rPr>
                <w:sz w:val="1"/>
                <w:szCs w:val="1"/>
                <w:color w:val="auto"/>
              </w:rPr>
            </w:pPr>
          </w:p>
        </w:tc>
      </w:tr>
      <w:tr>
        <w:trPr>
          <w:trHeight w:val="239"/>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Accrued expenses and other </w:t>
            </w:r>
            <w:r>
              <w:rPr>
                <w:rFonts w:ascii="Times New Roman" w:cs="Times New Roman" w:eastAsia="Times New Roman" w:hAnsi="Times New Roman"/>
                <w:sz w:val="16"/>
                <w:szCs w:val="16"/>
                <w:color w:val="B4B4B4"/>
              </w:rPr>
              <w: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13,315</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18,460</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07"/>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cash provided by operating activities </w:t>
            </w:r>
            <w:r>
              <w:rPr>
                <w:rFonts w:ascii="Times New Roman" w:cs="Times New Roman" w:eastAsia="Times New Roman" w:hAnsi="Times New Roman"/>
                <w:sz w:val="16"/>
                <w:szCs w:val="16"/>
                <w:color w:val="B4B4B4"/>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418,226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533,252</w:t>
            </w:r>
          </w:p>
        </w:tc>
        <w:tc>
          <w:tcPr>
            <w:tcW w:w="0" w:type="dxa"/>
            <w:vAlign w:val="bottom"/>
          </w:tcPr>
          <w:p>
            <w:pPr>
              <w:spacing w:after="0"/>
              <w:rPr>
                <w:sz w:val="1"/>
                <w:szCs w:val="1"/>
                <w:color w:val="auto"/>
              </w:rPr>
            </w:pPr>
          </w:p>
        </w:tc>
      </w:tr>
      <w:tr>
        <w:trPr>
          <w:trHeight w:val="233"/>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Purchases of available-for-sale securities</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(260,997)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(271,378)</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Proceeds from sales and maturities of available-for-sale securities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160,067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272,115</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Capitalized internal-use software costs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(69,302)</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Purchases of property and equipment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(36,152)</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Acquisitions of businesses, net of cash and funds held for clients acquired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(277,851)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(49,183)</w:t>
            </w:r>
          </w:p>
        </w:tc>
        <w:tc>
          <w:tcPr>
            <w:tcW w:w="0" w:type="dxa"/>
            <w:vAlign w:val="bottom"/>
          </w:tcPr>
          <w:p>
            <w:pPr>
              <w:spacing w:after="0"/>
              <w:rPr>
                <w:sz w:val="1"/>
                <w:szCs w:val="1"/>
                <w:color w:val="auto"/>
              </w:rPr>
            </w:pPr>
          </w:p>
        </w:tc>
      </w:tr>
      <w:tr>
        <w:trPr>
          <w:trHeight w:val="252"/>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Other investing activities </w:t>
            </w:r>
            <w:r>
              <w:rPr>
                <w:rFonts w:ascii="Times New Roman" w:cs="Times New Roman" w:eastAsia="Times New Roman" w:hAnsi="Times New Roman"/>
                <w:sz w:val="16"/>
                <w:szCs w:val="16"/>
                <w:color w:val="B4B4B4"/>
                <w:w w:val="99"/>
              </w:rPr>
              <w: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0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cash used in investing activities </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(154,793)</w:t>
            </w:r>
          </w:p>
        </w:tc>
        <w:tc>
          <w:tcPr>
            <w:tcW w:w="0" w:type="dxa"/>
            <w:vAlign w:val="bottom"/>
          </w:tcPr>
          <w:p>
            <w:pPr>
              <w:spacing w:after="0"/>
              <w:rPr>
                <w:sz w:val="1"/>
                <w:szCs w:val="1"/>
                <w:color w:val="auto"/>
              </w:rPr>
            </w:pPr>
          </w:p>
        </w:tc>
      </w:tr>
      <w:tr>
        <w:trPr>
          <w:trHeight w:val="233"/>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change in client fund obligations </w:t>
            </w:r>
            <w:r>
              <w:rPr>
                <w:rFonts w:ascii="Times New Roman" w:cs="Times New Roman" w:eastAsia="Times New Roman" w:hAnsi="Times New Roman"/>
                <w:sz w:val="16"/>
                <w:szCs w:val="16"/>
                <w:color w:val="B4B4B4"/>
                <w:w w:val="99"/>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325,056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514,173</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Borrowings under credit facility</w:t>
            </w:r>
            <w:r>
              <w:rPr>
                <w:rFonts w:ascii="Times New Roman" w:cs="Times New Roman" w:eastAsia="Times New Roman" w:hAnsi="Times New Roman"/>
                <w:sz w:val="16"/>
                <w:szCs w:val="16"/>
                <w:color w:val="B4B4B4"/>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325,000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Repayment of credit facility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(81,250)</w:t>
            </w:r>
          </w:p>
        </w:tc>
        <w:tc>
          <w:tcPr>
            <w:tcW w:w="0" w:type="dxa"/>
            <w:vAlign w:val="bottom"/>
          </w:tcPr>
          <w:p>
            <w:pPr>
              <w:spacing w:after="0"/>
              <w:rPr>
                <w:sz w:val="1"/>
                <w:szCs w:val="1"/>
                <w:color w:val="auto"/>
              </w:rPr>
            </w:pPr>
          </w:p>
        </w:tc>
      </w:tr>
      <w:tr>
        <w:trPr>
          <w:trHeight w:val="247"/>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Repurchases of common shares </w:t>
            </w:r>
            <w:r>
              <w:rPr>
                <w:rFonts w:ascii="Times New Roman" w:cs="Times New Roman" w:eastAsia="Times New Roman" w:hAnsi="Times New Roman"/>
                <w:sz w:val="16"/>
                <w:szCs w:val="16"/>
                <w:color w:val="B4B4B4"/>
                <w:w w:val="99"/>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(398,113)</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Proceeds from employee stock purchase plan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18,222</w:t>
            </w:r>
          </w:p>
        </w:tc>
        <w:tc>
          <w:tcPr>
            <w:tcW w:w="0" w:type="dxa"/>
            <w:vAlign w:val="bottom"/>
          </w:tcPr>
          <w:p>
            <w:pPr>
              <w:spacing w:after="0"/>
              <w:rPr>
                <w:sz w:val="1"/>
                <w:szCs w:val="1"/>
                <w:color w:val="auto"/>
              </w:rPr>
            </w:pPr>
          </w:p>
        </w:tc>
      </w:tr>
      <w:tr>
        <w:trPr>
          <w:trHeight w:val="218"/>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Taxes paid related to net share settlement of equity awards </w:t>
            </w:r>
            <w:r>
              <w:rPr>
                <w:rFonts w:ascii="Times New Roman" w:cs="Times New Roman" w:eastAsia="Times New Roman" w:hAnsi="Times New Roman"/>
                <w:sz w:val="16"/>
                <w:szCs w:val="16"/>
                <w:color w:val="B4B4B4"/>
                <w:w w:val="99"/>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(43,686)</w:t>
            </w:r>
          </w:p>
        </w:tc>
        <w:tc>
          <w:tcPr>
            <w:tcW w:w="0" w:type="dxa"/>
            <w:vAlign w:val="bottom"/>
          </w:tcPr>
          <w:p>
            <w:pPr>
              <w:spacing w:after="0"/>
              <w:rPr>
                <w:sz w:val="1"/>
                <w:szCs w:val="1"/>
                <w:color w:val="auto"/>
              </w:rPr>
            </w:pPr>
          </w:p>
        </w:tc>
      </w:tr>
      <w:tr>
        <w:trPr>
          <w:trHeight w:val="223"/>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Other financing activities </w:t>
            </w:r>
            <w:r>
              <w:rPr>
                <w:rFonts w:ascii="Times New Roman" w:cs="Times New Roman" w:eastAsia="Times New Roman" w:hAnsi="Times New Roman"/>
                <w:sz w:val="16"/>
                <w:szCs w:val="16"/>
                <w:color w:val="B4B4B4"/>
                <w:w w:val="99"/>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cash provided by (used in) financing activities </w:t>
            </w:r>
            <w:r>
              <w:rPr>
                <w:rFonts w:ascii="Times New Roman" w:cs="Times New Roman" w:eastAsia="Times New Roman" w:hAnsi="Times New Roman"/>
                <w:sz w:val="16"/>
                <w:szCs w:val="16"/>
                <w:color w:val="B4B4B4"/>
              </w:rPr>
              <w: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141,578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(325,821)</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8,981</w:t>
            </w:r>
          </w:p>
        </w:tc>
        <w:tc>
          <w:tcPr>
            <w:tcW w:w="0" w:type="dxa"/>
            <w:vAlign w:val="bottom"/>
          </w:tcPr>
          <w:p>
            <w:pPr>
              <w:spacing w:after="0"/>
              <w:rPr>
                <w:sz w:val="1"/>
                <w:szCs w:val="1"/>
                <w:color w:val="auto"/>
              </w:rPr>
            </w:pPr>
          </w:p>
        </w:tc>
      </w:tr>
      <w:tr>
        <w:trPr>
          <w:trHeight w:val="20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w w:val="98"/>
              </w:rPr>
              <w:t>Net change in cash, cash equivalents and funds held for clients' cash and cash equivalents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(363,143)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387,440</w:t>
            </w:r>
          </w:p>
        </w:tc>
        <w:tc>
          <w:tcPr>
            <w:tcW w:w="0" w:type="dxa"/>
            <w:vAlign w:val="bottom"/>
          </w:tcPr>
          <w:p>
            <w:pPr>
              <w:spacing w:after="0"/>
              <w:rPr>
                <w:sz w:val="1"/>
                <w:szCs w:val="1"/>
                <w:color w:val="auto"/>
              </w:rPr>
            </w:pPr>
          </w:p>
        </w:tc>
      </w:t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w w:val="99"/>
              </w:rPr>
              <w:t>Cash, cash equivalents and funds held for clients' cash and cash equivalents—beginning</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xml:space="preserve">of year </w:t>
            </w:r>
            <w:r>
              <w:rPr>
                <w:rFonts w:ascii="Times New Roman" w:cs="Times New Roman" w:eastAsia="Times New Roman" w:hAnsi="Times New Roman"/>
                <w:sz w:val="16"/>
                <w:szCs w:val="16"/>
                <w:color w:val="B4B4B4"/>
                <w:w w:val="96"/>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2,421,312</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2,845,669</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2,482,526</w:t>
            </w:r>
          </w:p>
        </w:tc>
        <w:tc>
          <w:tcPr>
            <w:tcW w:w="0" w:type="dxa"/>
            <w:vAlign w:val="bottom"/>
          </w:tcPr>
          <w:p>
            <w:pPr>
              <w:spacing w:after="0"/>
              <w:rPr>
                <w:sz w:val="1"/>
                <w:szCs w:val="1"/>
                <w:color w:val="auto"/>
              </w:rPr>
            </w:pPr>
          </w:p>
        </w:tc>
      </w:tr>
      <w:tr>
        <w:trPr>
          <w:trHeight w:val="210"/>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Cash, cash equivalents and funds held for clients' cash and cash equivalents—end of year</w:t>
            </w:r>
            <w:r>
              <w:rPr>
                <w:rFonts w:ascii="Times New Roman" w:cs="Times New Roman" w:eastAsia="Times New Roman" w:hAnsi="Times New Roman"/>
                <w:sz w:val="16"/>
                <w:szCs w:val="16"/>
                <w:color w:val="B4B4B4"/>
                <w:w w:val="96"/>
              </w:rPr>
              <w:t>.</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2,845,669</w:t>
            </w:r>
          </w:p>
        </w:tc>
        <w:tc>
          <w:tcPr>
            <w:tcW w:w="38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2,482,526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2,869,966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640" w:type="dxa"/>
            <w:vAlign w:val="bottom"/>
            <w:vMerge w:val="continue"/>
          </w:tcPr>
          <w:p>
            <w:pPr>
              <w:jc w:val="right"/>
              <w:spacing w:after="0" w:line="154" w:lineRule="exact"/>
              <w:rPr>
                <w:sz w:val="20"/>
                <w:szCs w:val="20"/>
                <w:color w:val="auto"/>
              </w:rPr>
            </w:pPr>
            <w:r>
              <w:rPr>
                <w:rFonts w:ascii="Times New Roman" w:cs="Times New Roman" w:eastAsia="Times New Roman" w:hAnsi="Times New Roman"/>
                <w:sz w:val="16"/>
                <w:szCs w:val="16"/>
                <w:color w:val="B4B4B4"/>
              </w:rPr>
              <w:t>..........................</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Purchases of property and equipment and internal-use software, accrued but not paid</w:t>
            </w:r>
            <w:r>
              <w:rPr>
                <w:rFonts w:ascii="Times New Roman" w:cs="Times New Roman" w:eastAsia="Times New Roman" w:hAnsi="Times New Roman"/>
                <w:sz w:val="16"/>
                <w:szCs w:val="16"/>
                <w:color w:val="B4B4B4"/>
                <w:w w:val="99"/>
              </w:rPr>
              <w:t>....</w:t>
            </w:r>
          </w:p>
        </w:tc>
        <w:tc>
          <w:tcPr>
            <w:tcW w:w="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1,833</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0"/>
        </w:trPr>
        <w:tc>
          <w:tcPr>
            <w:tcW w:w="5640" w:type="dxa"/>
            <w:vAlign w:val="bottom"/>
            <w:vMerge w:val="restart"/>
          </w:tcPr>
          <w:p>
            <w:pPr>
              <w:jc w:val="right"/>
              <w:ind w:right="3182"/>
              <w:spacing w:after="0"/>
              <w:rPr>
                <w:sz w:val="20"/>
                <w:szCs w:val="20"/>
                <w:color w:val="auto"/>
              </w:rPr>
            </w:pPr>
            <w:r>
              <w:rPr>
                <w:rFonts w:ascii="Times New Roman" w:cs="Times New Roman" w:eastAsia="Times New Roman" w:hAnsi="Times New Roman"/>
                <w:sz w:val="16"/>
                <w:szCs w:val="16"/>
                <w:color w:val="auto"/>
              </w:rPr>
              <w:t>Liabilities assumed for acquisitions</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40" w:type="dxa"/>
            <w:vAlign w:val="bottom"/>
            <w:vMerge w:val="continue"/>
          </w:tcPr>
          <w:p>
            <w:pPr>
              <w:jc w:val="right"/>
              <w:spacing w:after="0" w:line="139" w:lineRule="exact"/>
              <w:rPr>
                <w:sz w:val="20"/>
                <w:szCs w:val="20"/>
                <w:color w:val="auto"/>
              </w:rPr>
            </w:pPr>
            <w:r>
              <w:rPr>
                <w:rFonts w:ascii="Times New Roman" w:cs="Times New Roman" w:eastAsia="Times New Roman" w:hAnsi="Times New Roman"/>
                <w:sz w:val="16"/>
                <w:szCs w:val="16"/>
                <w:color w:val="B4B4B4"/>
              </w:rPr>
              <w:t>..................................................................................</w:t>
            </w:r>
          </w:p>
        </w:tc>
        <w:tc>
          <w:tcPr>
            <w:tcW w:w="300" w:type="dxa"/>
            <w:vAlign w:val="bottom"/>
            <w:tcBorders>
              <w:top w:val="single" w:sz="8" w:color="auto"/>
              <w:bottom w:val="single" w:sz="8" w:color="auto"/>
            </w:tcBorders>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378</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02"/>
              <w:spacing w:after="0" w:line="17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2"/>
              <w:spacing w:after="0" w:line="173" w:lineRule="exact"/>
              <w:rPr>
                <w:sz w:val="20"/>
                <w:szCs w:val="20"/>
                <w:color w:val="auto"/>
              </w:rPr>
            </w:pPr>
            <w:r>
              <w:rPr>
                <w:rFonts w:ascii="Times New Roman" w:cs="Times New Roman" w:eastAsia="Times New Roman" w:hAnsi="Times New Roman"/>
                <w:sz w:val="16"/>
                <w:szCs w:val="16"/>
                <w:color w:val="auto"/>
              </w:rPr>
              <w:t>55,730</w:t>
            </w: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2"/>
              <w:spacing w:after="0" w:line="17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40" w:type="dxa"/>
            <w:vAlign w:val="bottom"/>
            <w:vMerge w:val="continue"/>
          </w:tcPr>
          <w:p>
            <w:pPr>
              <w:jc w:val="right"/>
              <w:spacing w:after="0" w:line="139" w:lineRule="exact"/>
              <w:rPr>
                <w:sz w:val="20"/>
                <w:szCs w:val="20"/>
                <w:color w:val="auto"/>
              </w:rPr>
            </w:pPr>
            <w:r>
              <w:rPr>
                <w:rFonts w:ascii="Times New Roman" w:cs="Times New Roman" w:eastAsia="Times New Roman" w:hAnsi="Times New Roman"/>
                <w:sz w:val="16"/>
                <w:szCs w:val="16"/>
                <w:color w:val="B4B4B4"/>
              </w:rPr>
              <w:t>.............................................................</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Cash paid for interest </w:t>
            </w:r>
            <w:r>
              <w:rPr>
                <w:rFonts w:ascii="Times New Roman" w:cs="Times New Roman" w:eastAsia="Times New Roman" w:hAnsi="Times New Roman"/>
                <w:sz w:val="16"/>
                <w:szCs w:val="16"/>
                <w:color w:val="B4B4B4"/>
                <w:w w:val="99"/>
              </w:rPr>
              <w:t>.........................................................................................................</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38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12,758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funds held for clients' cash and cash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xml:space="preserve">equivalents to the Consolidated Balance Sheets </w:t>
            </w:r>
            <w:r>
              <w:rPr>
                <w:rFonts w:ascii="Times New Roman" w:cs="Times New Roman" w:eastAsia="Times New Roman" w:hAnsi="Times New Roman"/>
                <w:sz w:val="16"/>
                <w:szCs w:val="16"/>
                <w:color w:val="B4B4B4"/>
                <w:w w:val="96"/>
              </w:rPr>
              <w:t>....................................................................</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xml:space="preserve">Cash and cash equivalents </w:t>
            </w:r>
            <w:r>
              <w:rPr>
                <w:rFonts w:ascii="Times New Roman" w:cs="Times New Roman" w:eastAsia="Times New Roman" w:hAnsi="Times New Roman"/>
                <w:sz w:val="16"/>
                <w:szCs w:val="16"/>
                <w:color w:val="B4B4B4"/>
                <w:w w:val="96"/>
              </w:rPr>
              <w:t>.....................................................................................................</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401,811</w:t>
            </w:r>
          </w:p>
        </w:tc>
        <w:tc>
          <w:tcPr>
            <w:tcW w:w="38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398,070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271,917</w:t>
            </w:r>
          </w:p>
        </w:tc>
        <w:tc>
          <w:tcPr>
            <w:tcW w:w="0" w:type="dxa"/>
            <w:vAlign w:val="bottom"/>
          </w:tcPr>
          <w:p>
            <w:pPr>
              <w:spacing w:after="0"/>
              <w:rPr>
                <w:sz w:val="1"/>
                <w:szCs w:val="1"/>
                <w:color w:val="auto"/>
              </w:rPr>
            </w:pPr>
          </w:p>
        </w:tc>
      </w:tr>
      <w:tr>
        <w:trPr>
          <w:trHeight w:val="222"/>
        </w:trPr>
        <w:tc>
          <w:tcPr>
            <w:tcW w:w="5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xml:space="preserve">Funds held for clients' cash and cash equivalents </w:t>
            </w:r>
            <w:r>
              <w:rPr>
                <w:rFonts w:ascii="Times New Roman" w:cs="Times New Roman" w:eastAsia="Times New Roman" w:hAnsi="Times New Roman"/>
                <w:sz w:val="16"/>
                <w:szCs w:val="16"/>
                <w:color w:val="B4B4B4"/>
                <w:w w:val="96"/>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2,443,858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2,084,456</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2,598,049</w:t>
            </w:r>
          </w:p>
        </w:tc>
        <w:tc>
          <w:tcPr>
            <w:tcW w:w="0" w:type="dxa"/>
            <w:vAlign w:val="bottom"/>
          </w:tcPr>
          <w:p>
            <w:pPr>
              <w:spacing w:after="0"/>
              <w:rPr>
                <w:sz w:val="1"/>
                <w:szCs w:val="1"/>
                <w:color w:val="auto"/>
              </w:rPr>
            </w:pPr>
          </w:p>
        </w:tc>
      </w:tr>
      <w:tr>
        <w:trPr>
          <w:trHeight w:val="182"/>
        </w:trPr>
        <w:tc>
          <w:tcPr>
            <w:tcW w:w="5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B4B4B4"/>
              </w:rPr>
              <w:t>..............</w:t>
            </w:r>
            <w:r>
              <w:rPr>
                <w:rFonts w:ascii="Times New Roman" w:cs="Times New Roman" w:eastAsia="Times New Roman" w:hAnsi="Times New Roman"/>
                <w:sz w:val="16"/>
                <w:szCs w:val="16"/>
                <w:color w:val="000000"/>
              </w:rPr>
              <w:t>Totalcash,cashequivalentsandfundsheldforclients'cashandcashequivalents</w:t>
            </w:r>
          </w:p>
        </w:tc>
        <w:tc>
          <w:tcPr>
            <w:tcW w:w="300" w:type="dxa"/>
            <w:vAlign w:val="bottom"/>
            <w:tcBorders>
              <w:bottom w:val="single" w:sz="8" w:color="auto"/>
            </w:tcBorders>
          </w:tcPr>
          <w:p>
            <w:pPr>
              <w:jc w:val="right"/>
              <w:ind w:right="8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2,845,669</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jc w:val="right"/>
              <w:ind w:right="102"/>
              <w:spacing w:after="0" w:line="18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rPr>
              <w:t>2,482,526</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2"/>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2,869,966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-1505585</wp:posOffset>
            </wp:positionV>
            <wp:extent cx="2534920" cy="73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-1191260</wp:posOffset>
            </wp:positionV>
            <wp:extent cx="2534920" cy="73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5">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-1043305</wp:posOffset>
            </wp:positionV>
            <wp:extent cx="2534920" cy="73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6">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-748030</wp:posOffset>
            </wp:positionV>
            <wp:extent cx="2534920" cy="736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7">
                      <a:extLst>
                        <a:ext uri="{28A0092B-C50C-407E-A947-70E740481C1C}"/>
                      </a:extLst>
                    </a:blip>
                    <a:srcRect/>
                    <a:stretch>
                      <a:fillRect/>
                    </a:stretch>
                  </pic:blipFill>
                  <pic:spPr bwMode="auto">
                    <a:xfrm>
                      <a:off x="0" y="0"/>
                      <a:ext cx="2534920" cy="736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-54610</wp:posOffset>
            </wp:positionV>
            <wp:extent cx="2534920" cy="73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560"/>
          </w:cols>
          <w:pgMar w:left="118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F-7</w:t>
      </w:r>
    </w:p>
    <w:p>
      <w:pPr>
        <w:sectPr>
          <w:pgSz w:w="11880" w:h="15480" w:orient="portrait"/>
          <w:cols w:equalWidth="0" w:num="1">
            <w:col w:w="9560"/>
          </w:cols>
          <w:pgMar w:left="1180" w:top="865" w:right="1140" w:bottom="0" w:gutter="0" w:footer="0" w:header="0"/>
          <w:type w:val="continuous"/>
        </w:sectPr>
      </w:pPr>
    </w:p>
    <w:bookmarkStart w:id="73" w:name="page74"/>
    <w:bookmarkEnd w:id="73"/>
    <w:p>
      <w:pPr>
        <w:ind w:left="2960"/>
        <w:spacing w:after="0"/>
        <w:rPr>
          <w:sz w:val="20"/>
          <w:szCs w:val="20"/>
          <w:color w:val="auto"/>
        </w:rPr>
      </w:pPr>
      <w:r>
        <w:rPr>
          <w:rFonts w:ascii="Times New Roman" w:cs="Times New Roman" w:eastAsia="Times New Roman" w:hAnsi="Times New Roman"/>
          <w:sz w:val="19"/>
          <w:szCs w:val="19"/>
          <w:b w:val="1"/>
          <w:bCs w:val="1"/>
          <w:color w:val="auto"/>
        </w:rPr>
        <w:t>PAYLOCITY HOLDING CORPORATION</w:t>
      </w:r>
    </w:p>
    <w:p>
      <w:pPr>
        <w:spacing w:after="0" w:line="3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(all amounts in thousands, except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Organization and Description of Business</w:t>
      </w:r>
    </w:p>
    <w:p>
      <w:pPr>
        <w:spacing w:after="0" w:line="254" w:lineRule="exact"/>
        <w:rPr>
          <w:sz w:val="20"/>
          <w:szCs w:val="20"/>
          <w:color w:val="auto"/>
        </w:rPr>
      </w:pPr>
    </w:p>
    <w:p>
      <w:pPr>
        <w:ind w:right="140" w:firstLine="698"/>
        <w:spacing w:after="0" w:line="268" w:lineRule="auto"/>
        <w:rPr>
          <w:sz w:val="20"/>
          <w:szCs w:val="20"/>
          <w:color w:val="auto"/>
        </w:rPr>
      </w:pPr>
      <w:r>
        <w:rPr>
          <w:rFonts w:ascii="Times New Roman" w:cs="Times New Roman" w:eastAsia="Times New Roman" w:hAnsi="Times New Roman"/>
          <w:sz w:val="19"/>
          <w:szCs w:val="19"/>
          <w:color w:val="auto"/>
        </w:rPr>
        <w:t>Paylocity Holding Corporation (the “Company”) is a cloud-based provider of human capital management (“HCM”), finance and IT software solutions. Services are provided in a Software-as-a-Service (“SaaS”) delivery model. The Company offers a product suite that enables businesses streamline HR, finance, and IT operations, manage spend and talent, and build culture and connection with artificial intelligence (“AI”) embedded directly into everyday workflows.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w:t>
      </w:r>
    </w:p>
    <w:p>
      <w:pPr>
        <w:spacing w:after="0" w:line="250" w:lineRule="exact"/>
        <w:rPr>
          <w:sz w:val="20"/>
          <w:szCs w:val="20"/>
          <w:color w:val="auto"/>
        </w:rPr>
      </w:pPr>
    </w:p>
    <w:p>
      <w:pPr>
        <w:ind w:left="960" w:hanging="265"/>
        <w:spacing w:after="0"/>
        <w:tabs>
          <w:tab w:leader="none" w:pos="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Basis of Presentation, Consolidation, and Use of Estimates</w:t>
      </w:r>
    </w:p>
    <w:p>
      <w:pPr>
        <w:spacing w:after="0" w:line="251" w:lineRule="exact"/>
        <w:rPr>
          <w:sz w:val="20"/>
          <w:szCs w:val="20"/>
          <w:color w:val="auto"/>
        </w:rPr>
      </w:pPr>
    </w:p>
    <w:p>
      <w:pPr>
        <w:ind w:right="320" w:firstLine="698"/>
        <w:spacing w:after="0" w:line="293" w:lineRule="auto"/>
        <w:rPr>
          <w:sz w:val="20"/>
          <w:szCs w:val="20"/>
          <w:color w:val="auto"/>
        </w:rPr>
      </w:pPr>
      <w:r>
        <w:rPr>
          <w:rFonts w:ascii="Times New Roman" w:cs="Times New Roman" w:eastAsia="Times New Roman" w:hAnsi="Times New Roman"/>
          <w:sz w:val="19"/>
          <w:szCs w:val="19"/>
          <w:color w:val="auto"/>
        </w:rPr>
        <w:t>The accompanying consolidated financial statements of the Company have been prepared pursuant to the rules and regulations of the United States Securities and Exchange Commission (the “SEC”).</w:t>
      </w:r>
    </w:p>
    <w:p>
      <w:pPr>
        <w:spacing w:after="0" w:line="165" w:lineRule="exact"/>
        <w:rPr>
          <w:sz w:val="20"/>
          <w:szCs w:val="20"/>
          <w:color w:val="auto"/>
        </w:rPr>
      </w:pPr>
    </w:p>
    <w:p>
      <w:pPr>
        <w:ind w:right="60" w:firstLine="698"/>
        <w:spacing w:after="0" w:line="261"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200" w:lineRule="exact"/>
        <w:rPr>
          <w:sz w:val="20"/>
          <w:szCs w:val="20"/>
          <w:color w:val="auto"/>
        </w:rPr>
      </w:pPr>
    </w:p>
    <w:p>
      <w:pPr>
        <w:spacing w:after="0" w:line="232" w:lineRule="exact"/>
        <w:rPr>
          <w:sz w:val="20"/>
          <w:szCs w:val="20"/>
          <w:color w:val="auto"/>
        </w:rPr>
      </w:pPr>
    </w:p>
    <w:p>
      <w:pPr>
        <w:ind w:right="40" w:firstLine="698"/>
        <w:spacing w:after="0" w:line="293" w:lineRule="auto"/>
        <w:rPr>
          <w:sz w:val="20"/>
          <w:szCs w:val="20"/>
          <w:color w:val="auto"/>
        </w:rPr>
      </w:pPr>
      <w:r>
        <w:rPr>
          <w:rFonts w:ascii="Times New Roman" w:cs="Times New Roman" w:eastAsia="Times New Roman" w:hAnsi="Times New Roman"/>
          <w:sz w:val="19"/>
          <w:szCs w:val="19"/>
          <w:color w:val="auto"/>
        </w:rPr>
        <w:t>The consolidated financial statements include the accounts of the Company and its wholly owned subsidiaries. All intercompany accounts and transactions have been eliminated in consolidation.</w:t>
      </w:r>
    </w:p>
    <w:p>
      <w:pPr>
        <w:spacing w:after="0" w:line="161" w:lineRule="exact"/>
        <w:rPr>
          <w:sz w:val="20"/>
          <w:szCs w:val="20"/>
          <w:color w:val="auto"/>
        </w:rPr>
      </w:pPr>
    </w:p>
    <w:p>
      <w:pPr>
        <w:ind w:left="960" w:hanging="265"/>
        <w:spacing w:after="0"/>
        <w:tabs>
          <w:tab w:leader="none" w:pos="9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Concentrations of Risk</w:t>
      </w:r>
    </w:p>
    <w:p>
      <w:pPr>
        <w:spacing w:after="0" w:line="251"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79" w:lineRule="exact"/>
        <w:rPr>
          <w:sz w:val="20"/>
          <w:szCs w:val="20"/>
          <w:color w:val="auto"/>
        </w:rPr>
      </w:pPr>
    </w:p>
    <w:p>
      <w:pPr>
        <w:ind w:left="960" w:hanging="265"/>
        <w:spacing w:after="0"/>
        <w:tabs>
          <w:tab w:leader="none" w:pos="9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51" w:lineRule="exact"/>
        <w:rPr>
          <w:sz w:val="20"/>
          <w:szCs w:val="20"/>
          <w:color w:val="auto"/>
        </w:rPr>
      </w:pPr>
    </w:p>
    <w:p>
      <w:pPr>
        <w:ind w:right="360" w:firstLine="698"/>
        <w:spacing w:after="0" w:line="274" w:lineRule="auto"/>
        <w:rPr>
          <w:sz w:val="20"/>
          <w:szCs w:val="20"/>
          <w:color w:val="auto"/>
        </w:rPr>
      </w:pPr>
      <w:r>
        <w:rPr>
          <w:rFonts w:ascii="Times New Roman" w:cs="Times New Roman" w:eastAsia="Times New Roman" w:hAnsi="Times New Roman"/>
          <w:sz w:val="19"/>
          <w:szCs w:val="19"/>
          <w:color w:val="auto"/>
        </w:rPr>
        <w:t>The Company considers all highly liquid investments with an original maturity of three months or less when purchased to be cash equivalents. Any interest earned on the Company’s cash and cash equivalents is reported as Other income (expense) in the Consolidated Statements of Operations and Comprehensive Income.</w:t>
      </w:r>
    </w:p>
    <w:p>
      <w:pPr>
        <w:spacing w:after="0" w:line="179" w:lineRule="exact"/>
        <w:rPr>
          <w:sz w:val="20"/>
          <w:szCs w:val="20"/>
          <w:color w:val="auto"/>
        </w:rPr>
      </w:pPr>
    </w:p>
    <w:p>
      <w:pPr>
        <w:ind w:left="960" w:hanging="265"/>
        <w:spacing w:after="0"/>
        <w:tabs>
          <w:tab w:leader="none" w:pos="96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Funds Held For Clients and Client Fund Obligations</w:t>
      </w:r>
    </w:p>
    <w:p>
      <w:pPr>
        <w:spacing w:after="0" w:line="251" w:lineRule="exact"/>
        <w:rPr>
          <w:sz w:val="20"/>
          <w:szCs w:val="20"/>
          <w:color w:val="auto"/>
        </w:rPr>
      </w:pPr>
    </w:p>
    <w:p>
      <w:pPr>
        <w:ind w:right="40" w:firstLine="698"/>
        <w:spacing w:after="0" w:line="262" w:lineRule="auto"/>
        <w:rPr>
          <w:sz w:val="20"/>
          <w:szCs w:val="20"/>
          <w:color w:val="auto"/>
        </w:rPr>
      </w:pPr>
      <w:r>
        <w:rPr>
          <w:rFonts w:ascii="Times New Roman" w:cs="Times New Roman" w:eastAsia="Times New Roman" w:hAnsi="Times New Roman"/>
          <w:sz w:val="19"/>
          <w:szCs w:val="19"/>
          <w:color w:val="auto"/>
        </w:rPr>
        <w:t>The Company obtains funds from clients in advance of performing payroll, payroll tax filing and spend management services on behalf of those clients. Funds held for clients represent assets that are used solely for the purposes of satisfying the obligations to remit funds relating to payroll, payroll tax filing and spend management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200" w:lineRule="exact"/>
        <w:rPr>
          <w:sz w:val="20"/>
          <w:szCs w:val="20"/>
          <w:color w:val="auto"/>
        </w:rPr>
      </w:pPr>
    </w:p>
    <w:p>
      <w:pPr>
        <w:spacing w:after="0" w:line="231"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in the Consolidated Statements of Operations and Comprehensive Income.</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F-8</w:t>
      </w:r>
    </w:p>
    <w:p>
      <w:pPr>
        <w:sectPr>
          <w:pgSz w:w="11880" w:h="15480" w:orient="portrait"/>
          <w:cols w:equalWidth="0" w:num="1">
            <w:col w:w="9600"/>
          </w:cols>
          <w:pgMar w:left="1140" w:top="865" w:right="1140" w:bottom="0" w:gutter="0" w:footer="0" w:header="0"/>
          <w:type w:val="continuous"/>
        </w:sectPr>
      </w:pPr>
    </w:p>
    <w:bookmarkStart w:id="74" w:name="page75"/>
    <w:bookmarkEnd w:id="74"/>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2024, 2025 or 2026.</w:t>
      </w:r>
    </w:p>
    <w:p>
      <w:pPr>
        <w:spacing w:after="0" w:line="193" w:lineRule="exact"/>
        <w:rPr>
          <w:sz w:val="20"/>
          <w:szCs w:val="20"/>
          <w:color w:val="auto"/>
        </w:rPr>
      </w:pPr>
    </w:p>
    <w:p>
      <w:pPr>
        <w:jc w:val="both"/>
        <w:ind w:right="60" w:firstLine="698"/>
        <w:spacing w:after="0" w:line="268" w:lineRule="auto"/>
        <w:rPr>
          <w:sz w:val="20"/>
          <w:szCs w:val="20"/>
          <w:color w:val="auto"/>
        </w:rPr>
      </w:pPr>
      <w:r>
        <w:rPr>
          <w:rFonts w:ascii="Times New Roman" w:cs="Times New Roman" w:eastAsia="Times New Roman" w:hAnsi="Times New Roman"/>
          <w:sz w:val="19"/>
          <w:szCs w:val="19"/>
          <w:color w:val="auto"/>
        </w:rPr>
        <w:t>Client fund obligations represent the Company’s contractual obligations to remit funds to satisfy clients’ payroll, tax and spend management payment obligations and are recorded in the accompanying Consolidated Balance Sheets at the time that the Company obtains funds from clients. The client fund obligations represent liabilities that will be repaid within one year of the balance sheet date.</w:t>
      </w:r>
    </w:p>
    <w:p>
      <w:pPr>
        <w:spacing w:after="0" w:line="184" w:lineRule="exact"/>
        <w:rPr>
          <w:sz w:val="20"/>
          <w:szCs w:val="20"/>
          <w:color w:val="auto"/>
        </w:rPr>
      </w:pPr>
    </w:p>
    <w:p>
      <w:pPr>
        <w:ind w:left="960" w:hanging="265"/>
        <w:spacing w:after="0"/>
        <w:tabs>
          <w:tab w:leader="none" w:pos="9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Accounts Receivable, Net</w:t>
      </w:r>
    </w:p>
    <w:p>
      <w:pPr>
        <w:spacing w:after="0" w:line="251" w:lineRule="exact"/>
        <w:rPr>
          <w:sz w:val="20"/>
          <w:szCs w:val="20"/>
          <w:color w:val="auto"/>
        </w:rPr>
      </w:pPr>
    </w:p>
    <w:p>
      <w:pPr>
        <w:ind w:right="20" w:firstLine="698"/>
        <w:spacing w:after="0" w:line="259" w:lineRule="auto"/>
        <w:rPr>
          <w:sz w:val="20"/>
          <w:szCs w:val="20"/>
          <w:color w:val="auto"/>
        </w:rPr>
      </w:pPr>
      <w:r>
        <w:rPr>
          <w:rFonts w:ascii="Times New Roman" w:cs="Times New Roman" w:eastAsia="Times New Roman" w:hAnsi="Times New Roman"/>
          <w:sz w:val="19"/>
          <w:szCs w:val="19"/>
          <w:color w:val="auto"/>
        </w:rPr>
        <w:t>Accounts receivable is comprised of trade receivables, accrued interest on funds held for clients and other receivables. Trade receivables are recorded at the invoiced amount and do not bear interest. Amounts collected on accounts receivable are generally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96" w:lineRule="exact"/>
        <w:rPr>
          <w:sz w:val="20"/>
          <w:szCs w:val="20"/>
          <w:color w:val="auto"/>
        </w:rPr>
      </w:pPr>
    </w:p>
    <w:p>
      <w:pPr>
        <w:ind w:left="940" w:hanging="245"/>
        <w:spacing w:after="0"/>
        <w:tabs>
          <w:tab w:leader="none" w:pos="9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Deferred Contract Costs</w:t>
      </w:r>
    </w:p>
    <w:p>
      <w:pPr>
        <w:spacing w:after="0" w:line="251" w:lineRule="exact"/>
        <w:rPr>
          <w:sz w:val="20"/>
          <w:szCs w:val="20"/>
          <w:color w:val="auto"/>
        </w:rPr>
      </w:pPr>
    </w:p>
    <w:p>
      <w:pPr>
        <w:ind w:right="80" w:firstLine="698"/>
        <w:spacing w:after="0" w:line="263" w:lineRule="auto"/>
        <w:rPr>
          <w:sz w:val="20"/>
          <w:szCs w:val="20"/>
          <w:color w:val="auto"/>
        </w:rPr>
      </w:pPr>
      <w:r>
        <w:rPr>
          <w:rFonts w:ascii="Times New Roman" w:cs="Times New Roman" w:eastAsia="Times New Roman" w:hAnsi="Times New Roman"/>
          <w:sz w:val="19"/>
          <w:szCs w:val="19"/>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93" w:lineRule="exact"/>
        <w:rPr>
          <w:sz w:val="20"/>
          <w:szCs w:val="20"/>
          <w:color w:val="auto"/>
        </w:rPr>
      </w:pPr>
    </w:p>
    <w:p>
      <w:pPr>
        <w:ind w:right="120" w:firstLine="698"/>
        <w:spacing w:after="0" w:line="259" w:lineRule="auto"/>
        <w:rPr>
          <w:sz w:val="20"/>
          <w:szCs w:val="20"/>
          <w:color w:val="auto"/>
        </w:rPr>
      </w:pPr>
      <w:r>
        <w:rPr>
          <w:rFonts w:ascii="Times New Roman" w:cs="Times New Roman" w:eastAsia="Times New Roman" w:hAnsi="Times New Roman"/>
          <w:sz w:val="19"/>
          <w:szCs w:val="19"/>
          <w:color w:val="auto"/>
        </w:rPr>
        <w:t>The Company utilizes the portfolio approach to account for both the cost of obtaining a contract and the cost of fulfilling a contract. These capitalized costs are amortized over the expected period of benefit, which the Company increased from 7 years to 8 years effective June 30, 2026, on a prospective basis, based on the Company’s average client life and growth of term contract renewals beyond their initial terms. This change did not impact the Company’s financial statements for the fiscal year ended June 30, 2026.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 Management evaluates deferred contract costs for impairment if changes in circumstances occur that could impact the recoverability of the costs to obtain or fulfill contracts with the Company’s customers.</w:t>
      </w:r>
    </w:p>
    <w:p>
      <w:pPr>
        <w:spacing w:after="0" w:line="199" w:lineRule="exact"/>
        <w:rPr>
          <w:sz w:val="20"/>
          <w:szCs w:val="20"/>
          <w:color w:val="auto"/>
        </w:rPr>
      </w:pPr>
    </w:p>
    <w:p>
      <w:pPr>
        <w:ind w:left="960" w:hanging="265"/>
        <w:spacing w:after="0"/>
        <w:tabs>
          <w:tab w:leader="none" w:pos="9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Capitalized Internal-Use Software</w:t>
      </w:r>
    </w:p>
    <w:p>
      <w:pPr>
        <w:spacing w:after="0" w:line="251"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93" w:lineRule="exact"/>
        <w:rPr>
          <w:sz w:val="20"/>
          <w:szCs w:val="20"/>
          <w:color w:val="auto"/>
        </w:rPr>
      </w:pPr>
    </w:p>
    <w:p>
      <w:pPr>
        <w:ind w:right="20" w:firstLine="698"/>
        <w:spacing w:after="0" w:line="293" w:lineRule="auto"/>
        <w:rPr>
          <w:sz w:val="20"/>
          <w:szCs w:val="20"/>
          <w:color w:val="auto"/>
        </w:rPr>
      </w:pPr>
      <w:r>
        <w:rPr>
          <w:rFonts w:ascii="Times New Roman" w:cs="Times New Roman" w:eastAsia="Times New Roman" w:hAnsi="Times New Roman"/>
          <w:sz w:val="19"/>
          <w:szCs w:val="19"/>
          <w:color w:val="auto"/>
        </w:rPr>
        <w:t>Capitalized internal-use software costs are amortized on a straight-line basis over their estimated useful lives, which are generally two to three years while certain projects that support the Company’s main processing activities have an</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F-9</w:t>
      </w:r>
    </w:p>
    <w:p>
      <w:pPr>
        <w:sectPr>
          <w:pgSz w:w="11880" w:h="15480" w:orient="portrait"/>
          <w:cols w:equalWidth="0" w:num="1">
            <w:col w:w="9600"/>
          </w:cols>
          <w:pgMar w:left="1140" w:top="872" w:right="1140" w:bottom="0" w:gutter="0" w:footer="0" w:header="0"/>
          <w:type w:val="continuous"/>
        </w:sectPr>
      </w:pPr>
    </w:p>
    <w:bookmarkStart w:id="75" w:name="page76"/>
    <w:bookmarkEnd w:id="75"/>
    <w:p>
      <w:pPr>
        <w:ind w:right="340"/>
        <w:spacing w:after="0" w:line="293" w:lineRule="auto"/>
        <w:rPr>
          <w:sz w:val="20"/>
          <w:szCs w:val="20"/>
          <w:color w:val="auto"/>
        </w:rPr>
      </w:pPr>
      <w:r>
        <w:rPr>
          <w:rFonts w:ascii="Times New Roman" w:cs="Times New Roman" w:eastAsia="Times New Roman" w:hAnsi="Times New Roman"/>
          <w:sz w:val="19"/>
          <w:szCs w:val="19"/>
          <w:color w:val="auto"/>
        </w:rPr>
        <w:t>estimated useful life of ten years. Management evaluates the useful lives of these assets on an annual basis and tests for impairment whenever events or changes in circumstances occur that could impact the recoverability of these assets.</w:t>
      </w:r>
    </w:p>
    <w:p>
      <w:pPr>
        <w:spacing w:after="0" w:line="161" w:lineRule="exact"/>
        <w:rPr>
          <w:sz w:val="20"/>
          <w:szCs w:val="20"/>
          <w:color w:val="auto"/>
        </w:rPr>
      </w:pPr>
    </w:p>
    <w:p>
      <w:pPr>
        <w:ind w:left="960" w:hanging="265"/>
        <w:spacing w:after="0"/>
        <w:tabs>
          <w:tab w:leader="none" w:pos="96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Property and Equipment and Long-Lived Assets</w:t>
      </w:r>
    </w:p>
    <w:p>
      <w:pPr>
        <w:spacing w:after="0" w:line="251" w:lineRule="exact"/>
        <w:rPr>
          <w:sz w:val="20"/>
          <w:szCs w:val="20"/>
          <w:color w:val="auto"/>
        </w:rPr>
      </w:pPr>
    </w:p>
    <w:p>
      <w:pPr>
        <w:jc w:val="both"/>
        <w:ind w:right="220" w:firstLine="698"/>
        <w:spacing w:after="0" w:line="274" w:lineRule="auto"/>
        <w:rPr>
          <w:sz w:val="20"/>
          <w:szCs w:val="20"/>
          <w:color w:val="auto"/>
        </w:rPr>
      </w:pPr>
      <w:r>
        <w:rPr>
          <w:rFonts w:ascii="Times New Roman" w:cs="Times New Roman" w:eastAsia="Times New Roman" w:hAnsi="Times New Roman"/>
          <w:sz w:val="19"/>
          <w:szCs w:val="19"/>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83" w:lineRule="exact"/>
        <w:rPr>
          <w:sz w:val="20"/>
          <w:szCs w:val="20"/>
          <w:color w:val="auto"/>
        </w:rPr>
      </w:pPr>
    </w:p>
    <w:p>
      <w:pPr>
        <w:ind w:right="60" w:firstLine="698"/>
        <w:spacing w:after="0" w:line="262" w:lineRule="auto"/>
        <w:rPr>
          <w:sz w:val="20"/>
          <w:szCs w:val="20"/>
          <w:color w:val="auto"/>
        </w:rPr>
      </w:pPr>
      <w:r>
        <w:rPr>
          <w:rFonts w:ascii="Times New Roman" w:cs="Times New Roman" w:eastAsia="Times New Roman" w:hAnsi="Times New Roman"/>
          <w:sz w:val="19"/>
          <w:szCs w:val="19"/>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9" w:lineRule="exact"/>
        <w:rPr>
          <w:sz w:val="20"/>
          <w:szCs w:val="20"/>
          <w:color w:val="auto"/>
        </w:rPr>
      </w:pPr>
    </w:p>
    <w:p>
      <w:pPr>
        <w:ind w:left="920" w:hanging="225"/>
        <w:spacing w:after="0"/>
        <w:tabs>
          <w:tab w:leader="none" w:pos="9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Business Combinations</w:t>
      </w:r>
    </w:p>
    <w:p>
      <w:pPr>
        <w:spacing w:after="0" w:line="251" w:lineRule="exact"/>
        <w:rPr>
          <w:sz w:val="20"/>
          <w:szCs w:val="20"/>
          <w:color w:val="auto"/>
        </w:rPr>
      </w:pPr>
    </w:p>
    <w:p>
      <w:pPr>
        <w:ind w:right="20" w:firstLine="698"/>
        <w:spacing w:after="0" w:line="261" w:lineRule="auto"/>
        <w:rPr>
          <w:sz w:val="20"/>
          <w:szCs w:val="20"/>
          <w:color w:val="auto"/>
        </w:rPr>
      </w:pPr>
      <w:r>
        <w:rPr>
          <w:rFonts w:ascii="Times New Roman" w:cs="Times New Roman" w:eastAsia="Times New Roman" w:hAnsi="Times New Roman"/>
          <w:sz w:val="19"/>
          <w:szCs w:val="19"/>
          <w:color w:val="auto"/>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may engage a valuation specialist to assist in the fair value measurement of assets acquired and liabilities assumed for each acquisition.</w:t>
      </w:r>
    </w:p>
    <w:p>
      <w:pPr>
        <w:spacing w:after="0" w:line="190" w:lineRule="exact"/>
        <w:rPr>
          <w:sz w:val="20"/>
          <w:szCs w:val="20"/>
          <w:color w:val="auto"/>
        </w:rPr>
      </w:pPr>
    </w:p>
    <w:p>
      <w:pPr>
        <w:ind w:left="920" w:hanging="225"/>
        <w:spacing w:after="0"/>
        <w:tabs>
          <w:tab w:leader="none" w:pos="9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Intangible Assets, Net of Accumulated Amortization</w:t>
      </w:r>
    </w:p>
    <w:p>
      <w:pPr>
        <w:spacing w:after="0" w:line="251" w:lineRule="exact"/>
        <w:rPr>
          <w:sz w:val="20"/>
          <w:szCs w:val="20"/>
          <w:color w:val="auto"/>
        </w:rPr>
      </w:pPr>
    </w:p>
    <w:p>
      <w:pPr>
        <w:ind w:firstLine="698"/>
        <w:spacing w:after="0" w:line="262" w:lineRule="auto"/>
        <w:rPr>
          <w:sz w:val="20"/>
          <w:szCs w:val="20"/>
          <w:color w:val="auto"/>
        </w:rPr>
      </w:pPr>
      <w:r>
        <w:rPr>
          <w:rFonts w:ascii="Times New Roman" w:cs="Times New Roman" w:eastAsia="Times New Roman" w:hAnsi="Times New Roman"/>
          <w:sz w:val="19"/>
          <w:szCs w:val="19"/>
          <w:color w:val="auto"/>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89" w:lineRule="exact"/>
        <w:rPr>
          <w:sz w:val="20"/>
          <w:szCs w:val="20"/>
          <w:color w:val="auto"/>
        </w:rPr>
      </w:pPr>
    </w:p>
    <w:p>
      <w:pPr>
        <w:ind w:left="960" w:hanging="265"/>
        <w:spacing w:after="0"/>
        <w:tabs>
          <w:tab w:leader="none" w:pos="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Goodwill</w:t>
      </w:r>
    </w:p>
    <w:p>
      <w:pPr>
        <w:spacing w:after="0" w:line="251" w:lineRule="exact"/>
        <w:rPr>
          <w:sz w:val="20"/>
          <w:szCs w:val="20"/>
          <w:color w:val="auto"/>
        </w:rPr>
      </w:pPr>
    </w:p>
    <w:p>
      <w:pPr>
        <w:ind w:right="120" w:firstLine="698"/>
        <w:spacing w:after="0" w:line="265" w:lineRule="auto"/>
        <w:rPr>
          <w:sz w:val="20"/>
          <w:szCs w:val="20"/>
          <w:color w:val="auto"/>
        </w:rPr>
      </w:pPr>
      <w:r>
        <w:rPr>
          <w:rFonts w:ascii="Times New Roman" w:cs="Times New Roman" w:eastAsia="Times New Roman" w:hAnsi="Times New Roman"/>
          <w:sz w:val="19"/>
          <w:szCs w:val="19"/>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91" w:lineRule="exact"/>
        <w:rPr>
          <w:sz w:val="20"/>
          <w:szCs w:val="20"/>
          <w:color w:val="auto"/>
        </w:rPr>
      </w:pPr>
    </w:p>
    <w:p>
      <w:pPr>
        <w:jc w:val="both"/>
        <w:ind w:right="100" w:firstLine="698"/>
        <w:spacing w:after="0" w:line="274" w:lineRule="auto"/>
        <w:rPr>
          <w:sz w:val="20"/>
          <w:szCs w:val="20"/>
          <w:color w:val="auto"/>
        </w:rPr>
      </w:pPr>
      <w:r>
        <w:rPr>
          <w:rFonts w:ascii="Times New Roman" w:cs="Times New Roman" w:eastAsia="Times New Roman" w:hAnsi="Times New Roman"/>
          <w:sz w:val="19"/>
          <w:szCs w:val="19"/>
          <w:color w:val="auto"/>
        </w:rPr>
        <w:t>The Company performs its annual impairment review of goodwill in its fiscal fourth quarter or when a triggering event occurs between annual impairment tests. No impairment was recorded in fiscal 2024, 2025 or 2026 as a result of the Company’s qualitative assessments over its single reporting unit.</w:t>
      </w:r>
    </w:p>
    <w:p>
      <w:pPr>
        <w:sectPr>
          <w:pgSz w:w="11880" w:h="15480" w:orient="portrait"/>
          <w:cols w:equalWidth="0" w:num="1">
            <w:col w:w="9580"/>
          </w:cols>
          <w:pgMar w:left="1140" w:top="87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580"/>
          </w:cols>
          <w:pgMar w:left="1140" w:top="872" w:right="1160" w:bottom="0" w:gutter="0" w:footer="0" w:header="0"/>
          <w:type w:val="continuous"/>
        </w:sectPr>
      </w:pPr>
    </w:p>
    <w:bookmarkStart w:id="76" w:name="page77"/>
    <w:bookmarkEnd w:id="76"/>
    <w:p>
      <w:pPr>
        <w:ind w:left="920" w:hanging="225"/>
        <w:spacing w:after="0"/>
        <w:tabs>
          <w:tab w:leader="none" w:pos="9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Leases</w:t>
      </w:r>
    </w:p>
    <w:p>
      <w:pPr>
        <w:spacing w:after="0" w:line="251" w:lineRule="exact"/>
        <w:rPr>
          <w:sz w:val="20"/>
          <w:szCs w:val="20"/>
          <w:color w:val="auto"/>
        </w:rPr>
      </w:pPr>
    </w:p>
    <w:p>
      <w:pPr>
        <w:ind w:right="80" w:firstLine="698"/>
        <w:spacing w:after="0" w:line="259" w:lineRule="auto"/>
        <w:rPr>
          <w:sz w:val="20"/>
          <w:szCs w:val="20"/>
          <w:color w:val="auto"/>
        </w:rPr>
      </w:pPr>
      <w:r>
        <w:rPr>
          <w:rFonts w:ascii="Times New Roman" w:cs="Times New Roman" w:eastAsia="Times New Roman" w:hAnsi="Times New Roman"/>
          <w:sz w:val="19"/>
          <w:szCs w:val="19"/>
          <w:color w:val="auto"/>
        </w:rPr>
        <w:t>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197" w:lineRule="exact"/>
        <w:rPr>
          <w:sz w:val="20"/>
          <w:szCs w:val="20"/>
          <w:color w:val="auto"/>
        </w:rPr>
      </w:pPr>
    </w:p>
    <w:p>
      <w:pPr>
        <w:ind w:right="60" w:firstLine="698"/>
        <w:spacing w:after="0" w:line="265" w:lineRule="auto"/>
        <w:rPr>
          <w:sz w:val="20"/>
          <w:szCs w:val="20"/>
          <w:color w:val="auto"/>
        </w:rPr>
      </w:pPr>
      <w:r>
        <w:rPr>
          <w:rFonts w:ascii="Times New Roman" w:cs="Times New Roman" w:eastAsia="Times New Roman" w:hAnsi="Times New Roman"/>
          <w:sz w:val="19"/>
          <w:szCs w:val="19"/>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191" w:lineRule="exact"/>
        <w:rPr>
          <w:sz w:val="20"/>
          <w:szCs w:val="20"/>
          <w:color w:val="auto"/>
        </w:rPr>
      </w:pPr>
    </w:p>
    <w:p>
      <w:pPr>
        <w:ind w:firstLine="698"/>
        <w:spacing w:after="0" w:line="263" w:lineRule="auto"/>
        <w:rPr>
          <w:sz w:val="20"/>
          <w:szCs w:val="20"/>
          <w:color w:val="auto"/>
        </w:rPr>
      </w:pPr>
      <w:r>
        <w:rPr>
          <w:rFonts w:ascii="Times New Roman" w:cs="Times New Roman" w:eastAsia="Times New Roman" w:hAnsi="Times New Roman"/>
          <w:sz w:val="19"/>
          <w:szCs w:val="19"/>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lessor, such as insurance, taxes, and common area maintenance, payments based on the usage of the asset, and rental payments adjusted periodically for inflation. Variable payments are expensed as incurred and included within variable lease costs.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Company’s lease agreements do not contain material residual value guarantees, restrictions, or covenants.</w:t>
      </w:r>
    </w:p>
    <w:p>
      <w:pPr>
        <w:spacing w:after="0" w:line="243" w:lineRule="exact"/>
        <w:rPr>
          <w:sz w:val="20"/>
          <w:szCs w:val="20"/>
          <w:color w:val="auto"/>
        </w:rPr>
      </w:pPr>
    </w:p>
    <w:p>
      <w:pPr>
        <w:ind w:left="1020" w:hanging="325"/>
        <w:spacing w:after="0"/>
        <w:tabs>
          <w:tab w:leader="none" w:pos="102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Income Taxes</w:t>
      </w:r>
    </w:p>
    <w:p>
      <w:pPr>
        <w:spacing w:after="0" w:line="251" w:lineRule="exact"/>
        <w:rPr>
          <w:sz w:val="20"/>
          <w:szCs w:val="20"/>
          <w:color w:val="auto"/>
        </w:rPr>
      </w:pPr>
    </w:p>
    <w:p>
      <w:pPr>
        <w:ind w:firstLine="698"/>
        <w:spacing w:after="0" w:line="263" w:lineRule="auto"/>
        <w:rPr>
          <w:sz w:val="20"/>
          <w:szCs w:val="20"/>
          <w:color w:val="auto"/>
        </w:rPr>
      </w:pPr>
      <w:r>
        <w:rPr>
          <w:rFonts w:ascii="Times New Roman" w:cs="Times New Roman" w:eastAsia="Times New Roman" w:hAnsi="Times New Roman"/>
          <w:sz w:val="19"/>
          <w:szCs w:val="19"/>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3" w:lineRule="exact"/>
        <w:rPr>
          <w:sz w:val="20"/>
          <w:szCs w:val="20"/>
          <w:color w:val="auto"/>
        </w:rPr>
      </w:pPr>
    </w:p>
    <w:p>
      <w:pPr>
        <w:ind w:right="40" w:firstLine="698"/>
        <w:spacing w:after="0" w:line="261" w:lineRule="auto"/>
        <w:rPr>
          <w:sz w:val="20"/>
          <w:szCs w:val="20"/>
          <w:color w:val="auto"/>
        </w:rPr>
      </w:pPr>
      <w:r>
        <w:rPr>
          <w:rFonts w:ascii="Times New Roman" w:cs="Times New Roman" w:eastAsia="Times New Roman" w:hAnsi="Times New Roman"/>
          <w:sz w:val="19"/>
          <w:szCs w:val="19"/>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94"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Refer to Note 14 for additional information on income taxes.</w:t>
      </w:r>
    </w:p>
    <w:p>
      <w:pPr>
        <w:sectPr>
          <w:pgSz w:w="11880" w:h="15480" w:orient="portrait"/>
          <w:cols w:equalWidth="0" w:num="1">
            <w:col w:w="9580"/>
          </w:cols>
          <w:pgMar w:left="1140" w:top="86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9580"/>
          </w:cols>
          <w:pgMar w:left="1140" w:top="868" w:right="1160" w:bottom="0" w:gutter="0" w:footer="0" w:header="0"/>
          <w:type w:val="continuous"/>
        </w:sectPr>
      </w:pPr>
    </w:p>
    <w:bookmarkStart w:id="77" w:name="page78"/>
    <w:bookmarkEnd w:id="77"/>
    <w:p>
      <w:pPr>
        <w:ind w:left="960" w:hanging="265"/>
        <w:spacing w:after="0"/>
        <w:tabs>
          <w:tab w:leader="none" w:pos="9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Share Repurchases</w:t>
      </w:r>
    </w:p>
    <w:p>
      <w:pPr>
        <w:spacing w:after="0" w:line="251" w:lineRule="exact"/>
        <w:rPr>
          <w:sz w:val="20"/>
          <w:szCs w:val="20"/>
          <w:color w:val="auto"/>
        </w:rPr>
      </w:pPr>
    </w:p>
    <w:p>
      <w:pPr>
        <w:ind w:right="160" w:firstLine="698"/>
        <w:spacing w:after="0" w:line="265" w:lineRule="auto"/>
        <w:rPr>
          <w:sz w:val="20"/>
          <w:szCs w:val="20"/>
          <w:color w:val="auto"/>
        </w:rPr>
      </w:pPr>
      <w:r>
        <w:rPr>
          <w:rFonts w:ascii="Times New Roman" w:cs="Times New Roman" w:eastAsia="Times New Roman" w:hAnsi="Times New Roman"/>
          <w:sz w:val="19"/>
          <w:szCs w:val="19"/>
          <w:color w:val="auto"/>
        </w:rPr>
        <w:t>The Company retires all shares repurchased pursuant to its approved share repurchase program (the "Repurchase Program"). The Company records the share purchase price and the amount of any excise taxes payable on shares repurchased as a reduction of Additional paid-in capital on its Consolidated Balance Sheets. If the Company exhausts Additional paid-in capital, it will record the excess as a reduction to Retained earnings. For more information on the Repurchase Program, refer to Note 15.</w:t>
      </w:r>
    </w:p>
    <w:p>
      <w:pPr>
        <w:spacing w:after="0" w:line="187" w:lineRule="exact"/>
        <w:rPr>
          <w:sz w:val="20"/>
          <w:szCs w:val="20"/>
          <w:color w:val="auto"/>
        </w:rPr>
      </w:pPr>
    </w:p>
    <w:p>
      <w:pPr>
        <w:ind w:left="960" w:hanging="265"/>
        <w:spacing w:after="0"/>
        <w:tabs>
          <w:tab w:leader="none" w:pos="96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Revenue Recognition</w:t>
      </w:r>
    </w:p>
    <w:p>
      <w:pPr>
        <w:spacing w:after="0" w:line="251" w:lineRule="exact"/>
        <w:rPr>
          <w:sz w:val="20"/>
          <w:szCs w:val="20"/>
          <w:color w:val="auto"/>
        </w:rPr>
      </w:pPr>
    </w:p>
    <w:p>
      <w:pPr>
        <w:ind w:right="100" w:firstLine="698"/>
        <w:spacing w:after="0" w:line="293" w:lineRule="auto"/>
        <w:rPr>
          <w:sz w:val="20"/>
          <w:szCs w:val="20"/>
          <w:color w:val="auto"/>
        </w:rPr>
      </w:pPr>
      <w:r>
        <w:rPr>
          <w:rFonts w:ascii="Times New Roman" w:cs="Times New Roman" w:eastAsia="Times New Roman" w:hAnsi="Times New Roman"/>
          <w:sz w:val="19"/>
          <w:szCs w:val="19"/>
          <w:color w:val="auto"/>
        </w:rPr>
        <w:t>The Company recognizes revenue when it transfers control of goods or services to a customer in an amount that reflects the consideration to which it expects to be entitled to for those goods or services based on the following five steps:</w:t>
      </w:r>
    </w:p>
    <w:p>
      <w:pPr>
        <w:spacing w:after="0" w:line="165" w:lineRule="exact"/>
        <w:rPr>
          <w:sz w:val="20"/>
          <w:szCs w:val="20"/>
          <w:color w:val="auto"/>
        </w:rPr>
      </w:pPr>
    </w:p>
    <w:p>
      <w:pPr>
        <w:ind w:left="1040" w:hanging="345"/>
        <w:spacing w:after="0"/>
        <w:tabs>
          <w:tab w:leader="none" w:pos="10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 the contract with a customer;</w:t>
      </w:r>
    </w:p>
    <w:p>
      <w:pPr>
        <w:spacing w:after="0" w:line="247" w:lineRule="exact"/>
        <w:rPr>
          <w:rFonts w:ascii="Times New Roman" w:cs="Times New Roman" w:eastAsia="Times New Roman" w:hAnsi="Times New Roman"/>
          <w:sz w:val="19"/>
          <w:szCs w:val="19"/>
          <w:color w:val="auto"/>
        </w:rPr>
      </w:pPr>
    </w:p>
    <w:p>
      <w:pPr>
        <w:ind w:left="1040" w:hanging="345"/>
        <w:spacing w:after="0"/>
        <w:tabs>
          <w:tab w:leader="none" w:pos="10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 the performance obligations in the contract;</w:t>
      </w:r>
    </w:p>
    <w:p>
      <w:pPr>
        <w:spacing w:after="0" w:line="247" w:lineRule="exact"/>
        <w:rPr>
          <w:rFonts w:ascii="Times New Roman" w:cs="Times New Roman" w:eastAsia="Times New Roman" w:hAnsi="Times New Roman"/>
          <w:sz w:val="19"/>
          <w:szCs w:val="19"/>
          <w:color w:val="auto"/>
        </w:rPr>
      </w:pPr>
    </w:p>
    <w:p>
      <w:pPr>
        <w:ind w:left="1040" w:hanging="345"/>
        <w:spacing w:after="0"/>
        <w:tabs>
          <w:tab w:leader="none" w:pos="10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the transaction price;</w:t>
      </w:r>
    </w:p>
    <w:p>
      <w:pPr>
        <w:spacing w:after="0" w:line="247" w:lineRule="exact"/>
        <w:rPr>
          <w:rFonts w:ascii="Times New Roman" w:cs="Times New Roman" w:eastAsia="Times New Roman" w:hAnsi="Times New Roman"/>
          <w:sz w:val="19"/>
          <w:szCs w:val="19"/>
          <w:color w:val="auto"/>
        </w:rPr>
      </w:pPr>
    </w:p>
    <w:p>
      <w:pPr>
        <w:ind w:left="1040" w:hanging="345"/>
        <w:spacing w:after="0"/>
        <w:tabs>
          <w:tab w:leader="none" w:pos="10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Allocate the transaction price to performance obligations in the contract; and</w:t>
      </w:r>
    </w:p>
    <w:p>
      <w:pPr>
        <w:spacing w:after="0" w:line="247" w:lineRule="exact"/>
        <w:rPr>
          <w:rFonts w:ascii="Times New Roman" w:cs="Times New Roman" w:eastAsia="Times New Roman" w:hAnsi="Times New Roman"/>
          <w:sz w:val="19"/>
          <w:szCs w:val="19"/>
          <w:color w:val="auto"/>
        </w:rPr>
      </w:pPr>
    </w:p>
    <w:p>
      <w:pPr>
        <w:ind w:left="1040" w:hanging="345"/>
        <w:spacing w:after="0"/>
        <w:tabs>
          <w:tab w:leader="none" w:pos="10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Recognize revenue when or as the Company satisfies a performance obligation.</w:t>
      </w:r>
    </w:p>
    <w:p>
      <w:pPr>
        <w:spacing w:after="0" w:line="247" w:lineRule="exact"/>
        <w:rPr>
          <w:sz w:val="20"/>
          <w:szCs w:val="20"/>
          <w:color w:val="auto"/>
        </w:rPr>
      </w:pPr>
    </w:p>
    <w:p>
      <w:pPr>
        <w:ind w:right="100" w:firstLine="698"/>
        <w:spacing w:after="0" w:line="263" w:lineRule="auto"/>
        <w:rPr>
          <w:sz w:val="20"/>
          <w:szCs w:val="20"/>
          <w:color w:val="auto"/>
        </w:rPr>
      </w:pPr>
      <w:r>
        <w:rPr>
          <w:rFonts w:ascii="Times New Roman" w:cs="Times New Roman" w:eastAsia="Times New Roman" w:hAnsi="Times New Roman"/>
          <w:sz w:val="19"/>
          <w:szCs w:val="19"/>
          <w:color w:val="auto"/>
        </w:rPr>
        <w:t>The Company derives its revenue from contracts substantially all from recurring service fees. While the majority of its agreements are generally cancellable by the client on 60 days’ notice or less, the Company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HCM-related software solutions, including employee management and benefits enrollment and administration, substantially all of which are delivered on a monthly basis.</w:t>
      </w:r>
    </w:p>
    <w:p>
      <w:pPr>
        <w:spacing w:after="0" w:line="193" w:lineRule="exact"/>
        <w:rPr>
          <w:sz w:val="20"/>
          <w:szCs w:val="20"/>
          <w:color w:val="auto"/>
        </w:rPr>
      </w:pPr>
    </w:p>
    <w:p>
      <w:pPr>
        <w:ind w:right="80" w:firstLine="698"/>
        <w:spacing w:after="0" w:line="268" w:lineRule="auto"/>
        <w:rPr>
          <w:sz w:val="20"/>
          <w:szCs w:val="20"/>
          <w:color w:val="auto"/>
        </w:rPr>
      </w:pPr>
      <w:r>
        <w:rPr>
          <w:rFonts w:ascii="Times New Roman" w:cs="Times New Roman" w:eastAsia="Times New Roman" w:hAnsi="Times New Roman"/>
          <w:sz w:val="19"/>
          <w:szCs w:val="19"/>
          <w:color w:val="auto"/>
        </w:rPr>
        <w:t>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w:t>
      </w:r>
    </w:p>
    <w:p>
      <w:pPr>
        <w:spacing w:after="0" w:line="188" w:lineRule="exact"/>
        <w:rPr>
          <w:sz w:val="20"/>
          <w:szCs w:val="20"/>
          <w:color w:val="auto"/>
        </w:rPr>
      </w:pPr>
    </w:p>
    <w:p>
      <w:pPr>
        <w:ind w:firstLine="698"/>
        <w:spacing w:after="0" w:line="266" w:lineRule="auto"/>
        <w:rPr>
          <w:sz w:val="20"/>
          <w:szCs w:val="20"/>
          <w:color w:val="auto"/>
        </w:rPr>
      </w:pPr>
      <w:r>
        <w:rPr>
          <w:rFonts w:ascii="Times New Roman" w:cs="Times New Roman" w:eastAsia="Times New Roman" w:hAnsi="Times New Roman"/>
          <w:sz w:val="19"/>
          <w:szCs w:val="19"/>
          <w:color w:val="auto"/>
        </w:rPr>
        <w:t>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As a result, implementation fees are deferred and amortized generally over a period up to 24 months.</w:t>
      </w:r>
    </w:p>
    <w:p>
      <w:pPr>
        <w:spacing w:after="0" w:line="200" w:lineRule="exact"/>
        <w:rPr>
          <w:sz w:val="20"/>
          <w:szCs w:val="20"/>
          <w:color w:val="auto"/>
        </w:rPr>
      </w:pPr>
    </w:p>
    <w:p>
      <w:pPr>
        <w:spacing w:after="0" w:line="228" w:lineRule="exact"/>
        <w:rPr>
          <w:sz w:val="20"/>
          <w:szCs w:val="20"/>
          <w:color w:val="auto"/>
        </w:rPr>
      </w:pPr>
    </w:p>
    <w:p>
      <w:pPr>
        <w:ind w:right="120" w:firstLine="698"/>
        <w:spacing w:after="0" w:line="274" w:lineRule="auto"/>
        <w:rPr>
          <w:sz w:val="20"/>
          <w:szCs w:val="20"/>
          <w:color w:val="auto"/>
        </w:rPr>
      </w:pPr>
      <w:r>
        <w:rPr>
          <w:rFonts w:ascii="Times New Roman" w:cs="Times New Roman" w:eastAsia="Times New Roman" w:hAnsi="Times New Roman"/>
          <w:sz w:val="19"/>
          <w:szCs w:val="19"/>
          <w:color w:val="auto"/>
        </w:rPr>
        <w:t>Sales taxes collected from clients and remitted to governmental authorities where applicable are accounted for on a net basis and therefore are excluded from revenues in the Consolidated Statements of Operations and Comprehensive Income.</w:t>
      </w:r>
    </w:p>
    <w:p>
      <w:pPr>
        <w:spacing w:after="0" w:line="183" w:lineRule="exact"/>
        <w:rPr>
          <w:sz w:val="20"/>
          <w:szCs w:val="20"/>
          <w:color w:val="auto"/>
        </w:rPr>
      </w:pPr>
    </w:p>
    <w:p>
      <w:pPr>
        <w:ind w:right="280" w:firstLine="698"/>
        <w:spacing w:after="0" w:line="293" w:lineRule="auto"/>
        <w:rPr>
          <w:sz w:val="20"/>
          <w:szCs w:val="20"/>
          <w:color w:val="auto"/>
        </w:rPr>
      </w:pPr>
      <w:r>
        <w:rPr>
          <w:rFonts w:ascii="Times New Roman" w:cs="Times New Roman" w:eastAsia="Times New Roman" w:hAnsi="Times New Roman"/>
          <w:sz w:val="19"/>
          <w:szCs w:val="19"/>
          <w:color w:val="auto"/>
        </w:rPr>
        <w:t>Interest income earned on funds held for clients is recognized in Interest income on funds held for clients when earned as the collection, holding and remittance of these funds are components of providing services to clients.</w:t>
      </w:r>
    </w:p>
    <w:p>
      <w:pPr>
        <w:spacing w:after="0" w:line="161" w:lineRule="exact"/>
        <w:rPr>
          <w:sz w:val="20"/>
          <w:szCs w:val="20"/>
          <w:color w:val="auto"/>
        </w:rPr>
      </w:pPr>
    </w:p>
    <w:p>
      <w:pPr>
        <w:ind w:left="960" w:hanging="265"/>
        <w:spacing w:after="0"/>
        <w:tabs>
          <w:tab w:leader="none" w:pos="9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Cost of Revenues</w:t>
      </w:r>
    </w:p>
    <w:p>
      <w:pPr>
        <w:spacing w:after="0" w:line="251" w:lineRule="exact"/>
        <w:rPr>
          <w:sz w:val="20"/>
          <w:szCs w:val="20"/>
          <w:color w:val="auto"/>
        </w:rPr>
      </w:pPr>
    </w:p>
    <w:p>
      <w:pPr>
        <w:ind w:right="260" w:firstLine="698"/>
        <w:spacing w:after="0" w:line="265" w:lineRule="auto"/>
        <w:rPr>
          <w:sz w:val="20"/>
          <w:szCs w:val="20"/>
          <w:color w:val="auto"/>
        </w:rPr>
      </w:pPr>
      <w:r>
        <w:rPr>
          <w:rFonts w:ascii="Times New Roman" w:cs="Times New Roman" w:eastAsia="Times New Roman" w:hAnsi="Times New Roman"/>
          <w:sz w:val="19"/>
          <w:szCs w:val="19"/>
          <w:color w:val="auto"/>
        </w:rPr>
        <w:t>Cost of revenues consists primarily of employee-related costs for ongoing client support and implementation activities and also includes amortization of capitalized internal-use software and certain acquired intangibles. The Company generally expenses these costs when incurred except for costs related to the implementation of the Company’s proprietary products. These costs are capitalized and amortized over the expected period of benefit, which the Company increased from 7 years to 8 years effective June 30, 2026, on a prospective basis.</w:t>
      </w:r>
    </w:p>
    <w:p>
      <w:pPr>
        <w:sectPr>
          <w:pgSz w:w="11880" w:h="15480" w:orient="portrait"/>
          <w:cols w:equalWidth="0" w:num="1">
            <w:col w:w="9600"/>
          </w:cols>
          <w:pgMar w:left="1140" w:top="86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9600"/>
          </w:cols>
          <w:pgMar w:left="1140" w:top="868" w:right="1140" w:bottom="0" w:gutter="0" w:footer="0" w:header="0"/>
          <w:type w:val="continuous"/>
        </w:sectPr>
      </w:pPr>
    </w:p>
    <w:bookmarkStart w:id="78" w:name="page79"/>
    <w:bookmarkEnd w:id="78"/>
    <w:p>
      <w:pPr>
        <w:ind w:left="960" w:hanging="265"/>
        <w:spacing w:after="0"/>
        <w:tabs>
          <w:tab w:leader="none" w:pos="96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Advertising</w:t>
      </w:r>
    </w:p>
    <w:p>
      <w:pPr>
        <w:spacing w:after="0" w:line="251" w:lineRule="exact"/>
        <w:rPr>
          <w:sz w:val="20"/>
          <w:szCs w:val="20"/>
          <w:color w:val="auto"/>
        </w:rPr>
      </w:pPr>
    </w:p>
    <w:p>
      <w:pPr>
        <w:ind w:right="160" w:firstLine="698"/>
        <w:spacing w:after="0" w:line="293" w:lineRule="auto"/>
        <w:rPr>
          <w:sz w:val="20"/>
          <w:szCs w:val="20"/>
          <w:color w:val="auto"/>
        </w:rPr>
      </w:pPr>
      <w:r>
        <w:rPr>
          <w:rFonts w:ascii="Times New Roman" w:cs="Times New Roman" w:eastAsia="Times New Roman" w:hAnsi="Times New Roman"/>
          <w:sz w:val="19"/>
          <w:szCs w:val="19"/>
          <w:color w:val="auto"/>
        </w:rPr>
        <w:t>Advertising costs are expensed as incurred. Advertising costs amounted to $22,414, $19,803 and $21,307 for the years ended June 30, 2024, 2025 and 2026, respectively.</w:t>
      </w:r>
    </w:p>
    <w:p>
      <w:pPr>
        <w:spacing w:after="0" w:line="161" w:lineRule="exact"/>
        <w:rPr>
          <w:sz w:val="20"/>
          <w:szCs w:val="20"/>
          <w:color w:val="auto"/>
        </w:rPr>
      </w:pPr>
    </w:p>
    <w:p>
      <w:pPr>
        <w:ind w:left="940" w:hanging="245"/>
        <w:spacing w:after="0"/>
        <w:tabs>
          <w:tab w:leader="none" w:pos="94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251" w:lineRule="exact"/>
        <w:rPr>
          <w:sz w:val="20"/>
          <w:szCs w:val="20"/>
          <w:color w:val="auto"/>
        </w:rPr>
      </w:pPr>
    </w:p>
    <w:p>
      <w:pPr>
        <w:ind w:right="40" w:firstLine="698"/>
        <w:spacing w:after="0" w:line="260" w:lineRule="auto"/>
        <w:rPr>
          <w:sz w:val="20"/>
          <w:szCs w:val="20"/>
          <w:color w:val="auto"/>
        </w:rPr>
      </w:pPr>
      <w:r>
        <w:rPr>
          <w:rFonts w:ascii="Times New Roman" w:cs="Times New Roman" w:eastAsia="Times New Roman" w:hAnsi="Times New Roman"/>
          <w:sz w:val="19"/>
          <w:szCs w:val="19"/>
          <w:color w:val="auto"/>
        </w:rPr>
        <w:t>The Company recognizes stock-based compensation as a cost in the financial statements. Equity-classified awards, comprised of restricted stock units, performance stock units and market share units, are measured at the grant date fair value of each award and expense is recognized, net of assumed forfeitures, on a straight-line basis over the requisite service period for each separately vesting portion of each award. For market share units, the Company estimates grant date fair value using a discrete model based on multiple stock price-paths developed through the use of Monte Carlo simulation. For estimated shares purchasable under the 2014 Employee Stock Purchase Plan (“ESPP”), the Company estimates grant date fair value using the Black-Scholes option-pricing model and recognizes applicable expense on a straight-line basis over each purchase period. The Company may update the assumed forfeiture rates based on historical experience as appropriate.</w:t>
      </w:r>
    </w:p>
    <w:p>
      <w:pPr>
        <w:spacing w:after="0" w:line="200" w:lineRule="exact"/>
        <w:rPr>
          <w:sz w:val="20"/>
          <w:szCs w:val="20"/>
          <w:color w:val="auto"/>
        </w:rPr>
      </w:pPr>
    </w:p>
    <w:p>
      <w:pPr>
        <w:spacing w:after="0" w:line="231" w:lineRule="exact"/>
        <w:rPr>
          <w:sz w:val="20"/>
          <w:szCs w:val="20"/>
          <w:color w:val="auto"/>
        </w:rPr>
      </w:pPr>
    </w:p>
    <w:p>
      <w:pPr>
        <w:ind w:left="940" w:hanging="245"/>
        <w:spacing w:after="0"/>
        <w:tabs>
          <w:tab w:leader="none" w:pos="9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Commitments and Contingencies</w:t>
      </w:r>
    </w:p>
    <w:p>
      <w:pPr>
        <w:spacing w:after="0" w:line="251" w:lineRule="exact"/>
        <w:rPr>
          <w:sz w:val="20"/>
          <w:szCs w:val="20"/>
          <w:color w:val="auto"/>
        </w:rPr>
      </w:pPr>
    </w:p>
    <w:p>
      <w:pPr>
        <w:ind w:firstLine="698"/>
        <w:spacing w:after="0" w:line="274" w:lineRule="auto"/>
        <w:rPr>
          <w:sz w:val="20"/>
          <w:szCs w:val="20"/>
          <w:color w:val="auto"/>
        </w:rPr>
      </w:pPr>
      <w:r>
        <w:rPr>
          <w:rFonts w:ascii="Times New Roman" w:cs="Times New Roman" w:eastAsia="Times New Roman" w:hAnsi="Times New Roman"/>
          <w:sz w:val="19"/>
          <w:szCs w:val="19"/>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9" w:lineRule="exact"/>
        <w:rPr>
          <w:sz w:val="20"/>
          <w:szCs w:val="20"/>
          <w:color w:val="auto"/>
        </w:rPr>
      </w:pPr>
    </w:p>
    <w:p>
      <w:pPr>
        <w:ind w:left="920" w:hanging="225"/>
        <w:spacing w:after="0"/>
        <w:tabs>
          <w:tab w:leader="none" w:pos="9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Segment Information</w:t>
      </w:r>
    </w:p>
    <w:p>
      <w:pPr>
        <w:spacing w:after="0" w:line="251" w:lineRule="exact"/>
        <w:rPr>
          <w:sz w:val="20"/>
          <w:szCs w:val="20"/>
          <w:color w:val="auto"/>
        </w:rPr>
      </w:pPr>
    </w:p>
    <w:p>
      <w:pPr>
        <w:jc w:val="both"/>
        <w:ind w:right="600" w:firstLine="698"/>
        <w:spacing w:after="0" w:line="274" w:lineRule="auto"/>
        <w:rPr>
          <w:sz w:val="20"/>
          <w:szCs w:val="20"/>
          <w:color w:val="auto"/>
        </w:rPr>
      </w:pPr>
      <w:r>
        <w:rPr>
          <w:rFonts w:ascii="Times New Roman" w:cs="Times New Roman" w:eastAsia="Times New Roman" w:hAnsi="Times New Roman"/>
          <w:sz w:val="19"/>
          <w:szCs w:val="19"/>
          <w:color w:val="auto"/>
        </w:rPr>
        <w:t>The Company’s chief operating decision maker reviews the financial results of the Company in total when evaluating financial performance and for purposes of allocating resources. The Company has thus determined that it operates in a single operating and reportable segment.</w:t>
      </w:r>
    </w:p>
    <w:p>
      <w:pPr>
        <w:spacing w:after="0" w:line="179" w:lineRule="exact"/>
        <w:rPr>
          <w:sz w:val="20"/>
          <w:szCs w:val="20"/>
          <w:color w:val="auto"/>
        </w:rPr>
      </w:pPr>
    </w:p>
    <w:p>
      <w:pPr>
        <w:ind w:left="960" w:hanging="265"/>
        <w:spacing w:after="0"/>
        <w:tabs>
          <w:tab w:leader="none" w:pos="96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Recently Adopted Accounting Standards</w:t>
      </w:r>
    </w:p>
    <w:p>
      <w:pPr>
        <w:spacing w:after="0" w:line="251" w:lineRule="exact"/>
        <w:rPr>
          <w:sz w:val="20"/>
          <w:szCs w:val="20"/>
          <w:color w:val="auto"/>
        </w:rPr>
      </w:pPr>
    </w:p>
    <w:p>
      <w:pPr>
        <w:ind w:right="180" w:firstLine="698"/>
        <w:spacing w:after="0" w:line="265" w:lineRule="auto"/>
        <w:rPr>
          <w:sz w:val="20"/>
          <w:szCs w:val="20"/>
          <w:color w:val="auto"/>
        </w:rPr>
      </w:pPr>
      <w:r>
        <w:rPr>
          <w:rFonts w:ascii="Times New Roman" w:cs="Times New Roman" w:eastAsia="Times New Roman" w:hAnsi="Times New Roman"/>
          <w:sz w:val="19"/>
          <w:szCs w:val="19"/>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Company adopted this ASU on a prospective basis for the fiscal year ended June 30, 2026. Refer to Note 14 for the Company’s disclosures under this standard.</w:t>
      </w:r>
    </w:p>
    <w:p>
      <w:pPr>
        <w:spacing w:after="0" w:line="187" w:lineRule="exact"/>
        <w:rPr>
          <w:sz w:val="20"/>
          <w:szCs w:val="20"/>
          <w:color w:val="auto"/>
        </w:rPr>
      </w:pPr>
    </w:p>
    <w:p>
      <w:pPr>
        <w:ind w:left="960" w:hanging="265"/>
        <w:spacing w:after="0"/>
        <w:tabs>
          <w:tab w:leader="none" w:pos="9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Recently Issued Accounting Standards</w:t>
      </w:r>
    </w:p>
    <w:p>
      <w:pPr>
        <w:spacing w:after="0" w:line="251" w:lineRule="exact"/>
        <w:rPr>
          <w:sz w:val="20"/>
          <w:szCs w:val="20"/>
          <w:color w:val="auto"/>
        </w:rPr>
      </w:pPr>
    </w:p>
    <w:p>
      <w:pPr>
        <w:ind w:right="240" w:firstLine="698"/>
        <w:spacing w:after="0" w:line="262" w:lineRule="auto"/>
        <w:rPr>
          <w:sz w:val="20"/>
          <w:szCs w:val="20"/>
          <w:color w:val="auto"/>
        </w:rPr>
      </w:pPr>
      <w:r>
        <w:rPr>
          <w:rFonts w:ascii="Times New Roman" w:cs="Times New Roman" w:eastAsia="Times New Roman" w:hAnsi="Times New Roman"/>
          <w:sz w:val="19"/>
          <w:szCs w:val="19"/>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93" w:lineRule="exact"/>
        <w:rPr>
          <w:sz w:val="20"/>
          <w:szCs w:val="20"/>
          <w:color w:val="auto"/>
        </w:rPr>
      </w:pPr>
    </w:p>
    <w:p>
      <w:pPr>
        <w:ind w:right="60" w:firstLine="698"/>
        <w:spacing w:after="0" w:line="259" w:lineRule="auto"/>
        <w:rPr>
          <w:sz w:val="20"/>
          <w:szCs w:val="20"/>
          <w:color w:val="auto"/>
        </w:rPr>
      </w:pPr>
      <w:r>
        <w:rPr>
          <w:rFonts w:ascii="Times New Roman" w:cs="Times New Roman" w:eastAsia="Times New Roman" w:hAnsi="Times New Roman"/>
          <w:sz w:val="19"/>
          <w:szCs w:val="19"/>
          <w:color w:val="auto"/>
        </w:rPr>
        <w:t>In September 2025, the FASB issued Accounting Standards Update 2025-06, Intangibles - Goodwill and Other - Internal-Use Software (Subtopic 350-40): Targeted Improvements to the Accounting for Internal-Use Software ("ASU 2025-06"). ASU 2025-06 removes all references to software development stages in existing guidance and, instead, requires the capitalization of software development costs when the Company's management has authorized and committed to funding a project and it is probable the project will be completed and the software will be used to perform its intended function. This ASU may be applied on a prospective, retrospective or on a modified transition basis based on project and capitalization status before the adoption date. This ASU is effective for all fiscal years beginning after December 15, 2027 and interim periods beginning within those annual reporting periods, with early adoption permitted as of the beginning of an annual reporting period. The Company is currently assessing the impact of this ASU on its consolidated financial statements and is evaluating the method and timing of adoption.</w:t>
      </w:r>
    </w:p>
    <w:p>
      <w:pPr>
        <w:sectPr>
          <w:pgSz w:w="11880" w:h="15480" w:orient="portrait"/>
          <w:cols w:equalWidth="0" w:num="1">
            <w:col w:w="9600"/>
          </w:cols>
          <w:pgMar w:left="1140" w:top="86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9600"/>
          </w:cols>
          <w:pgMar w:left="1140" w:top="868" w:right="1140" w:bottom="0" w:gutter="0" w:footer="0" w:header="0"/>
          <w:type w:val="continuous"/>
        </w:sectPr>
      </w:pPr>
    </w:p>
    <w:bookmarkStart w:id="79" w:name="page80"/>
    <w:bookmarkEnd w:id="79"/>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Revenue</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table disaggregates revenue by Recurring fees and Implementation services and other, which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believes depicts the nature, amount and timing of its revenue:</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5"/>
        </w:trPr>
        <w:tc>
          <w:tcPr>
            <w:tcW w:w="5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Recurring fees </w:t>
            </w:r>
            <w:r>
              <w:rPr>
                <w:rFonts w:ascii="Times New Roman" w:cs="Times New Roman" w:eastAsia="Times New Roman" w:hAnsi="Times New Roman"/>
                <w:sz w:val="19"/>
                <w:szCs w:val="19"/>
                <w:color w:val="B4B4B4"/>
              </w:rPr>
              <w: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1,227,150</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1,409,896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1,587,508</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Implementation services and other</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54,530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61,905</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63,854</w:t>
            </w:r>
          </w:p>
        </w:tc>
      </w:tr>
      <w:tr>
        <w:trPr>
          <w:trHeight w:val="252"/>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revenues from contracts </w:t>
            </w:r>
            <w:r>
              <w:rPr>
                <w:rFonts w:ascii="Times New Roman" w:cs="Times New Roman" w:eastAsia="Times New Roman" w:hAnsi="Times New Roman"/>
                <w:sz w:val="19"/>
                <w:szCs w:val="19"/>
                <w:color w:val="B4B4B4"/>
              </w:rPr>
              <w:t>...................................................................</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1,281,680</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1,471,801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1,651,362</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-54610</wp:posOffset>
            </wp:positionV>
            <wp:extent cx="2534920" cy="73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revenue</w:t>
      </w:r>
    </w:p>
    <w:p>
      <w:pPr>
        <w:spacing w:after="0" w:line="254" w:lineRule="exact"/>
        <w:rPr>
          <w:sz w:val="20"/>
          <w:szCs w:val="20"/>
          <w:color w:val="auto"/>
        </w:rPr>
      </w:pPr>
    </w:p>
    <w:p>
      <w:pPr>
        <w:ind w:right="340" w:firstLine="698"/>
        <w:spacing w:after="0" w:line="274" w:lineRule="auto"/>
        <w:rPr>
          <w:sz w:val="20"/>
          <w:szCs w:val="20"/>
          <w:color w:val="auto"/>
        </w:rPr>
      </w:pPr>
      <w:r>
        <w:rPr>
          <w:rFonts w:ascii="Times New Roman" w:cs="Times New Roman" w:eastAsia="Times New Roman" w:hAnsi="Times New Roman"/>
          <w:sz w:val="19"/>
          <w:szCs w:val="19"/>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83" w:lineRule="exact"/>
        <w:rPr>
          <w:sz w:val="20"/>
          <w:szCs w:val="20"/>
          <w:color w:val="auto"/>
        </w:rPr>
      </w:pPr>
    </w:p>
    <w:p>
      <w:pPr>
        <w:ind w:right="120" w:firstLine="698"/>
        <w:spacing w:after="0" w:line="274" w:lineRule="auto"/>
        <w:rPr>
          <w:sz w:val="20"/>
          <w:szCs w:val="20"/>
          <w:color w:val="auto"/>
        </w:rPr>
      </w:pPr>
      <w:r>
        <w:rPr>
          <w:rFonts w:ascii="Times New Roman" w:cs="Times New Roman" w:eastAsia="Times New Roman" w:hAnsi="Times New Roman"/>
          <w:sz w:val="19"/>
          <w:szCs w:val="19"/>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26"/>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31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Balance at beginning of the year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24,883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28,306</w:t>
            </w:r>
          </w:p>
        </w:tc>
      </w:tr>
      <w:tr>
        <w:trPr>
          <w:trHeight w:val="285"/>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Deferral of revenue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52,542</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Revenue recognized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(45,045)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(45,399)</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Balance at end of the year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28,306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35,449</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20" w:lineRule="exact"/>
        <w:rPr>
          <w:sz w:val="20"/>
          <w:szCs w:val="20"/>
          <w:color w:val="auto"/>
        </w:rPr>
      </w:pPr>
    </w:p>
    <w:p>
      <w:pPr>
        <w:ind w:right="360" w:firstLine="698"/>
        <w:spacing w:after="0" w:line="274" w:lineRule="auto"/>
        <w:rPr>
          <w:sz w:val="20"/>
          <w:szCs w:val="20"/>
          <w:color w:val="auto"/>
        </w:rPr>
      </w:pPr>
      <w:r>
        <w:rPr>
          <w:rFonts w:ascii="Times New Roman" w:cs="Times New Roman" w:eastAsia="Times New Roman" w:hAnsi="Times New Roman"/>
          <w:sz w:val="19"/>
          <w:szCs w:val="19"/>
          <w:color w:val="auto"/>
        </w:rPr>
        <w:t>Deferred revenue related to these nonrefundable upfront fees are recorded within Accrued expenses and Other long-term liabilities on the Consolidated Balance Sheets. The Company expects to recognize these deferred revenue balances of $26,430 in fiscal 2027, $7,942 in fiscal 2028, and $1,077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contract costs</w:t>
      </w:r>
    </w:p>
    <w:p>
      <w:pPr>
        <w:spacing w:after="0" w:line="254" w:lineRule="exact"/>
        <w:rPr>
          <w:sz w:val="20"/>
          <w:szCs w:val="20"/>
          <w:color w:val="auto"/>
        </w:rPr>
      </w:pPr>
    </w:p>
    <w:p>
      <w:pPr>
        <w:ind w:right="280" w:firstLine="698"/>
        <w:spacing w:after="0" w:line="293" w:lineRule="auto"/>
        <w:rPr>
          <w:sz w:val="20"/>
          <w:szCs w:val="20"/>
          <w:color w:val="auto"/>
        </w:rPr>
      </w:pPr>
      <w:r>
        <w:rPr>
          <w:rFonts w:ascii="Times New Roman" w:cs="Times New Roman" w:eastAsia="Times New Roman" w:hAnsi="Times New Roman"/>
          <w:sz w:val="19"/>
          <w:szCs w:val="19"/>
          <w:color w:val="auto"/>
        </w:rPr>
        <w:t>The following tables present the deferred contract costs balances and the related amortization expense for these deferred contract costs: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Year Ended June 30, 2025</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1"/>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09"/>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Costs</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Costs to obtain a new contract </w:t>
            </w:r>
            <w:r>
              <w:rPr>
                <w:rFonts w:ascii="Times New Roman" w:cs="Times New Roman" w:eastAsia="Times New Roman" w:hAnsi="Times New Roman"/>
                <w:sz w:val="19"/>
                <w:szCs w:val="19"/>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250,136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93,281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(61,327)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282,090</w:t>
            </w:r>
          </w:p>
        </w:tc>
      </w:tr>
      <w:tr>
        <w:trPr>
          <w:trHeight w:val="294"/>
        </w:trPr>
        <w:tc>
          <w:tcPr>
            <w:tcW w:w="43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Costs to fulfill a contract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195,726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80,833</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(47,801)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228,758</w:t>
            </w:r>
          </w:p>
        </w:tc>
      </w:tr>
      <w:tr>
        <w:trPr>
          <w:trHeight w:val="252"/>
        </w:trPr>
        <w:tc>
          <w:tcPr>
            <w:tcW w:w="43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445,862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174,114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(109,128)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510,848</w:t>
            </w: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-54610</wp:posOffset>
            </wp:positionV>
            <wp:extent cx="3375660" cy="73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a:extLst>
                        <a:ext uri="{28A0092B-C50C-407E-A947-70E740481C1C}"/>
                      </a:extLst>
                    </a:blip>
                    <a:srcRect/>
                    <a:stretch>
                      <a:fillRect/>
                    </a:stretch>
                  </pic:blipFill>
                  <pic:spPr bwMode="auto">
                    <a:xfrm>
                      <a:off x="0" y="0"/>
                      <a:ext cx="3375660" cy="73660"/>
                    </a:xfrm>
                    <a:prstGeom prst="rect">
                      <a:avLst/>
                    </a:prstGeom>
                    <a:noFill/>
                  </pic:spPr>
                </pic:pic>
              </a:graphicData>
            </a:graphic>
          </wp:anchor>
        </w:drawing>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9600"/>
          </w:cols>
          <w:pgMar w:left="1140" w:top="872" w:right="1140" w:bottom="0" w:gutter="0" w:footer="0" w:header="0"/>
          <w:type w:val="continuous"/>
        </w:sectPr>
      </w:pPr>
    </w:p>
    <w:bookmarkStart w:id="80" w:name="page81"/>
    <w:bookmarkEnd w:id="80"/>
    <w:tbl>
      <w:tblPr>
        <w:tblLayout w:type="fixed"/>
        <w:tblInd w:w="4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Year Ended June 30, 2026</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1"/>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09"/>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Costs</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Costs to obtain a new contract </w:t>
            </w:r>
            <w:r>
              <w:rPr>
                <w:rFonts w:ascii="Times New Roman" w:cs="Times New Roman" w:eastAsia="Times New Roman" w:hAnsi="Times New Roman"/>
                <w:sz w:val="19"/>
                <w:szCs w:val="19"/>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282,090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101,253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(71,559)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311,784</w:t>
            </w:r>
          </w:p>
        </w:tc>
      </w:tr>
      <w:tr>
        <w:trPr>
          <w:trHeight w:val="294"/>
        </w:trPr>
        <w:tc>
          <w:tcPr>
            <w:tcW w:w="43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Costs to fulfill a contract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228,758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75,877</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(57,233)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247,402</w:t>
            </w:r>
          </w:p>
        </w:tc>
      </w:tr>
      <w:tr>
        <w:trPr>
          <w:trHeight w:val="252"/>
        </w:trPr>
        <w:tc>
          <w:tcPr>
            <w:tcW w:w="43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510,848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(128,792)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559,186</w:t>
            </w: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-54610</wp:posOffset>
            </wp:positionV>
            <wp:extent cx="3375660" cy="73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a:extLst>
                        <a:ext uri="{28A0092B-C50C-407E-A947-70E740481C1C}"/>
                      </a:extLst>
                    </a:blip>
                    <a:srcRect/>
                    <a:stretch>
                      <a:fillRect/>
                    </a:stretch>
                  </pic:blipFill>
                  <pic:spPr bwMode="auto">
                    <a:xfrm>
                      <a:off x="0" y="0"/>
                      <a:ext cx="3375660" cy="73660"/>
                    </a:xfrm>
                    <a:prstGeom prst="rect">
                      <a:avLst/>
                    </a:prstGeom>
                    <a:noFill/>
                  </pic:spPr>
                </pic:pic>
              </a:graphicData>
            </a:graphic>
          </wp:anchor>
        </w:drawing>
      </w:r>
    </w:p>
    <w:p>
      <w:pPr>
        <w:spacing w:after="0" w:line="220" w:lineRule="exact"/>
        <w:rPr>
          <w:sz w:val="20"/>
          <w:szCs w:val="20"/>
          <w:color w:val="auto"/>
        </w:rPr>
      </w:pPr>
    </w:p>
    <w:p>
      <w:pPr>
        <w:ind w:right="40" w:firstLine="698"/>
        <w:spacing w:after="0" w:line="268" w:lineRule="auto"/>
        <w:rPr>
          <w:sz w:val="20"/>
          <w:szCs w:val="20"/>
          <w:color w:val="auto"/>
        </w:rPr>
      </w:pPr>
      <w:r>
        <w:rPr>
          <w:rFonts w:ascii="Times New Roman" w:cs="Times New Roman" w:eastAsia="Times New Roman" w:hAnsi="Times New Roman"/>
          <w:sz w:val="19"/>
          <w:szCs w:val="19"/>
          <w:color w:val="auto"/>
        </w:rPr>
        <w:t>Deferred contract costs are recorded within Deferred contract costs and Long-term deferred contract costs on the Consolidated Balance Sheets. Amortization of deferred contract costs is primarily recorded in Cost of revenues and Sales and marketing in the Consolidated Statements of Operations and Comprehensive Income. The Company did not record any impairment losses associated with its deferred contract costs during the years ended June 30, 2024, 2025 or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Remaining Performance Obligations</w:t>
      </w:r>
    </w:p>
    <w:p>
      <w:pPr>
        <w:spacing w:after="0" w:line="254" w:lineRule="exact"/>
        <w:rPr>
          <w:sz w:val="20"/>
          <w:szCs w:val="20"/>
          <w:color w:val="auto"/>
        </w:rPr>
      </w:pPr>
    </w:p>
    <w:p>
      <w:pPr>
        <w:ind w:right="20" w:firstLine="698"/>
        <w:spacing w:after="0" w:line="265" w:lineRule="auto"/>
        <w:rPr>
          <w:sz w:val="20"/>
          <w:szCs w:val="20"/>
          <w:color w:val="auto"/>
        </w:rPr>
      </w:pPr>
      <w:r>
        <w:rPr>
          <w:rFonts w:ascii="Times New Roman" w:cs="Times New Roman" w:eastAsia="Times New Roman" w:hAnsi="Times New Roman"/>
          <w:sz w:val="19"/>
          <w:szCs w:val="19"/>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value of the Company’s remaining performance obligations related to minimum monthly fees on its term-based contracts was approximately $237,614 as of June 30, 2026, which will be generally recognized over the next 24 months.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Cash and Cash Equivalents and Funds Held for Clients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Cash and cash equivalents and Funds held for clients consisted of the following: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1"/>
        </w:trPr>
        <w:tc>
          <w:tcPr>
            <w:tcW w:w="4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9"/>
        </w:trPr>
        <w:tc>
          <w:tcPr>
            <w:tcW w:w="4300" w:type="dxa"/>
            <w:vAlign w:val="bottom"/>
            <w:tcBorders>
              <w:bottom w:val="single" w:sz="8" w:color="auto"/>
            </w:tcBorders>
          </w:tcPr>
          <w:p>
            <w:pPr>
              <w:jc w:val="right"/>
              <w:ind w:right="1625"/>
              <w:spacing w:after="0"/>
              <w:rPr>
                <w:sz w:val="20"/>
                <w:szCs w:val="20"/>
                <w:color w:val="auto"/>
              </w:rPr>
            </w:pPr>
            <w:r>
              <w:rPr>
                <w:rFonts w:ascii="Times New Roman" w:cs="Times New Roman" w:eastAsia="Times New Roman" w:hAnsi="Times New Roman"/>
                <w:sz w:val="16"/>
                <w:szCs w:val="16"/>
                <w:b w:val="1"/>
                <w:bCs w:val="1"/>
                <w:color w:val="auto"/>
              </w:rPr>
              <w:t>Type of Issue</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gains</w:t>
            </w: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0"/>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398,070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398,070</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Funds held for clients' cash and cash equivalents</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2,084,456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2,084,456</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Available-for-sale securities: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Corporate bonds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372,171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6,497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378,592</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Asset-backed securities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51,709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52,178</w:t>
            </w:r>
          </w:p>
        </w:tc>
      </w:tr>
      <w:tr>
        <w:trPr>
          <w:trHeight w:val="291"/>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Certificates of deposit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61,687</w:t>
            </w:r>
          </w:p>
        </w:tc>
      </w:tr>
      <w:tr>
        <w:trPr>
          <w:trHeight w:val="291"/>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U.S treasury securities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84,889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85,264</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Commercial paper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17,272</w:t>
            </w:r>
          </w:p>
        </w:tc>
      </w:tr>
      <w:tr>
        <w:trPr>
          <w:trHeight w:val="294"/>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24,378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w:t>
            </w: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24,688</w:t>
            </w:r>
          </w:p>
        </w:tc>
      </w:tr>
      <w:tr>
        <w:trPr>
          <w:trHeight w:val="27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Total available-for-sale securities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612,101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7,694</w:t>
            </w:r>
          </w:p>
        </w:tc>
        <w:tc>
          <w:tcPr>
            <w:tcW w:w="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619,681</w:t>
            </w:r>
          </w:p>
        </w:tc>
      </w:tr>
      <w:tr>
        <w:trPr>
          <w:trHeight w:val="252"/>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Total investments </w:t>
            </w:r>
            <w:r>
              <w:rPr>
                <w:rFonts w:ascii="Times New Roman" w:cs="Times New Roman" w:eastAsia="Times New Roman" w:hAnsi="Times New Roman"/>
                <w:sz w:val="19"/>
                <w:szCs w:val="19"/>
                <w:color w:val="B4B4B4"/>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3,094,627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7,694</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3,102,207</w:t>
            </w:r>
          </w:p>
        </w:tc>
      </w:tr>
      <w:tr>
        <w:trPr>
          <w:trHeight w:val="20"/>
        </w:trPr>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-54610</wp:posOffset>
            </wp:positionV>
            <wp:extent cx="3375660" cy="73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3">
                      <a:extLst>
                        <a:ext uri="{28A0092B-C50C-407E-A947-70E740481C1C}"/>
                      </a:extLst>
                    </a:blip>
                    <a:srcRect/>
                    <a:stretch>
                      <a:fillRect/>
                    </a:stretch>
                  </pic:blipFill>
                  <pic:spPr bwMode="auto">
                    <a:xfrm>
                      <a:off x="0" y="0"/>
                      <a:ext cx="3375660" cy="73660"/>
                    </a:xfrm>
                    <a:prstGeom prst="rect">
                      <a:avLst/>
                    </a:prstGeom>
                    <a:noFill/>
                  </pic:spPr>
                </pic:pic>
              </a:graphicData>
            </a:graphic>
          </wp:anchor>
        </w:drawing>
      </w:r>
    </w:p>
    <w:p>
      <w:pPr>
        <w:sectPr>
          <w:pgSz w:w="11880" w:h="15480" w:orient="portrait"/>
          <w:cols w:equalWidth="0" w:num="1">
            <w:col w:w="9600"/>
          </w:cols>
          <w:pgMar w:left="1140" w:top="95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9600"/>
          </w:cols>
          <w:pgMar w:left="1140" w:top="959" w:right="1140"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11"/>
        </w:trPr>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1"/>
        </w:trPr>
        <w:tc>
          <w:tcPr>
            <w:tcW w:w="4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9"/>
        </w:trPr>
        <w:tc>
          <w:tcPr>
            <w:tcW w:w="4300" w:type="dxa"/>
            <w:vAlign w:val="bottom"/>
            <w:tcBorders>
              <w:bottom w:val="single" w:sz="8" w:color="auto"/>
            </w:tcBorders>
          </w:tcPr>
          <w:p>
            <w:pPr>
              <w:jc w:val="right"/>
              <w:ind w:right="1625"/>
              <w:spacing w:after="0"/>
              <w:rPr>
                <w:sz w:val="20"/>
                <w:szCs w:val="20"/>
                <w:color w:val="auto"/>
              </w:rPr>
            </w:pPr>
            <w:r>
              <w:rPr>
                <w:rFonts w:ascii="Times New Roman" w:cs="Times New Roman" w:eastAsia="Times New Roman" w:hAnsi="Times New Roman"/>
                <w:sz w:val="16"/>
                <w:szCs w:val="16"/>
                <w:b w:val="1"/>
                <w:bCs w:val="1"/>
                <w:color w:val="auto"/>
              </w:rPr>
              <w:t>Type of Issue</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0"/>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271,917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271,917</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Funds held for clients' cash and cash equivalents</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2,598,049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2,598,049</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Available-for-sale securities: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97"/>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Corporate bonds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506,538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505,670</w:t>
            </w:r>
          </w:p>
        </w:tc>
      </w:tr>
      <w:tr>
        <w:trPr>
          <w:trHeight w:val="29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Asset-backed securities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38,977</w:t>
            </w:r>
          </w:p>
        </w:tc>
      </w:tr>
      <w:tr>
        <w:trPr>
          <w:trHeight w:val="291"/>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U.S treasury securities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38,822</w:t>
            </w:r>
          </w:p>
        </w:tc>
      </w:tr>
      <w:tr>
        <w:trPr>
          <w:trHeight w:val="294"/>
        </w:trPr>
        <w:tc>
          <w:tcPr>
            <w:tcW w:w="43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29,016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154</w:t>
            </w: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28,986</w:t>
            </w:r>
          </w:p>
        </w:tc>
      </w:tr>
      <w:tr>
        <w:trPr>
          <w:trHeight w:val="271"/>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Total available-for-sale securities </w:t>
            </w:r>
            <w:r>
              <w:rPr>
                <w:rFonts w:ascii="Times New Roman" w:cs="Times New Roman" w:eastAsia="Times New Roman" w:hAnsi="Times New Roman"/>
                <w:sz w:val="19"/>
                <w:szCs w:val="19"/>
                <w:color w:val="B4B4B4"/>
              </w:rPr>
              <w: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613,341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2,863</w:t>
            </w:r>
          </w:p>
        </w:tc>
        <w:tc>
          <w:tcPr>
            <w:tcW w:w="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(3,749)</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612,455</w:t>
            </w:r>
          </w:p>
        </w:tc>
      </w:tr>
      <w:tr>
        <w:trPr>
          <w:trHeight w:val="252"/>
        </w:trPr>
        <w:tc>
          <w:tcPr>
            <w:tcW w:w="4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Total investments </w:t>
            </w:r>
            <w:r>
              <w:rPr>
                <w:rFonts w:ascii="Times New Roman" w:cs="Times New Roman" w:eastAsia="Times New Roman" w:hAnsi="Times New Roman"/>
                <w:sz w:val="19"/>
                <w:szCs w:val="19"/>
                <w:color w:val="B4B4B4"/>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3,483,307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2,863</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3,482,421</w:t>
            </w:r>
          </w:p>
        </w:tc>
      </w:tr>
      <w:tr>
        <w:trPr>
          <w:trHeight w:val="20"/>
        </w:trPr>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-54610</wp:posOffset>
            </wp:positionV>
            <wp:extent cx="3375660" cy="73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4">
                      <a:extLst>
                        <a:ext uri="{28A0092B-C50C-407E-A947-70E740481C1C}"/>
                      </a:extLst>
                    </a:blip>
                    <a:srcRect/>
                    <a:stretch>
                      <a:fillRect/>
                    </a:stretch>
                  </pic:blipFill>
                  <pic:spPr bwMode="auto">
                    <a:xfrm>
                      <a:off x="0" y="0"/>
                      <a:ext cx="3375660" cy="73660"/>
                    </a:xfrm>
                    <a:prstGeom prst="rect">
                      <a:avLst/>
                    </a:prstGeom>
                    <a:noFill/>
                  </pic:spPr>
                </pic:pic>
              </a:graphicData>
            </a:graphic>
          </wp:anchor>
        </w:drawing>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All available-for-sale securities were included in Funds held for clients at June 30, 2025 and 2026.</w:t>
      </w:r>
    </w:p>
    <w:p>
      <w:pPr>
        <w:spacing w:after="0" w:line="247" w:lineRule="exact"/>
        <w:rPr>
          <w:sz w:val="20"/>
          <w:szCs w:val="20"/>
          <w:color w:val="auto"/>
        </w:rPr>
      </w:pPr>
    </w:p>
    <w:p>
      <w:pPr>
        <w:jc w:val="both"/>
        <w:ind w:right="20" w:firstLine="698"/>
        <w:spacing w:after="0" w:line="293" w:lineRule="auto"/>
        <w:rPr>
          <w:sz w:val="20"/>
          <w:szCs w:val="20"/>
          <w:color w:val="auto"/>
        </w:rPr>
      </w:pPr>
      <w:r>
        <w:rPr>
          <w:rFonts w:ascii="Times New Roman" w:cs="Times New Roman" w:eastAsia="Times New Roman" w:hAnsi="Times New Roman"/>
          <w:sz w:val="19"/>
          <w:szCs w:val="19"/>
          <w:color w:val="auto"/>
        </w:rPr>
        <w:t>Cash and cash equivalents and funds held for clients’ cash and cash equivalents included demand deposit accounts and money market funds as of June 30, 2025 and 2026.</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Classification of investments on the consolidated balance sheets was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26"/>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398,070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271,917</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Funds held for clients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2,704,137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3,210,504</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investments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3,102,207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3,482,421</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5">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20" w:lineRule="exact"/>
        <w:rPr>
          <w:sz w:val="20"/>
          <w:szCs w:val="20"/>
          <w:color w:val="auto"/>
        </w:rPr>
      </w:pPr>
    </w:p>
    <w:p>
      <w:pPr>
        <w:ind w:right="200" w:firstLine="698"/>
        <w:spacing w:after="0" w:line="293" w:lineRule="auto"/>
        <w:rPr>
          <w:sz w:val="20"/>
          <w:szCs w:val="20"/>
          <w:color w:val="auto"/>
        </w:rPr>
      </w:pPr>
      <w:r>
        <w:rPr>
          <w:rFonts w:ascii="Times New Roman" w:cs="Times New Roman" w:eastAsia="Times New Roman" w:hAnsi="Times New Roman"/>
          <w:sz w:val="19"/>
          <w:szCs w:val="19"/>
          <w:color w:val="auto"/>
        </w:rPr>
        <w:t>Available-for-sale securities that have been in an unrealized loss position for a period of less and greater than 12 months as of June 30, 2025 and 2026 had fair market value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1"/>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w w:val="99"/>
              </w:rPr>
              <w:t>Securities in an unrealized loss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7"/>
              </w:rPr>
              <w:t>Securities in an unrealized loss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w w:val="97"/>
              </w:rPr>
              <w:t>position for less than 12 months</w:t>
            </w:r>
          </w:p>
        </w:tc>
        <w:tc>
          <w:tcPr>
            <w:tcW w:w="60" w:type="dxa"/>
            <w:vAlign w:val="bottom"/>
          </w:tcPr>
          <w:p>
            <w:pPr>
              <w:spacing w:after="0"/>
              <w:rPr>
                <w:sz w:val="18"/>
                <w:szCs w:val="18"/>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position for greater than 12 months</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tcPr>
          <w:p>
            <w:pPr>
              <w:spacing w:after="0"/>
              <w:rPr>
                <w:sz w:val="18"/>
                <w:szCs w:val="18"/>
                <w:color w:val="auto"/>
              </w:rPr>
            </w:pPr>
          </w:p>
        </w:tc>
      </w:tr>
      <w:tr>
        <w:trPr>
          <w:trHeight w:val="191"/>
        </w:trPr>
        <w:tc>
          <w:tcPr>
            <w:tcW w:w="16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95"/>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Corporate bonds </w:t>
            </w:r>
            <w:r>
              <w:rPr>
                <w:rFonts w:ascii="Times New Roman" w:cs="Times New Roman" w:eastAsia="Times New Roman" w:hAnsi="Times New Roman"/>
                <w:sz w:val="19"/>
                <w:szCs w:val="19"/>
                <w:color w:val="B4B4B4"/>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8,279</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18,281</w:t>
            </w: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Asset-backed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4,154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7,102</w:t>
            </w: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Certificates of</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deposit </w:t>
            </w:r>
            <w:r>
              <w:rPr>
                <w:rFonts w:ascii="Times New Roman" w:cs="Times New Roman" w:eastAsia="Times New Roman" w:hAnsi="Times New Roman"/>
                <w:sz w:val="19"/>
                <w:szCs w:val="19"/>
                <w:color w:val="B4B4B4"/>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19,468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19,468</w:t>
            </w: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U.S. treasury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37,581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38,579</w:t>
            </w:r>
          </w:p>
        </w:tc>
      </w:tr>
      <w:tr>
        <w:trPr>
          <w:trHeight w:val="291"/>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Commercial paper </w:t>
            </w:r>
            <w:r>
              <w:rPr>
                <w:rFonts w:ascii="Times New Roman" w:cs="Times New Roman" w:eastAsia="Times New Roman" w:hAnsi="Times New Roman"/>
                <w:sz w:val="19"/>
                <w:szCs w:val="19"/>
                <w:color w:val="B4B4B4"/>
              </w:rPr>
              <w: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17,272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17,272</w:t>
            </w: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Total available-for-</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sale securities</w:t>
            </w:r>
            <w:r>
              <w:rPr>
                <w:rFonts w:ascii="Times New Roman" w:cs="Times New Roman" w:eastAsia="Times New Roman" w:hAnsi="Times New Roman"/>
                <w:sz w:val="19"/>
                <w:szCs w:val="19"/>
                <w:color w:val="B4B4B4"/>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88,477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12,225</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100,702</w:t>
            </w:r>
          </w:p>
        </w:tc>
      </w:tr>
      <w:tr>
        <w:trPr>
          <w:trHeight w:val="20"/>
        </w:trPr>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-54610</wp:posOffset>
            </wp:positionV>
            <wp:extent cx="5057140" cy="73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a:extLst>
                        <a:ext uri="{28A0092B-C50C-407E-A947-70E740481C1C}"/>
                      </a:extLst>
                    </a:blip>
                    <a:srcRect/>
                    <a:stretch>
                      <a:fillRect/>
                    </a:stretch>
                  </pic:blipFill>
                  <pic:spPr bwMode="auto">
                    <a:xfrm>
                      <a:off x="0" y="0"/>
                      <a:ext cx="5057140" cy="73660"/>
                    </a:xfrm>
                    <a:prstGeom prst="rect">
                      <a:avLst/>
                    </a:prstGeom>
                    <a:noFill/>
                  </pic:spPr>
                </pic:pic>
              </a:graphicData>
            </a:graphic>
          </wp:anchor>
        </w:drawing>
      </w:r>
    </w:p>
    <w:p>
      <w:pPr>
        <w:sectPr>
          <w:pgSz w:w="11880" w:h="15480" w:orient="portrait"/>
          <w:cols w:equalWidth="0" w:num="1">
            <w:col w:w="9600"/>
          </w:cols>
          <w:pgMar w:left="1140" w:top="95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9600"/>
          </w:cols>
          <w:pgMar w:left="1140" w:top="959" w:right="1140" w:bottom="0" w:gutter="0" w:footer="0" w:header="0"/>
          <w:type w:val="continuous"/>
        </w:sectPr>
      </w:pPr>
    </w:p>
    <w:bookmarkStart w:id="82" w:name="page83"/>
    <w:bookmarkEnd w:id="82"/>
    <w:tbl>
      <w:tblPr>
        <w:tblLayout w:type="fixed"/>
        <w:tblInd w:w="40" w:type="dxa"/>
        <w:tblCellMar>
          <w:top w:w="0" w:type="dxa"/>
          <w:left w:w="0" w:type="dxa"/>
          <w:bottom w:w="0" w:type="dxa"/>
          <w:right w:w="0" w:type="dxa"/>
        </w:tblCellMar>
      </w:tblPr>
      <w:tr>
        <w:trPr>
          <w:trHeight w:val="211"/>
        </w:trPr>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1"/>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w w:val="99"/>
              </w:rPr>
              <w:t>Securities in an unrealized loss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7"/>
              </w:rPr>
              <w:t>Securities in an unrealized loss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1"/>
        </w:trPr>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w w:val="97"/>
              </w:rPr>
              <w:t>position for less than 12 months</w:t>
            </w:r>
          </w:p>
        </w:tc>
        <w:tc>
          <w:tcPr>
            <w:tcW w:w="60" w:type="dxa"/>
            <w:vAlign w:val="bottom"/>
          </w:tcPr>
          <w:p>
            <w:pPr>
              <w:spacing w:after="0"/>
              <w:rPr>
                <w:sz w:val="18"/>
                <w:szCs w:val="18"/>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position for greater than 12 months</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tcPr>
          <w:p>
            <w:pPr>
              <w:spacing w:after="0"/>
              <w:rPr>
                <w:sz w:val="18"/>
                <w:szCs w:val="18"/>
                <w:color w:val="auto"/>
              </w:rPr>
            </w:pPr>
          </w:p>
        </w:tc>
      </w:tr>
      <w:tr>
        <w:trPr>
          <w:trHeight w:val="191"/>
        </w:trPr>
        <w:tc>
          <w:tcPr>
            <w:tcW w:w="16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95"/>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Corporate bonds </w:t>
            </w:r>
            <w:r>
              <w:rPr>
                <w:rFonts w:ascii="Times New Roman" w:cs="Times New Roman" w:eastAsia="Times New Roman" w:hAnsi="Times New Roman"/>
                <w:sz w:val="19"/>
                <w:szCs w:val="19"/>
                <w:color w:val="B4B4B4"/>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253,572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1,947</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255,519</w:t>
            </w: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Asset-backed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18,105</w:t>
            </w: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U.S. treasury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securities </w:t>
            </w:r>
            <w:r>
              <w:rPr>
                <w:rFonts w:ascii="Times New Roman" w:cs="Times New Roman" w:eastAsia="Times New Roman" w:hAnsi="Times New Roman"/>
                <w:sz w:val="19"/>
                <w:szCs w:val="19"/>
                <w:color w:val="B4B4B4"/>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31,823</w:t>
            </w:r>
          </w:p>
        </w:tc>
      </w:tr>
      <w:tr>
        <w:trPr>
          <w:trHeight w:val="291"/>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12,235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12,235</w:t>
            </w: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Total available-for-</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sale securities</w:t>
            </w:r>
            <w:r>
              <w:rPr>
                <w:rFonts w:ascii="Times New Roman" w:cs="Times New Roman" w:eastAsia="Times New Roman" w:hAnsi="Times New Roman"/>
                <w:sz w:val="19"/>
                <w:szCs w:val="19"/>
                <w:color w:val="B4B4B4"/>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315,735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1,947</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317,682</w:t>
            </w:r>
          </w:p>
        </w:tc>
      </w:tr>
      <w:tr>
        <w:trPr>
          <w:trHeight w:val="20"/>
        </w:trPr>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-54610</wp:posOffset>
            </wp:positionV>
            <wp:extent cx="5057140" cy="73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7">
                      <a:extLst>
                        <a:ext uri="{28A0092B-C50C-407E-A947-70E740481C1C}"/>
                      </a:extLst>
                    </a:blip>
                    <a:srcRect/>
                    <a:stretch>
                      <a:fillRect/>
                    </a:stretch>
                  </pic:blipFill>
                  <pic:spPr bwMode="auto">
                    <a:xfrm>
                      <a:off x="0" y="0"/>
                      <a:ext cx="5057140" cy="73660"/>
                    </a:xfrm>
                    <a:prstGeom prst="rect">
                      <a:avLst/>
                    </a:prstGeom>
                    <a:noFill/>
                  </pic:spPr>
                </pic:pic>
              </a:graphicData>
            </a:graphic>
          </wp:anchor>
        </w:drawing>
      </w:r>
    </w:p>
    <w:p>
      <w:pPr>
        <w:spacing w:after="0" w:line="220" w:lineRule="exact"/>
        <w:rPr>
          <w:sz w:val="20"/>
          <w:szCs w:val="20"/>
          <w:color w:val="auto"/>
        </w:rPr>
      </w:pPr>
    </w:p>
    <w:p>
      <w:pPr>
        <w:ind w:right="180" w:firstLine="698"/>
        <w:spacing w:after="0" w:line="274" w:lineRule="auto"/>
        <w:rPr>
          <w:sz w:val="20"/>
          <w:szCs w:val="20"/>
          <w:color w:val="auto"/>
        </w:rPr>
      </w:pPr>
      <w:r>
        <w:rPr>
          <w:rFonts w:ascii="Times New Roman" w:cs="Times New Roman" w:eastAsia="Times New Roman" w:hAnsi="Times New Roman"/>
          <w:sz w:val="19"/>
          <w:szCs w:val="19"/>
          <w:color w:val="auto"/>
        </w:rPr>
        <w:t>The Company regularly reviews the composition of its portfolio to determine the existence of credit impairment. The Company did not recognize any credit impairment losses during the years ended June 30, 2024, 2025 or 2026. All securities in the Company's portfolio held an A rating or better as of June 30, 2026.</w:t>
      </w:r>
    </w:p>
    <w:p>
      <w:pPr>
        <w:spacing w:after="0" w:line="183" w:lineRule="exact"/>
        <w:rPr>
          <w:sz w:val="20"/>
          <w:szCs w:val="20"/>
          <w:color w:val="auto"/>
        </w:rPr>
      </w:pPr>
    </w:p>
    <w:p>
      <w:pPr>
        <w:ind w:right="100" w:firstLine="698"/>
        <w:spacing w:after="0" w:line="268" w:lineRule="auto"/>
        <w:rPr>
          <w:sz w:val="20"/>
          <w:szCs w:val="20"/>
          <w:color w:val="auto"/>
        </w:rPr>
      </w:pPr>
      <w:r>
        <w:rPr>
          <w:rFonts w:ascii="Times New Roman" w:cs="Times New Roman" w:eastAsia="Times New Roman" w:hAnsi="Times New Roman"/>
          <w:sz w:val="19"/>
          <w:szCs w:val="19"/>
          <w:color w:val="auto"/>
        </w:rPr>
        <w:t>The Company did not make any material reclassification adjustments out of Accumulated other comprehensive income for realized gains and losses on the sale of available-for-sale securities during the years ended June 30, 2024, 2025 or 2026. Gross realized gains and losses on the sale of available-for-sale securities were immaterial for the years ended June 30, 2024, 2025 and 2026.</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Expected maturities of available-for-sale securities at June 30, 2026 were as follows: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96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One year or less </w:t>
            </w:r>
            <w:r>
              <w:rPr>
                <w:rFonts w:ascii="Times New Roman" w:cs="Times New Roman" w:eastAsia="Times New Roman" w:hAnsi="Times New Roman"/>
                <w:sz w:val="19"/>
                <w:szCs w:val="19"/>
                <w:color w:val="B4B4B4"/>
              </w:rPr>
              <w:t>....................................................................................................................</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65,383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65,587</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One year to two years </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49,489</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Two years to three years </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191,146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192,912</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Three years to five years </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297,696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294,659</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Five years and thereafter </w:t>
            </w:r>
            <w:r>
              <w:rPr>
                <w:rFonts w:ascii="Times New Roman" w:cs="Times New Roman" w:eastAsia="Times New Roman" w:hAnsi="Times New Roman"/>
                <w:sz w:val="19"/>
                <w:szCs w:val="19"/>
                <w:color w:val="B4B4B4"/>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9,735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9,808</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Total available-for-sale securities</w:t>
            </w:r>
            <w:r>
              <w:rPr>
                <w:rFonts w:ascii="Times New Roman" w:cs="Times New Roman" w:eastAsia="Times New Roman" w:hAnsi="Times New Roman"/>
                <w:sz w:val="19"/>
                <w:szCs w:val="19"/>
                <w:color w:val="B4B4B4"/>
              </w:rPr>
              <w:t>.........................................................................................</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613,341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612,455</w:t>
            </w:r>
          </w:p>
        </w:tc>
      </w:tr>
      <w:tr>
        <w:trPr>
          <w:trHeight w:val="20"/>
        </w:trPr>
        <w:tc>
          <w:tcPr>
            <w:tcW w:w="6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8">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Fair Value Measurement</w:t>
      </w:r>
    </w:p>
    <w:p>
      <w:pPr>
        <w:spacing w:after="0" w:line="254" w:lineRule="exact"/>
        <w:rPr>
          <w:sz w:val="20"/>
          <w:szCs w:val="20"/>
          <w:color w:val="auto"/>
        </w:rPr>
      </w:pPr>
    </w:p>
    <w:p>
      <w:pPr>
        <w:ind w:right="140" w:firstLine="698"/>
        <w:spacing w:after="0" w:line="268" w:lineRule="auto"/>
        <w:rPr>
          <w:sz w:val="20"/>
          <w:szCs w:val="20"/>
          <w:color w:val="auto"/>
        </w:rPr>
      </w:pPr>
      <w:r>
        <w:rPr>
          <w:rFonts w:ascii="Times New Roman" w:cs="Times New Roman" w:eastAsia="Times New Roman" w:hAnsi="Times New Roman"/>
          <w:sz w:val="19"/>
          <w:szCs w:val="19"/>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8" w:lineRule="exact"/>
        <w:rPr>
          <w:sz w:val="20"/>
          <w:szCs w:val="20"/>
          <w:color w:val="auto"/>
        </w:rPr>
      </w:pPr>
    </w:p>
    <w:p>
      <w:pPr>
        <w:ind w:left="1040" w:hanging="345"/>
        <w:spacing w:after="0"/>
        <w:tabs>
          <w:tab w:leader="none" w:pos="104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Level 1—Quoted prices in active markets for identical assets and liabilities.</w:t>
      </w:r>
    </w:p>
    <w:p>
      <w:pPr>
        <w:spacing w:after="0" w:line="247" w:lineRule="exact"/>
        <w:rPr>
          <w:rFonts w:ascii="Times New Roman" w:cs="Times New Roman" w:eastAsia="Times New Roman" w:hAnsi="Times New Roman"/>
          <w:sz w:val="19"/>
          <w:szCs w:val="19"/>
          <w:b w:val="1"/>
          <w:bCs w:val="1"/>
          <w:color w:val="auto"/>
        </w:rPr>
      </w:pPr>
    </w:p>
    <w:p>
      <w:pPr>
        <w:jc w:val="both"/>
        <w:ind w:left="1040" w:right="80" w:hanging="345"/>
        <w:spacing w:after="0" w:line="293" w:lineRule="auto"/>
        <w:tabs>
          <w:tab w:leader="none" w:pos="104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4" w:lineRule="exact"/>
        <w:rPr>
          <w:rFonts w:ascii="Times New Roman" w:cs="Times New Roman" w:eastAsia="Times New Roman" w:hAnsi="Times New Roman"/>
          <w:sz w:val="19"/>
          <w:szCs w:val="19"/>
          <w:b w:val="1"/>
          <w:bCs w:val="1"/>
          <w:color w:val="auto"/>
        </w:rPr>
      </w:pPr>
    </w:p>
    <w:p>
      <w:pPr>
        <w:ind w:left="1040" w:right="120" w:hanging="345"/>
        <w:spacing w:after="0" w:line="274" w:lineRule="auto"/>
        <w:tabs>
          <w:tab w:leader="none" w:pos="104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3" w:lineRule="exact"/>
        <w:rPr>
          <w:sz w:val="20"/>
          <w:szCs w:val="20"/>
          <w:color w:val="auto"/>
        </w:rPr>
      </w:pPr>
    </w:p>
    <w:p>
      <w:pPr>
        <w:ind w:right="260" w:firstLine="698"/>
        <w:spacing w:after="0" w:line="265" w:lineRule="auto"/>
        <w:rPr>
          <w:sz w:val="20"/>
          <w:szCs w:val="20"/>
          <w:color w:val="auto"/>
        </w:rPr>
      </w:pPr>
      <w:r>
        <w:rPr>
          <w:rFonts w:ascii="Times New Roman" w:cs="Times New Roman" w:eastAsia="Times New Roman" w:hAnsi="Times New Roman"/>
          <w:sz w:val="19"/>
          <w:szCs w:val="19"/>
          <w:color w:val="auto"/>
        </w:rPr>
        <w:t>The Company measures cash and cash equivalents, funds held for clients' cash and cash equivalents, accounts receivable, accounts payable and client fund obligations at fair value on a recurring basis using Level 1 inputs and borrowings under its credit facility using Level 2 inputs. The Company considers the recorded value of these financial assets and liabilities to approximate the fair value of the respective assets and liabilities at June 30, 2025 and 2026 based upon the short-term nature of these assets and liabilities.</w:t>
      </w:r>
    </w:p>
    <w:p>
      <w:pPr>
        <w:sectPr>
          <w:pgSz w:w="11880" w:h="15480" w:orient="portrait"/>
          <w:cols w:equalWidth="0" w:num="1">
            <w:col w:w="9600"/>
          </w:cols>
          <w:pgMar w:left="1140" w:top="95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9600"/>
          </w:cols>
          <w:pgMar w:left="1140" w:top="959" w:right="1140" w:bottom="0" w:gutter="0" w:footer="0" w:header="0"/>
          <w:type w:val="continuous"/>
        </w:sectPr>
      </w:pPr>
    </w:p>
    <w:bookmarkStart w:id="83" w:name="page84"/>
    <w:bookmarkEnd w:id="83"/>
    <w:p>
      <w:pPr>
        <w:ind w:firstLine="698"/>
        <w:spacing w:after="0" w:line="261" w:lineRule="auto"/>
        <w:rPr>
          <w:sz w:val="20"/>
          <w:szCs w:val="20"/>
          <w:color w:val="auto"/>
        </w:rPr>
      </w:pPr>
      <w:r>
        <w:rPr>
          <w:rFonts w:ascii="Times New Roman" w:cs="Times New Roman" w:eastAsia="Times New Roman" w:hAnsi="Times New Roman"/>
          <w:sz w:val="19"/>
          <w:szCs w:val="19"/>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2025 or 2026.</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fair value level for the Company’s cash and cash equivalents and available-for-sale securities was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5"/>
        </w:trPr>
        <w:tc>
          <w:tcPr>
            <w:tcW w:w="4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70"/>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398,070</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398,070</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Funds held for clients' cash and cash equivalents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2,084,456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2,084,456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Available-for-sale securities: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Corporate bonds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378,592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378,592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Asset-backed securities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Certificates of deposit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treasury securities</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85,264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85,264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Commercial paper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24,688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7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available-for-sale securities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619,681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619,681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investments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3,102,207</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2,482,526</w:t>
            </w:r>
          </w:p>
        </w:tc>
        <w:tc>
          <w:tcPr>
            <w:tcW w:w="4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619,681</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36"/>
        </w:trPr>
        <w:tc>
          <w:tcPr>
            <w:tcW w:w="4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7"/>
        </w:trPr>
        <w:tc>
          <w:tcPr>
            <w:tcW w:w="4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68"/>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271,917</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271,917</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Funds held for clients' cash and cash equivalents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2,598,049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2,598,049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Available-for-sale securities: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7"/>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Corporate bonds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505,670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505,670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Asset-backed securities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treasury securities</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28,986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28,986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71"/>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available-for-sale securities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612,455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612,455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4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investments </w:t>
            </w:r>
            <w:r>
              <w:rPr>
                <w:rFonts w:ascii="Times New Roman" w:cs="Times New Roman" w:eastAsia="Times New Roman" w:hAnsi="Times New Roman"/>
                <w:sz w:val="19"/>
                <w:szCs w:val="19"/>
                <w:color w:val="B4B4B4"/>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3,482,421</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2,869,966</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612,455</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w:t>
            </w:r>
          </w:p>
        </w:tc>
      </w:tr>
      <w:tr>
        <w:trPr>
          <w:trHeight w:val="20"/>
        </w:trPr>
        <w:tc>
          <w:tcPr>
            <w:tcW w:w="4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-2435225</wp:posOffset>
            </wp:positionV>
            <wp:extent cx="3375660" cy="736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9">
                      <a:extLst>
                        <a:ext uri="{28A0092B-C50C-407E-A947-70E740481C1C}"/>
                      </a:extLst>
                    </a:blip>
                    <a:srcRect/>
                    <a:stretch>
                      <a:fillRect/>
                    </a:stretch>
                  </pic:blipFill>
                  <pic:spPr bwMode="auto">
                    <a:xfrm>
                      <a:off x="0" y="0"/>
                      <a:ext cx="3375660" cy="73660"/>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-54610</wp:posOffset>
            </wp:positionV>
            <wp:extent cx="3375660" cy="73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0">
                      <a:extLst>
                        <a:ext uri="{28A0092B-C50C-407E-A947-70E740481C1C}"/>
                      </a:extLst>
                    </a:blip>
                    <a:srcRect/>
                    <a:stretch>
                      <a:fillRect/>
                    </a:stretch>
                  </pic:blipFill>
                  <pic:spPr bwMode="auto">
                    <a:xfrm>
                      <a:off x="0" y="0"/>
                      <a:ext cx="3375660" cy="7366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Assets and Liabilities Recorded at Fair Value on a Non-Recurring Basis</w:t>
      </w:r>
    </w:p>
    <w:p>
      <w:pPr>
        <w:spacing w:after="0" w:line="251" w:lineRule="exact"/>
        <w:rPr>
          <w:sz w:val="20"/>
          <w:szCs w:val="20"/>
          <w:color w:val="auto"/>
        </w:rPr>
      </w:pPr>
    </w:p>
    <w:p>
      <w:pPr>
        <w:jc w:val="both"/>
        <w:ind w:right="20" w:firstLine="698"/>
        <w:spacing w:after="0" w:line="274" w:lineRule="auto"/>
        <w:rPr>
          <w:sz w:val="20"/>
          <w:szCs w:val="20"/>
          <w:color w:val="auto"/>
        </w:rPr>
      </w:pPr>
      <w:r>
        <w:rPr>
          <w:rFonts w:ascii="Times New Roman" w:cs="Times New Roman" w:eastAsia="Times New Roman" w:hAnsi="Times New Roman"/>
          <w:sz w:val="19"/>
          <w:szCs w:val="19"/>
          <w:color w:val="auto"/>
        </w:rPr>
        <w:t>The Company records assets acquired and liabilities assumed in business combinations at fair value. Refer to Note 7 for further details on the fair value measurements of certain assets and liabilities recorded at fair value on a non-recurring basis using Level 3 inputs.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9600"/>
          </w:cols>
          <w:pgMar w:left="1140" w:top="872" w:right="114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9"/>
          <w:szCs w:val="19"/>
          <w:b w:val="1"/>
          <w:bCs w:val="1"/>
          <w:color w:val="auto"/>
        </w:rPr>
        <w:t>(6) Accounts Receivable, Net</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components of accounts receivable were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27"/>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Trade receivables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25,461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35,153</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Accrued interest on funds held for clients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9,487</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8,765</w:t>
            </w: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Gross accounts receivable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44,479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53,405</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Allowance for credit losses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(3,312)</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Accounts receivable, net</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41,642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50,093</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-43180</wp:posOffset>
            </wp:positionV>
            <wp:extent cx="1670050"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1">
                      <a:extLst>
                        <a:ext uri="{28A0092B-C50C-407E-A947-70E740481C1C}"/>
                      </a:extLst>
                    </a:blip>
                    <a:srcRect/>
                    <a:stretch>
                      <a:fillRect/>
                    </a:stretch>
                  </pic:blipFill>
                  <pic:spPr bwMode="auto">
                    <a:xfrm>
                      <a:off x="0" y="0"/>
                      <a:ext cx="1670050" cy="50165"/>
                    </a:xfrm>
                    <a:prstGeom prst="rect">
                      <a:avLst/>
                    </a:prstGeom>
                    <a:noFill/>
                  </pic:spPr>
                </pic:pic>
              </a:graphicData>
            </a:graphic>
          </wp:anchor>
        </w:drawing>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Activity in the allowance for credit losses related to accounts receivable was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6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Balance at the beginning of the year </w:t>
            </w:r>
            <w:r>
              <w:rPr>
                <w:rFonts w:ascii="Times New Roman" w:cs="Times New Roman" w:eastAsia="Times New Roman" w:hAnsi="Times New Roman"/>
                <w:sz w:val="19"/>
                <w:szCs w:val="19"/>
                <w:color w:val="B4B4B4"/>
              </w:rPr>
              <w:t>.........................................................</w:t>
            </w:r>
          </w:p>
        </w:tc>
        <w:tc>
          <w:tcPr>
            <w:tcW w:w="800" w:type="dxa"/>
            <w:vAlign w:val="bottom"/>
          </w:tcPr>
          <w:p>
            <w:pPr>
              <w:jc w:val="right"/>
              <w:ind w:right="549"/>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1,620</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2,837</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Charged to expense </w:t>
            </w:r>
            <w:r>
              <w:rPr>
                <w:rFonts w:ascii="Times New Roman" w:cs="Times New Roman" w:eastAsia="Times New Roman" w:hAnsi="Times New Roman"/>
                <w:sz w:val="19"/>
                <w:szCs w:val="19"/>
                <w:color w:val="B4B4B4"/>
              </w:rPr>
              <w:t>...................................................................................</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1,565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1,905</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Write-offs </w:t>
            </w:r>
            <w:r>
              <w:rPr>
                <w:rFonts w:ascii="Times New Roman" w:cs="Times New Roman" w:eastAsia="Times New Roman" w:hAnsi="Times New Roman"/>
                <w:sz w:val="19"/>
                <w:szCs w:val="19"/>
                <w:color w:val="B4B4B4"/>
              </w:rPr>
              <w:t>..................................................................................................</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(1,494)</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Additions due to acquisition </w:t>
            </w:r>
            <w:r>
              <w:rPr>
                <w:rFonts w:ascii="Times New Roman" w:cs="Times New Roman" w:eastAsia="Times New Roman" w:hAnsi="Times New Roman"/>
                <w:sz w:val="19"/>
                <w:szCs w:val="19"/>
                <w:color w:val="B4B4B4"/>
              </w:rPr>
              <w:t>......................................................................</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248</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52"/>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Balance at the end of the year </w:t>
            </w:r>
            <w:r>
              <w:rPr>
                <w:rFonts w:ascii="Times New Roman" w:cs="Times New Roman" w:eastAsia="Times New Roman" w:hAnsi="Times New Roman"/>
                <w:sz w:val="19"/>
                <w:szCs w:val="19"/>
                <w:color w:val="B4B4B4"/>
              </w:rPr>
              <w:t>...................................................................</w:t>
            </w:r>
          </w:p>
        </w:tc>
        <w:tc>
          <w:tcPr>
            <w:tcW w:w="800" w:type="dxa"/>
            <w:vAlign w:val="bottom"/>
          </w:tcPr>
          <w:p>
            <w:pPr>
              <w:jc w:val="right"/>
              <w:ind w:right="549"/>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2,375</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3,312</w:t>
            </w:r>
          </w:p>
        </w:tc>
      </w:tr>
      <w:tr>
        <w:trPr>
          <w:trHeight w:val="20"/>
        </w:trPr>
        <w:tc>
          <w:tcPr>
            <w:tcW w:w="5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-54610</wp:posOffset>
            </wp:positionV>
            <wp:extent cx="2534920" cy="736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2">
                      <a:extLst>
                        <a:ext uri="{28A0092B-C50C-407E-A947-70E740481C1C}"/>
                      </a:extLst>
                    </a:blip>
                    <a:srcRect/>
                    <a:stretch>
                      <a:fillRect/>
                    </a:stretch>
                  </pic:blipFill>
                  <pic:spPr bwMode="auto">
                    <a:xfrm>
                      <a:off x="0" y="0"/>
                      <a:ext cx="2534920" cy="736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Business Combinations</w:t>
      </w:r>
    </w:p>
    <w:p>
      <w:pPr>
        <w:spacing w:after="0" w:line="254" w:lineRule="exact"/>
        <w:rPr>
          <w:sz w:val="20"/>
          <w:szCs w:val="20"/>
          <w:color w:val="auto"/>
        </w:rPr>
      </w:pPr>
    </w:p>
    <w:p>
      <w:pPr>
        <w:ind w:right="120" w:firstLine="698"/>
        <w:spacing w:after="0" w:line="261" w:lineRule="auto"/>
        <w:rPr>
          <w:sz w:val="20"/>
          <w:szCs w:val="20"/>
          <w:color w:val="auto"/>
        </w:rPr>
      </w:pPr>
      <w:r>
        <w:rPr>
          <w:rFonts w:ascii="Times New Roman" w:cs="Times New Roman" w:eastAsia="Times New Roman" w:hAnsi="Times New Roman"/>
          <w:sz w:val="19"/>
          <w:szCs w:val="19"/>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 The results of these acquisitions have been included in the Company’s consolidated financial statements since their respective closing dates. The goodwill related to these transactions is primarily attributable to the assembled workforce and growth opportunities from the expansion and enhancement of the Company’s product offerings and is not deductible for income tax purposes. Direct costs related to these acquisitions were not material and were expensed as incurred primarily as General and administrative in the Consolidated Statements of Operations and Comprehensive Income.</w:t>
      </w:r>
    </w:p>
    <w:p>
      <w:pPr>
        <w:spacing w:after="0" w:line="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TraceHQ.com Inc.</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On November 30, 2023, the Company acquired all of the outstanding shares of TraceHQ.com, Inc. ("Trace")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through a merger of Trace with a subsidiary of the Company for cash consideration of $12,086, subject to working capital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other customary purchase price adjustments. Trace offers a headcount planning solution that expands the Company's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product functionality in this area. The allocation of the purchase price for Trace was approximately $6,809 of goodwill,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$4,200 of proprietary technology and other immaterial assets and liabilities, which reflects certain immaterial measurement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period adjustments recorded during the years ended June 30, 2024 and 2025. Pro forma information is not presented for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Trace acquisition because the effects of the acquisition are not material to the Company’s consolidated financial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statements.</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Airbase Inc.</w:t>
      </w:r>
    </w:p>
    <w:p>
      <w:pPr>
        <w:spacing w:after="0" w:line="138" w:lineRule="exact"/>
        <w:rPr>
          <w:sz w:val="20"/>
          <w:szCs w:val="20"/>
          <w:color w:val="auto"/>
        </w:rPr>
      </w:pPr>
    </w:p>
    <w:p>
      <w:pPr>
        <w:ind w:right="220" w:firstLine="698"/>
        <w:spacing w:after="0" w:line="262" w:lineRule="auto"/>
        <w:rPr>
          <w:sz w:val="20"/>
          <w:szCs w:val="20"/>
          <w:color w:val="auto"/>
        </w:rPr>
      </w:pPr>
      <w:r>
        <w:rPr>
          <w:rFonts w:ascii="Times New Roman" w:cs="Times New Roman" w:eastAsia="Times New Roman" w:hAnsi="Times New Roman"/>
          <w:sz w:val="19"/>
          <w:szCs w:val="19"/>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12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9600"/>
          </w:cols>
          <w:pgMar w:left="1140" w:top="865" w:right="1140" w:bottom="0" w:gutter="0" w:footer="0" w:header="0"/>
          <w:type w:val="continuous"/>
        </w:sectPr>
      </w:pPr>
    </w:p>
    <w:bookmarkStart w:id="85" w:name="page86"/>
    <w:bookmarkEnd w:id="85"/>
    <w:p>
      <w:pPr>
        <w:jc w:val="both"/>
        <w:ind w:right="280" w:firstLine="698"/>
        <w:spacing w:after="0" w:line="293" w:lineRule="auto"/>
        <w:rPr>
          <w:sz w:val="20"/>
          <w:szCs w:val="20"/>
          <w:color w:val="auto"/>
        </w:rPr>
      </w:pPr>
      <w:r>
        <w:rPr>
          <w:rFonts w:ascii="Times New Roman" w:cs="Times New Roman" w:eastAsia="Times New Roman" w:hAnsi="Times New Roman"/>
          <w:sz w:val="19"/>
          <w:szCs w:val="19"/>
          <w:color w:val="auto"/>
        </w:rPr>
        <w:t>The allocation of the purchase price for Airbase was as follows, which reflects certain immaterial measurement period adjustments recorded before the measurement period closed on September 30, 2025:</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B4B4B4"/>
              </w:rPr>
              <w:t>...............................................................................................................................</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41,250</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Funds held for clients</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42,354</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Proprietary technology</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75,200</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Client relationships </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3,800</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Non-solicitation agreements </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2,400</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Trade names </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2,100</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Goodwill </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234,295</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assets acquired </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15,786</w:t>
            </w:r>
          </w:p>
        </w:tc>
      </w:tr>
      <w:tr>
        <w:trPr>
          <w:trHeight w:val="30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Client fund obligations </w:t>
            </w:r>
            <w:r>
              <w:rPr>
                <w:rFonts w:ascii="Times New Roman" w:cs="Times New Roman" w:eastAsia="Times New Roman" w:hAnsi="Times New Roman"/>
                <w:sz w:val="19"/>
                <w:szCs w:val="19"/>
                <w:color w:val="B4B4B4"/>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(42,354)</w:t>
            </w:r>
          </w:p>
        </w:tc>
      </w:tr>
      <w:tr>
        <w:trPr>
          <w:trHeight w:val="308"/>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Other liabilities assumed</w:t>
            </w:r>
            <w:r>
              <w:rPr>
                <w:rFonts w:ascii="Times New Roman" w:cs="Times New Roman" w:eastAsia="Times New Roman" w:hAnsi="Times New Roman"/>
                <w:sz w:val="19"/>
                <w:szCs w:val="19"/>
                <w:color w:val="B4B4B4"/>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(13,376)</w:t>
            </w:r>
          </w:p>
        </w:tc>
      </w:tr>
      <w:tr>
        <w:trPr>
          <w:trHeight w:val="266"/>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3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361,455</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-43180</wp:posOffset>
            </wp:positionV>
            <wp:extent cx="82931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3">
                      <a:extLst>
                        <a:ext uri="{28A0092B-C50C-407E-A947-70E740481C1C}"/>
                      </a:extLst>
                    </a:blip>
                    <a:srcRect/>
                    <a:stretch>
                      <a:fillRect/>
                    </a:stretch>
                  </pic:blipFill>
                  <pic:spPr bwMode="auto">
                    <a:xfrm>
                      <a:off x="0" y="0"/>
                      <a:ext cx="829310" cy="50165"/>
                    </a:xfrm>
                    <a:prstGeom prst="rect">
                      <a:avLst/>
                    </a:prstGeom>
                    <a:noFill/>
                  </pic:spPr>
                </pic:pic>
              </a:graphicData>
            </a:graphic>
          </wp:anchor>
        </w:drawing>
      </w:r>
    </w:p>
    <w:p>
      <w:pPr>
        <w:spacing w:after="0" w:line="255" w:lineRule="exact"/>
        <w:rPr>
          <w:sz w:val="20"/>
          <w:szCs w:val="20"/>
          <w:color w:val="auto"/>
        </w:rPr>
      </w:pPr>
    </w:p>
    <w:p>
      <w:pPr>
        <w:jc w:val="both"/>
        <w:ind w:right="280" w:firstLine="698"/>
        <w:spacing w:after="0" w:line="263" w:lineRule="auto"/>
        <w:rPr>
          <w:sz w:val="20"/>
          <w:szCs w:val="20"/>
          <w:color w:val="auto"/>
        </w:rPr>
      </w:pPr>
      <w:r>
        <w:rPr>
          <w:rFonts w:ascii="Times New Roman" w:cs="Times New Roman" w:eastAsia="Times New Roman" w:hAnsi="Times New Roman"/>
          <w:sz w:val="19"/>
          <w:szCs w:val="19"/>
          <w:color w:val="auto"/>
        </w:rPr>
        <w:t>The Company’s fair value estimate of the acquired proprietary technology is based on a relief from royalty rate methodology which includes, but is not limited to, forecasted revenue growth rates, royalty rates, technology migration rates and required rate of return.</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Unaudited Pro Forma Financial Information</w:t>
      </w:r>
    </w:p>
    <w:p>
      <w:pPr>
        <w:spacing w:after="0" w:line="239" w:lineRule="exact"/>
        <w:rPr>
          <w:sz w:val="20"/>
          <w:szCs w:val="20"/>
          <w:color w:val="auto"/>
        </w:rPr>
      </w:pPr>
    </w:p>
    <w:p>
      <w:pPr>
        <w:ind w:firstLine="698"/>
        <w:spacing w:after="0" w:line="263" w:lineRule="auto"/>
        <w:rPr>
          <w:sz w:val="20"/>
          <w:szCs w:val="20"/>
          <w:color w:val="auto"/>
        </w:rPr>
      </w:pPr>
      <w:r>
        <w:rPr>
          <w:rFonts w:ascii="Times New Roman" w:cs="Times New Roman" w:eastAsia="Times New Roman" w:hAnsi="Times New Roman"/>
          <w:sz w:val="19"/>
          <w:szCs w:val="19"/>
          <w:color w:val="auto"/>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4450715</wp:posOffset>
                </wp:positionH>
                <wp:positionV relativeFrom="paragraph">
                  <wp:posOffset>207010</wp:posOffset>
                </wp:positionV>
                <wp:extent cx="80391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9238">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45pt,16.3pt" to="413.75pt,16.3pt" o:allowincell="f" strokecolor="#000000" strokeweight="0.7274pt"/>
            </w:pict>
          </mc:Fallback>
        </mc:AlternateContent>
        <mc:AlternateContent>
          <mc:Choice Requires="wps">
            <w:drawing>
              <wp:anchor simplePos="0" relativeHeight="251657728" behindDoc="1" locked="0" layoutInCell="0" allowOverlap="1">
                <wp:simplePos x="0" y="0"/>
                <wp:positionH relativeFrom="column">
                  <wp:posOffset>5254625</wp:posOffset>
                </wp:positionH>
                <wp:positionV relativeFrom="paragraph">
                  <wp:posOffset>207010</wp:posOffset>
                </wp:positionV>
                <wp:extent cx="84074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75pt,16.3pt" to="479.95pt,16.3pt" o:allowincell="f" strokecolor="#000000" strokeweight="0.9699pt"/>
            </w:pict>
          </mc:Fallback>
        </mc:AlternateConten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85"/>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Revenue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1,422,873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1,601,619</w:t>
            </w:r>
          </w:p>
        </w:tc>
      </w:tr>
      <w:tr>
        <w:trPr>
          <w:trHeight w:val="306"/>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income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158,844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224,620</w:t>
            </w:r>
          </w:p>
        </w:tc>
      </w:tr>
    </w:tbl>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Grayscale Labs, Inc.</w:t>
      </w:r>
    </w:p>
    <w:p>
      <w:pPr>
        <w:spacing w:after="0" w:line="245" w:lineRule="exact"/>
        <w:rPr>
          <w:sz w:val="20"/>
          <w:szCs w:val="20"/>
          <w:color w:val="auto"/>
        </w:rPr>
      </w:pPr>
    </w:p>
    <w:p>
      <w:pPr>
        <w:ind w:right="20" w:firstLine="698"/>
        <w:spacing w:after="0" w:line="249" w:lineRule="auto"/>
        <w:rPr>
          <w:sz w:val="20"/>
          <w:szCs w:val="20"/>
          <w:color w:val="auto"/>
        </w:rPr>
      </w:pPr>
      <w:r>
        <w:rPr>
          <w:rFonts w:ascii="Times New Roman" w:cs="Times New Roman" w:eastAsia="Times New Roman" w:hAnsi="Times New Roman"/>
          <w:sz w:val="19"/>
          <w:szCs w:val="19"/>
          <w:color w:val="auto"/>
        </w:rPr>
        <w:t>On April 6, 2026, the Company acquired all of the outstanding shares of Grayscale Labs, Inc. ("Grayscale") through a merger for cash consideration of $50,240, subject to working capital and other customary purchase price adjustments. Grayscale is an AI-powered recruiting automation company. This acquisition expands the Company's recruiting capabilities with AI-powered automation to enable its clients to engage candidates earlier and move faster through time-sensitive hiring workflows. The preliminary allocation of the purchase price for Grayscale was approximately $35,806 of goodwill, $11,600 of proprietary technology, $3,200 of client relationships and other immaterial assets and liabilities. The fair values of the assets acquired and liabilities assumed due to this acquisition are currently provisional and are subject to change over the measurement period. The measurement period will end no later than one year from the acquisition date. Pro forma information is not presented for the Grayscale acquisition because the effects of the acquisition are not material to the Company’s consolidated financial statements.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9600"/>
          </w:cols>
          <w:pgMar w:left="1140" w:top="872" w:right="114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9"/>
          <w:szCs w:val="19"/>
          <w:b w:val="1"/>
          <w:bCs w:val="1"/>
          <w:color w:val="auto"/>
        </w:rPr>
        <w:t>(8) Capitalized Internal-Use Software</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Capitalized internal-use software and accumulated amortization were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25"/>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Capitalized internal-use software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400,122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481,895</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Accumulated amortization</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(267,805)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(338,301)</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Capitalized internal-use software, net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132,317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143,594</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4">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20" w:lineRule="exact"/>
        <w:rPr>
          <w:sz w:val="20"/>
          <w:szCs w:val="20"/>
          <w:color w:val="auto"/>
        </w:rPr>
      </w:pPr>
    </w:p>
    <w:p>
      <w:pPr>
        <w:ind w:right="140" w:firstLine="698"/>
        <w:spacing w:after="0" w:line="293" w:lineRule="auto"/>
        <w:rPr>
          <w:sz w:val="20"/>
          <w:szCs w:val="20"/>
          <w:color w:val="auto"/>
        </w:rPr>
      </w:pPr>
      <w:r>
        <w:rPr>
          <w:rFonts w:ascii="Times New Roman" w:cs="Times New Roman" w:eastAsia="Times New Roman" w:hAnsi="Times New Roman"/>
          <w:sz w:val="19"/>
          <w:szCs w:val="19"/>
          <w:color w:val="auto"/>
        </w:rPr>
        <w:t>Amortization of capitalized internal-use software amounted to $45,246, $59,948 and $70,496 for the years ended June 30, 2024, 2025 and 2026, respectively and is included in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Property and Equipment</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major classes of property and equipment were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26"/>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31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Office equipment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2,898</w:t>
            </w:r>
          </w:p>
        </w:tc>
      </w:tr>
      <w:tr>
        <w:trPr>
          <w:trHeight w:val="335"/>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Computer equipment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67,372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82,131</w:t>
            </w:r>
          </w:p>
        </w:tc>
      </w:tr>
      <w:tr>
        <w:trPr>
          <w:trHeight w:val="335"/>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Furniture and fixtures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15,789</w:t>
            </w:r>
          </w:p>
        </w:tc>
      </w:tr>
      <w:tr>
        <w:trPr>
          <w:trHeight w:val="335"/>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Software</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12,793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13,455</w:t>
            </w:r>
          </w:p>
        </w:tc>
      </w:tr>
      <w:tr>
        <w:trPr>
          <w:trHeight w:val="335"/>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Leasehold improvements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50,747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60,979</w:t>
            </w:r>
          </w:p>
        </w:tc>
      </w:tr>
      <w:tr>
        <w:trPr>
          <w:trHeight w:val="337"/>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Time clocks rented by clients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10,913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12,249</w:t>
            </w:r>
          </w:p>
        </w:tc>
      </w:tr>
      <w:tr>
        <w:trPr>
          <w:trHeight w:val="31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Total</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157,921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187,501</w:t>
            </w:r>
          </w:p>
        </w:tc>
      </w:tr>
      <w:tr>
        <w:trPr>
          <w:trHeight w:val="337"/>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Accumulated depreciation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(103,711)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(116,098)</w:t>
            </w:r>
          </w:p>
        </w:tc>
      </w:tr>
      <w:tr>
        <w:trPr>
          <w:trHeight w:val="296"/>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Property and equipment, net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54,210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71,403</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5">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20" w:lineRule="exact"/>
        <w:rPr>
          <w:sz w:val="20"/>
          <w:szCs w:val="20"/>
          <w:color w:val="auto"/>
        </w:rPr>
      </w:pPr>
    </w:p>
    <w:p>
      <w:pPr>
        <w:ind w:right="340" w:firstLine="698"/>
        <w:spacing w:after="0" w:line="293" w:lineRule="auto"/>
        <w:rPr>
          <w:sz w:val="20"/>
          <w:szCs w:val="20"/>
          <w:color w:val="auto"/>
        </w:rPr>
      </w:pPr>
      <w:r>
        <w:rPr>
          <w:rFonts w:ascii="Times New Roman" w:cs="Times New Roman" w:eastAsia="Times New Roman" w:hAnsi="Times New Roman"/>
          <w:sz w:val="19"/>
          <w:szCs w:val="19"/>
          <w:color w:val="auto"/>
        </w:rPr>
        <w:t>Depreciation expense amounted to $20,744, $20,568 and $19,970 for the years ended June 30, 2024, 2025 and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Goodwill and Intangible Assets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table summarizes changes in goodwill during the years presented below:</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27"/>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Balance at beginning of year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108,937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343,100</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Additions attributable to acquisitions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234,237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35,806</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Measurement period adjustments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9"/>
                <w:szCs w:val="19"/>
                <w:color w:val="auto"/>
              </w:rPr>
              <w:t>(74)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Balance at end of year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343,100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378,964</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6">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Refer to Note 7 for further details on acquisition activity during the years ended June 30, 2025 and 2026.</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9600"/>
          </w:cols>
          <w:pgMar w:left="1140" w:top="865" w:right="1140" w:bottom="0" w:gutter="0" w:footer="0" w:header="0"/>
          <w:type w:val="continuous"/>
        </w:sectPr>
      </w:pPr>
    </w:p>
    <w:bookmarkStart w:id="87" w:name="page88"/>
    <w:bookmarkEnd w:id="87"/>
    <w:p>
      <w:pPr>
        <w:ind w:left="700"/>
        <w:spacing w:after="0"/>
        <w:rPr>
          <w:sz w:val="20"/>
          <w:szCs w:val="20"/>
          <w:color w:val="auto"/>
        </w:rPr>
      </w:pPr>
      <w:r>
        <w:rPr>
          <w:rFonts w:ascii="Times New Roman" w:cs="Times New Roman" w:eastAsia="Times New Roman" w:hAnsi="Times New Roman"/>
          <w:sz w:val="19"/>
          <w:szCs w:val="19"/>
          <w:color w:val="auto"/>
        </w:rPr>
        <w:t>The Company’s amortizable intangible assets and estimated useful lives were as follows: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77"/>
        </w:trPr>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40"/>
        </w:trPr>
        <w:tc>
          <w:tcPr>
            <w:tcW w:w="5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7"/>
              </w:rPr>
              <w:t>useful</w:t>
            </w:r>
          </w:p>
        </w:tc>
        <w:tc>
          <w:tcPr>
            <w:tcW w:w="0" w:type="dxa"/>
            <w:vAlign w:val="bottom"/>
          </w:tcPr>
          <w:p>
            <w:pPr>
              <w:spacing w:after="0"/>
              <w:rPr>
                <w:sz w:val="1"/>
                <w:szCs w:val="1"/>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life (years)</w:t>
            </w: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Proprietary technology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122,529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134,129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0" w:type="dxa"/>
            <w:vAlign w:val="bottom"/>
          </w:tcPr>
          <w:p>
            <w:pPr>
              <w:spacing w:after="0"/>
              <w:rPr>
                <w:sz w:val="1"/>
                <w:szCs w:val="1"/>
                <w:color w:val="auto"/>
              </w:rPr>
            </w:pP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Client relationships</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26,000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Non-solicitation agreements</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0" w:type="dxa"/>
            <w:vAlign w:val="bottom"/>
          </w:tcPr>
          <w:p>
            <w:pPr>
              <w:spacing w:after="0"/>
              <w:rPr>
                <w:sz w:val="1"/>
                <w:szCs w:val="1"/>
                <w:color w:val="auto"/>
              </w:rPr>
            </w:pP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Trade names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3,740</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156,269</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171,069</w:t>
            </w: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Accumulated amortization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(63,598)</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(84,929)</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Intangible assets, net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92,671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86,140</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-54610</wp:posOffset>
            </wp:positionV>
            <wp:extent cx="1694180" cy="736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7">
                      <a:extLst>
                        <a:ext uri="{28A0092B-C50C-407E-A947-70E740481C1C}"/>
                      </a:extLst>
                    </a:blip>
                    <a:srcRect/>
                    <a:stretch>
                      <a:fillRect/>
                    </a:stretch>
                  </pic:blipFill>
                  <pic:spPr bwMode="auto">
                    <a:xfrm>
                      <a:off x="0" y="0"/>
                      <a:ext cx="1694180" cy="73660"/>
                    </a:xfrm>
                    <a:prstGeom prst="rect">
                      <a:avLst/>
                    </a:prstGeom>
                    <a:noFill/>
                  </pic:spPr>
                </pic:pic>
              </a:graphicData>
            </a:graphic>
          </wp:anchor>
        </w:drawing>
      </w:r>
    </w:p>
    <w:p>
      <w:pPr>
        <w:spacing w:after="0" w:line="220" w:lineRule="exact"/>
        <w:rPr>
          <w:sz w:val="20"/>
          <w:szCs w:val="20"/>
          <w:color w:val="auto"/>
        </w:rPr>
      </w:pPr>
    </w:p>
    <w:p>
      <w:pPr>
        <w:ind w:right="180" w:firstLine="698"/>
        <w:spacing w:after="0" w:line="293" w:lineRule="auto"/>
        <w:rPr>
          <w:sz w:val="20"/>
          <w:szCs w:val="20"/>
          <w:color w:val="auto"/>
        </w:rPr>
      </w:pPr>
      <w:r>
        <w:rPr>
          <w:rFonts w:ascii="Times New Roman" w:cs="Times New Roman" w:eastAsia="Times New Roman" w:hAnsi="Times New Roman"/>
          <w:sz w:val="19"/>
          <w:szCs w:val="19"/>
          <w:color w:val="auto"/>
        </w:rPr>
        <w:t>Amortization expense for acquired intangible assets was $10,436, $19,120 and $21,331 for the years ended June 30, 2024, 2025 and 2026, respectively, and is included in Cost of revenues and General and administrative.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40" w:type="dxa"/>
            <w:vAlign w:val="bottom"/>
            <w:gridSpan w:val="4"/>
          </w:tcPr>
          <w:p>
            <w:pPr>
              <w:ind w:left="700"/>
              <w:spacing w:after="0"/>
              <w:rPr>
                <w:sz w:val="20"/>
                <w:szCs w:val="20"/>
                <w:color w:val="auto"/>
              </w:rPr>
            </w:pPr>
            <w:r>
              <w:rPr>
                <w:rFonts w:ascii="Times New Roman" w:cs="Times New Roman" w:eastAsia="Times New Roman" w:hAnsi="Times New Roman"/>
                <w:sz w:val="19"/>
                <w:szCs w:val="19"/>
                <w:color w:val="auto"/>
              </w:rPr>
              <w:t>Future amortization expense for acquired intangible assets was as follows as of June 30, 2026:</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1"/>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89"/>
              </w:rPr>
              <w:t xml:space="preserve">Fiscal 2027 </w:t>
            </w:r>
            <w:r>
              <w:rPr>
                <w:rFonts w:ascii="Times New Roman" w:cs="Times New Roman" w:eastAsia="Times New Roman" w:hAnsi="Times New Roman"/>
                <w:sz w:val="19"/>
                <w:szCs w:val="19"/>
                <w:color w:val="B4B4B4"/>
                <w:w w:val="89"/>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21,216</w:t>
            </w:r>
          </w:p>
        </w:tc>
        <w:tc>
          <w:tcPr>
            <w:tcW w:w="0" w:type="dxa"/>
            <w:vAlign w:val="bottom"/>
          </w:tcPr>
          <w:p>
            <w:pPr>
              <w:spacing w:after="0"/>
              <w:rPr>
                <w:sz w:val="1"/>
                <w:szCs w:val="1"/>
                <w:color w:val="auto"/>
              </w:rPr>
            </w:pPr>
          </w:p>
        </w:tc>
      </w:tr>
      <w:tr>
        <w:trPr>
          <w:trHeight w:val="291"/>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89"/>
              </w:rPr>
              <w:t xml:space="preserve">Fiscal 2028 </w:t>
            </w:r>
            <w:r>
              <w:rPr>
                <w:rFonts w:ascii="Times New Roman" w:cs="Times New Roman" w:eastAsia="Times New Roman" w:hAnsi="Times New Roman"/>
                <w:sz w:val="19"/>
                <w:szCs w:val="19"/>
                <w:color w:val="B4B4B4"/>
                <w:w w:val="89"/>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19,351</w:t>
            </w:r>
          </w:p>
        </w:tc>
        <w:tc>
          <w:tcPr>
            <w:tcW w:w="0" w:type="dxa"/>
            <w:vAlign w:val="bottom"/>
          </w:tcPr>
          <w:p>
            <w:pPr>
              <w:spacing w:after="0"/>
              <w:rPr>
                <w:sz w:val="1"/>
                <w:szCs w:val="1"/>
                <w:color w:val="auto"/>
              </w:rPr>
            </w:pPr>
          </w:p>
        </w:tc>
      </w:tr>
      <w:tr>
        <w:trPr>
          <w:trHeight w:val="291"/>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89"/>
              </w:rPr>
              <w:t xml:space="preserve">Fiscal 2029 </w:t>
            </w:r>
            <w:r>
              <w:rPr>
                <w:rFonts w:ascii="Times New Roman" w:cs="Times New Roman" w:eastAsia="Times New Roman" w:hAnsi="Times New Roman"/>
                <w:sz w:val="19"/>
                <w:szCs w:val="19"/>
                <w:color w:val="B4B4B4"/>
                <w:w w:val="89"/>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15,885</w:t>
            </w:r>
          </w:p>
        </w:tc>
        <w:tc>
          <w:tcPr>
            <w:tcW w:w="0" w:type="dxa"/>
            <w:vAlign w:val="bottom"/>
          </w:tcPr>
          <w:p>
            <w:pPr>
              <w:spacing w:after="0"/>
              <w:rPr>
                <w:sz w:val="1"/>
                <w:szCs w:val="1"/>
                <w:color w:val="auto"/>
              </w:rPr>
            </w:pPr>
          </w:p>
        </w:tc>
      </w:tr>
      <w:tr>
        <w:trPr>
          <w:trHeight w:val="291"/>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89"/>
              </w:rPr>
              <w:t xml:space="preserve">Fiscal 2030 </w:t>
            </w:r>
            <w:r>
              <w:rPr>
                <w:rFonts w:ascii="Times New Roman" w:cs="Times New Roman" w:eastAsia="Times New Roman" w:hAnsi="Times New Roman"/>
                <w:sz w:val="19"/>
                <w:szCs w:val="19"/>
                <w:color w:val="B4B4B4"/>
                <w:w w:val="89"/>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13,998</w:t>
            </w:r>
          </w:p>
        </w:tc>
        <w:tc>
          <w:tcPr>
            <w:tcW w:w="0" w:type="dxa"/>
            <w:vAlign w:val="bottom"/>
          </w:tcPr>
          <w:p>
            <w:pPr>
              <w:spacing w:after="0"/>
              <w:rPr>
                <w:sz w:val="1"/>
                <w:szCs w:val="1"/>
                <w:color w:val="auto"/>
              </w:rPr>
            </w:pPr>
          </w:p>
        </w:tc>
      </w:tr>
      <w:tr>
        <w:trPr>
          <w:trHeight w:val="291"/>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89"/>
              </w:rPr>
              <w:t xml:space="preserve">Fiscal 2031 </w:t>
            </w:r>
            <w:r>
              <w:rPr>
                <w:rFonts w:ascii="Times New Roman" w:cs="Times New Roman" w:eastAsia="Times New Roman" w:hAnsi="Times New Roman"/>
                <w:sz w:val="19"/>
                <w:szCs w:val="19"/>
                <w:color w:val="B4B4B4"/>
                <w:w w:val="89"/>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13,004</w:t>
            </w:r>
          </w:p>
        </w:tc>
        <w:tc>
          <w:tcPr>
            <w:tcW w:w="0" w:type="dxa"/>
            <w:vAlign w:val="bottom"/>
          </w:tcPr>
          <w:p>
            <w:pPr>
              <w:spacing w:after="0"/>
              <w:rPr>
                <w:sz w:val="1"/>
                <w:szCs w:val="1"/>
                <w:color w:val="auto"/>
              </w:rPr>
            </w:pPr>
          </w:p>
        </w:tc>
      </w:tr>
      <w:tr>
        <w:trPr>
          <w:trHeight w:val="294"/>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89"/>
              </w:rPr>
              <w:t xml:space="preserve">Thereafter </w:t>
            </w:r>
            <w:r>
              <w:rPr>
                <w:rFonts w:ascii="Times New Roman" w:cs="Times New Roman" w:eastAsia="Times New Roman" w:hAnsi="Times New Roman"/>
                <w:sz w:val="19"/>
                <w:szCs w:val="19"/>
                <w:color w:val="B4B4B4"/>
                <w:w w:val="89"/>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2,686</w:t>
            </w:r>
          </w:p>
        </w:tc>
        <w:tc>
          <w:tcPr>
            <w:tcW w:w="0" w:type="dxa"/>
            <w:vAlign w:val="bottom"/>
          </w:tcPr>
          <w:p>
            <w:pPr>
              <w:spacing w:after="0"/>
              <w:rPr>
                <w:sz w:val="1"/>
                <w:szCs w:val="1"/>
                <w:color w:val="auto"/>
              </w:rPr>
            </w:pPr>
          </w:p>
        </w:tc>
      </w:tr>
      <w:tr>
        <w:trPr>
          <w:trHeight w:val="252"/>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w w:val="89"/>
              </w:rPr>
              <w:t xml:space="preserve">Total </w:t>
            </w:r>
            <w:r>
              <w:rPr>
                <w:rFonts w:ascii="Times New Roman" w:cs="Times New Roman" w:eastAsia="Times New Roman" w:hAnsi="Times New Roman"/>
                <w:sz w:val="19"/>
                <w:szCs w:val="19"/>
                <w:color w:val="B4B4B4"/>
                <w:w w:val="89"/>
              </w:rPr>
              <w:t>..............................................................................................................................................................</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86,140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(11) Accrued Expenses</w:t>
            </w: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70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The components of accrued expenses were as follows: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7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68"/>
        </w:trPr>
        <w:tc>
          <w:tcPr>
            <w:tcW w:w="7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Accrued payroll and personnel costs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106,808</w:t>
            </w:r>
          </w:p>
        </w:tc>
        <w:tc>
          <w:tcPr>
            <w:tcW w:w="60" w:type="dxa"/>
            <w:vAlign w:val="bottom"/>
          </w:tcPr>
          <w:p>
            <w:pPr>
              <w:spacing w:after="0"/>
              <w:rPr>
                <w:sz w:val="23"/>
                <w:szCs w:val="23"/>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108,617</w:t>
            </w:r>
          </w:p>
        </w:tc>
        <w:tc>
          <w:tcPr>
            <w:tcW w:w="0" w:type="dxa"/>
            <w:vAlign w:val="bottom"/>
          </w:tcPr>
          <w:p>
            <w:pPr>
              <w:spacing w:after="0"/>
              <w:rPr>
                <w:sz w:val="1"/>
                <w:szCs w:val="1"/>
                <w:color w:val="auto"/>
              </w:rPr>
            </w:pPr>
          </w:p>
        </w:tc>
      </w:tr>
      <w:tr>
        <w:trPr>
          <w:trHeight w:val="291"/>
        </w:trPr>
        <w:tc>
          <w:tcPr>
            <w:tcW w:w="7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Operating lease liabilities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9,522</w:t>
            </w:r>
          </w:p>
        </w:tc>
        <w:tc>
          <w:tcPr>
            <w:tcW w:w="0" w:type="dxa"/>
            <w:vAlign w:val="bottom"/>
          </w:tcPr>
          <w:p>
            <w:pPr>
              <w:spacing w:after="0"/>
              <w:rPr>
                <w:sz w:val="1"/>
                <w:szCs w:val="1"/>
                <w:color w:val="auto"/>
              </w:rPr>
            </w:pPr>
          </w:p>
        </w:tc>
      </w:tr>
      <w:tr>
        <w:trPr>
          <w:trHeight w:val="291"/>
        </w:trPr>
        <w:tc>
          <w:tcPr>
            <w:tcW w:w="7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Deferred revenue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35,721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42,581</w:t>
            </w:r>
          </w:p>
        </w:tc>
        <w:tc>
          <w:tcPr>
            <w:tcW w:w="0" w:type="dxa"/>
            <w:vAlign w:val="bottom"/>
          </w:tcPr>
          <w:p>
            <w:pPr>
              <w:spacing w:after="0"/>
              <w:rPr>
                <w:sz w:val="1"/>
                <w:szCs w:val="1"/>
                <w:color w:val="auto"/>
              </w:rPr>
            </w:pPr>
          </w:p>
        </w:tc>
      </w:tr>
      <w:tr>
        <w:trPr>
          <w:trHeight w:val="294"/>
        </w:trPr>
        <w:tc>
          <w:tcPr>
            <w:tcW w:w="7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41,931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39,559</w:t>
            </w:r>
          </w:p>
        </w:tc>
        <w:tc>
          <w:tcPr>
            <w:tcW w:w="0" w:type="dxa"/>
            <w:vAlign w:val="bottom"/>
          </w:tcPr>
          <w:p>
            <w:pPr>
              <w:spacing w:after="0"/>
              <w:rPr>
                <w:sz w:val="1"/>
                <w:szCs w:val="1"/>
                <w:color w:val="auto"/>
              </w:rPr>
            </w:pPr>
          </w:p>
        </w:tc>
      </w:tr>
      <w:tr>
        <w:trPr>
          <w:trHeight w:val="252"/>
        </w:trPr>
        <w:tc>
          <w:tcPr>
            <w:tcW w:w="7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Total accrued expenses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193,081</w:t>
            </w:r>
          </w:p>
        </w:tc>
        <w:tc>
          <w:tcPr>
            <w:tcW w:w="60" w:type="dxa"/>
            <w:vAlign w:val="bottom"/>
          </w:tcPr>
          <w:p>
            <w:pPr>
              <w:spacing w:after="0"/>
              <w:rPr>
                <w:sz w:val="21"/>
                <w:szCs w:val="21"/>
                <w:color w:val="auto"/>
              </w:rPr>
            </w:pPr>
          </w:p>
        </w:tc>
        <w:tc>
          <w:tcPr>
            <w:tcW w:w="3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200,279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5266690</wp:posOffset>
            </wp:positionH>
            <wp:positionV relativeFrom="paragraph">
              <wp:posOffset>-2093595</wp:posOffset>
            </wp:positionV>
            <wp:extent cx="852805" cy="73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8">
                      <a:extLst>
                        <a:ext uri="{28A0092B-C50C-407E-A947-70E740481C1C}"/>
                      </a:extLst>
                    </a:blip>
                    <a:srcRect/>
                    <a:stretch>
                      <a:fillRect/>
                    </a:stretch>
                  </pic:blipFill>
                  <pic:spPr bwMode="auto">
                    <a:xfrm>
                      <a:off x="0" y="0"/>
                      <a:ext cx="852805" cy="7366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-54610</wp:posOffset>
            </wp:positionV>
            <wp:extent cx="1693545" cy="73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9">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Debt</w:t>
      </w: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Company maintains a revolving credit agreement with PNC Bank, National Association, and other lenders,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is secured by substantially all of the Company’s assets, subject to certain restrictions. The credit agreement provides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 senior secured revolving credit facility (“credit facility”) with borrowing capacity up to $550,000, which may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increased up to $825,000, subject to obtaining additional lender commitments and certain approvals and satisfying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requirements. The credit facility is scheduled to expire in August 2027, and any outstanding borrowings will mature and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payable upon expiration. During fiscal 2025, the Company borrowed $325,000 to fund the acquisition of Airbase Inc.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October 2024, of which it repaid $162,500 during fiscal 2025 and an additional $81,250 during fiscal 2026. As a result,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$81,250 remained outstanding at June 30, 2026. Refer to Note 7 for further details on the Company's acquisition of Airbase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 The Company incurred interest expense related to any borrowings at an average interest rate of 4.20% and 5.07%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year ended June 30, 2025 and 2026.</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9600"/>
          </w:cols>
          <w:pgMar w:left="1140" w:top="872" w:right="1140" w:bottom="0" w:gutter="0" w:footer="0" w:header="0"/>
          <w:type w:val="continuous"/>
        </w:sectPr>
      </w:pPr>
    </w:p>
    <w:bookmarkStart w:id="88" w:name="page89"/>
    <w:bookmarkEnd w:id="88"/>
    <w:p>
      <w:pPr>
        <w:ind w:right="40" w:firstLine="698"/>
        <w:spacing w:after="0" w:line="268" w:lineRule="auto"/>
        <w:rPr>
          <w:sz w:val="20"/>
          <w:szCs w:val="20"/>
          <w:color w:val="auto"/>
        </w:rPr>
      </w:pPr>
      <w:r>
        <w:rPr>
          <w:rFonts w:ascii="Times New Roman" w:cs="Times New Roman" w:eastAsia="Times New Roman" w:hAnsi="Times New Roman"/>
          <w:sz w:val="19"/>
          <w:szCs w:val="19"/>
          <w:color w:val="auto"/>
        </w:rPr>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49" w:lineRule="exact"/>
        <w:rPr>
          <w:sz w:val="20"/>
          <w:szCs w:val="20"/>
          <w:color w:val="auto"/>
        </w:rPr>
      </w:pPr>
    </w:p>
    <w:p>
      <w:pPr>
        <w:ind w:right="20" w:firstLine="698"/>
        <w:spacing w:after="0" w:line="264" w:lineRule="auto"/>
        <w:rPr>
          <w:sz w:val="20"/>
          <w:szCs w:val="20"/>
          <w:color w:val="auto"/>
        </w:rPr>
      </w:pPr>
      <w:r>
        <w:rPr>
          <w:rFonts w:ascii="Times New Roman" w:cs="Times New Roman" w:eastAsia="Times New Roman" w:hAnsi="Times New Roman"/>
          <w:sz w:val="19"/>
          <w:szCs w:val="19"/>
          <w:color w:val="auto"/>
        </w:rPr>
        <w:t xml:space="preserve">Any borrowings under the credit facility will bear interest, at the Company’s option, at a rate per annum determined by reference to either the Term </w:t>
      </w:r>
      <w:r>
        <w:rPr>
          <w:rFonts w:ascii="Times New Roman" w:cs="Times New Roman" w:eastAsia="Times New Roman" w:hAnsi="Times New Roman"/>
          <w:sz w:val="19"/>
          <w:szCs w:val="19"/>
          <w:color w:val="212529"/>
        </w:rPr>
        <w:t>Secured Overnight Financing Rate (“</w:t>
      </w:r>
      <w:r>
        <w:rPr>
          <w:rFonts w:ascii="Times New Roman" w:cs="Times New Roman" w:eastAsia="Times New Roman" w:hAnsi="Times New Roman"/>
          <w:sz w:val="19"/>
          <w:szCs w:val="19"/>
          <w:color w:val="auto"/>
        </w:rPr>
        <w:t>SOFR”) rate plus the SOFR Adjustment or an adjusted base rate, in each case plus an applicable margin ranging from 0.875% to 1.500% and 0.00%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389" w:lineRule="exact"/>
        <w:rPr>
          <w:sz w:val="20"/>
          <w:szCs w:val="20"/>
          <w:color w:val="auto"/>
        </w:rPr>
      </w:pPr>
    </w:p>
    <w:p>
      <w:pPr>
        <w:ind w:right="120" w:firstLine="698"/>
        <w:spacing w:after="0" w:line="265" w:lineRule="auto"/>
        <w:rPr>
          <w:sz w:val="20"/>
          <w:szCs w:val="20"/>
          <w:color w:val="auto"/>
        </w:rPr>
      </w:pPr>
      <w:r>
        <w:rPr>
          <w:rFonts w:ascii="Times New Roman" w:cs="Times New Roman" w:eastAsia="Times New Roman" w:hAnsi="Times New Roman"/>
          <w:sz w:val="19"/>
          <w:szCs w:val="19"/>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June 30, 2026, the Company was in compliance with all of the aforementioned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Leases</w:t>
      </w:r>
    </w:p>
    <w:p>
      <w:pPr>
        <w:spacing w:after="0" w:line="254" w:lineRule="exact"/>
        <w:rPr>
          <w:sz w:val="20"/>
          <w:szCs w:val="20"/>
          <w:color w:val="auto"/>
        </w:rPr>
      </w:pPr>
    </w:p>
    <w:p>
      <w:pPr>
        <w:ind w:right="60" w:firstLine="698"/>
        <w:spacing w:after="0" w:line="265" w:lineRule="auto"/>
        <w:rPr>
          <w:sz w:val="20"/>
          <w:szCs w:val="20"/>
          <w:color w:val="auto"/>
        </w:rPr>
      </w:pPr>
      <w:r>
        <w:rPr>
          <w:rFonts w:ascii="Times New Roman" w:cs="Times New Roman" w:eastAsia="Times New Roman" w:hAnsi="Times New Roman"/>
          <w:sz w:val="19"/>
          <w:szCs w:val="19"/>
          <w:color w:val="auto"/>
        </w:rPr>
        <w:t>The Company primarily leases office space under non-cancellable operating leases expiring on various dates from January 2027 through January 2037.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July 2026 through September 2028.</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components of operating lease expense were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Operating lease cost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8,590</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8,772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8,831</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Short-term lease cost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1,727</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Variable lease cost</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4,614</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4,871</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5,194</w:t>
            </w:r>
          </w:p>
        </w:tc>
      </w:tr>
      <w:tr>
        <w:trPr>
          <w:trHeight w:val="252"/>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lease costs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13,772</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15,752</w:t>
            </w: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2510790"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0">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Operating lease cost excludes $4,283 in lease exit gains recorded during the year ended June 30, 2024.</w:t>
      </w:r>
    </w:p>
    <w:p>
      <w:pPr>
        <w:spacing w:after="0" w:line="247" w:lineRule="exact"/>
        <w:rPr>
          <w:sz w:val="20"/>
          <w:szCs w:val="20"/>
          <w:color w:val="auto"/>
        </w:rPr>
      </w:pPr>
    </w:p>
    <w:p>
      <w:pPr>
        <w:ind w:right="600" w:firstLine="698"/>
        <w:spacing w:after="0" w:line="293" w:lineRule="auto"/>
        <w:rPr>
          <w:sz w:val="20"/>
          <w:szCs w:val="20"/>
          <w:color w:val="auto"/>
        </w:rPr>
      </w:pPr>
      <w:r>
        <w:rPr>
          <w:rFonts w:ascii="Times New Roman" w:cs="Times New Roman" w:eastAsia="Times New Roman" w:hAnsi="Times New Roman"/>
          <w:sz w:val="19"/>
          <w:szCs w:val="19"/>
          <w:color w:val="auto"/>
        </w:rPr>
        <w:t>The classification of the Company’s operating lease right-of-use assets, operating lease liabilities and other supplemental information related to the Company’s operating leases were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227"/>
        </w:trPr>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70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Operating lease right-of-use assets </w:t>
            </w:r>
            <w:r>
              <w:rPr>
                <w:rFonts w:ascii="Times New Roman" w:cs="Times New Roman" w:eastAsia="Times New Roman" w:hAnsi="Times New Roman"/>
                <w:sz w:val="19"/>
                <w:szCs w:val="19"/>
                <w:color w:val="B4B4B4"/>
              </w:rPr>
              <w: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9"/>
                <w:szCs w:val="19"/>
                <w:color w:val="auto"/>
              </w:rPr>
              <w:t>35,997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33,137</w:t>
            </w:r>
          </w:p>
        </w:tc>
      </w:tr>
      <w:tr>
        <w:trPr>
          <w:trHeight w:val="291"/>
        </w:trPr>
        <w:tc>
          <w:tcPr>
            <w:tcW w:w="70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Accrued expenses </w:t>
            </w:r>
            <w:r>
              <w:rPr>
                <w:rFonts w:ascii="Times New Roman" w:cs="Times New Roman" w:eastAsia="Times New Roman" w:hAnsi="Times New Roman"/>
                <w:sz w:val="19"/>
                <w:szCs w:val="19"/>
                <w:color w:val="B4B4B4"/>
              </w:rPr>
              <w: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9"/>
                <w:szCs w:val="19"/>
                <w:color w:val="auto"/>
              </w:rPr>
              <w:t>8,621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9,522</w:t>
            </w:r>
          </w:p>
        </w:tc>
      </w:tr>
      <w:tr>
        <w:trPr>
          <w:trHeight w:val="291"/>
        </w:trPr>
        <w:tc>
          <w:tcPr>
            <w:tcW w:w="70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Long-term operating lease liabilities </w:t>
            </w:r>
            <w:r>
              <w:rPr>
                <w:rFonts w:ascii="Times New Roman" w:cs="Times New Roman" w:eastAsia="Times New Roman" w:hAnsi="Times New Roman"/>
                <w:sz w:val="19"/>
                <w:szCs w:val="19"/>
                <w:color w:val="B4B4B4"/>
              </w:rPr>
              <w: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149"/>
              <w:spacing w:after="0"/>
              <w:rPr>
                <w:sz w:val="20"/>
                <w:szCs w:val="20"/>
                <w:color w:val="auto"/>
              </w:rPr>
            </w:pPr>
            <w:r>
              <w:rPr>
                <w:rFonts w:ascii="Times New Roman" w:cs="Times New Roman" w:eastAsia="Times New Roman" w:hAnsi="Times New Roman"/>
                <w:sz w:val="19"/>
                <w:szCs w:val="19"/>
                <w:color w:val="auto"/>
              </w:rPr>
              <w:t>46,772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42,200</w:t>
            </w:r>
          </w:p>
        </w:tc>
      </w:tr>
      <w:tr>
        <w:trPr>
          <w:trHeight w:val="291"/>
        </w:trPr>
        <w:tc>
          <w:tcPr>
            <w:tcW w:w="70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Weighted-average remaining lease term (years)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9"/>
                <w:szCs w:val="19"/>
                <w:color w:val="auto"/>
              </w:rPr>
              <w:t>6.3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5.7</w:t>
            </w:r>
          </w:p>
        </w:tc>
      </w:tr>
      <w:tr>
        <w:trPr>
          <w:trHeight w:val="291"/>
        </w:trPr>
        <w:tc>
          <w:tcPr>
            <w:tcW w:w="70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Weighted-average discount rate </w:t>
            </w:r>
            <w:r>
              <w:rPr>
                <w:rFonts w:ascii="Times New Roman" w:cs="Times New Roman" w:eastAsia="Times New Roman" w:hAnsi="Times New Roman"/>
                <w:sz w:val="19"/>
                <w:szCs w:val="19"/>
                <w:color w:val="B4B4B4"/>
              </w:rPr>
              <w:t>.............................................................................................</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4.88 %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5.05 %</w:t>
            </w:r>
          </w:p>
        </w:tc>
      </w:tr>
    </w:tbl>
    <w:p>
      <w:pPr>
        <w:spacing w:after="0" w:line="200" w:lineRule="exact"/>
        <w:rPr>
          <w:sz w:val="20"/>
          <w:szCs w:val="20"/>
          <w:color w:val="auto"/>
        </w:rPr>
      </w:pP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9600"/>
          </w:cols>
          <w:pgMar w:left="1140" w:top="872" w:right="1140" w:bottom="0" w:gutter="0" w:footer="0" w:header="0"/>
          <w:type w:val="continuous"/>
        </w:sectPr>
      </w:pPr>
    </w:p>
    <w:bookmarkStart w:id="89" w:name="page90"/>
    <w:bookmarkEnd w:id="89"/>
    <w:p>
      <w:pPr>
        <w:ind w:left="700"/>
        <w:spacing w:after="0"/>
        <w:rPr>
          <w:sz w:val="20"/>
          <w:szCs w:val="20"/>
          <w:color w:val="auto"/>
        </w:rPr>
      </w:pPr>
      <w:r>
        <w:rPr>
          <w:rFonts w:ascii="Times New Roman" w:cs="Times New Roman" w:eastAsia="Times New Roman" w:hAnsi="Times New Roman"/>
          <w:sz w:val="19"/>
          <w:szCs w:val="19"/>
          <w:color w:val="auto"/>
        </w:rPr>
        <w:t>The following table summarizes supplemental cash flow information related to the Company’s operating leases: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4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operating lease</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3"/>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liabilities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9,855</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9,850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10,058</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Operating lease assets obtained in exchange for new liabilities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1,136</w:t>
            </w:r>
          </w:p>
        </w:tc>
      </w:tr>
    </w:tbl>
    <w:p>
      <w:pPr>
        <w:spacing w:after="0" w:line="282" w:lineRule="exact"/>
        <w:rPr>
          <w:sz w:val="20"/>
          <w:szCs w:val="20"/>
          <w:color w:val="auto"/>
        </w:rPr>
      </w:pPr>
    </w:p>
    <w:p>
      <w:pPr>
        <w:ind w:right="260" w:firstLine="698"/>
        <w:spacing w:after="0" w:line="274" w:lineRule="auto"/>
        <w:rPr>
          <w:sz w:val="20"/>
          <w:szCs w:val="20"/>
          <w:color w:val="auto"/>
        </w:rPr>
      </w:pPr>
      <w:r>
        <w:rPr>
          <w:rFonts w:ascii="Times New Roman" w:cs="Times New Roman" w:eastAsia="Times New Roman" w:hAnsi="Times New Roman"/>
          <w:sz w:val="19"/>
          <w:szCs w:val="19"/>
          <w:color w:val="auto"/>
        </w:rPr>
        <w:t>The undiscounted cash flows for future maturities of the Company’s operating lease liabilities and the reconciliation to the balance of operating lease liabilities reflected on the Company’s balance sheet were as follows as of June 30, 2026:</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Fiscal 2027 </w:t>
            </w:r>
            <w:r>
              <w:rPr>
                <w:rFonts w:ascii="Times New Roman" w:cs="Times New Roman" w:eastAsia="Times New Roman" w:hAnsi="Times New Roman"/>
                <w:sz w:val="19"/>
                <w:szCs w:val="19"/>
                <w:color w:val="B4B4B4"/>
              </w:rPr>
              <w:t>.......................................................................................................................................................</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11,738</w:t>
            </w:r>
          </w:p>
        </w:tc>
      </w:tr>
      <w:tr>
        <w:trPr>
          <w:trHeight w:val="291"/>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Fiscal 2028 </w:t>
            </w:r>
            <w:r>
              <w:rPr>
                <w:rFonts w:ascii="Times New Roman" w:cs="Times New Roman" w:eastAsia="Times New Roman" w:hAnsi="Times New Roman"/>
                <w:sz w:val="19"/>
                <w:szCs w:val="19"/>
                <w:color w:val="B4B4B4"/>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11,429</w:t>
            </w:r>
          </w:p>
        </w:tc>
      </w:tr>
      <w:tr>
        <w:trPr>
          <w:trHeight w:val="291"/>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Fiscal 2029 </w:t>
            </w:r>
            <w:r>
              <w:rPr>
                <w:rFonts w:ascii="Times New Roman" w:cs="Times New Roman" w:eastAsia="Times New Roman" w:hAnsi="Times New Roman"/>
                <w:sz w:val="19"/>
                <w:szCs w:val="19"/>
                <w:color w:val="B4B4B4"/>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9,771</w:t>
            </w:r>
          </w:p>
        </w:tc>
      </w:tr>
      <w:tr>
        <w:trPr>
          <w:trHeight w:val="291"/>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Fiscal 2030 </w:t>
            </w:r>
            <w:r>
              <w:rPr>
                <w:rFonts w:ascii="Times New Roman" w:cs="Times New Roman" w:eastAsia="Times New Roman" w:hAnsi="Times New Roman"/>
                <w:sz w:val="19"/>
                <w:szCs w:val="19"/>
                <w:color w:val="B4B4B4"/>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9,388</w:t>
            </w:r>
          </w:p>
        </w:tc>
      </w:tr>
      <w:tr>
        <w:trPr>
          <w:trHeight w:val="291"/>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Fiscal 2031 </w:t>
            </w:r>
            <w:r>
              <w:rPr>
                <w:rFonts w:ascii="Times New Roman" w:cs="Times New Roman" w:eastAsia="Times New Roman" w:hAnsi="Times New Roman"/>
                <w:sz w:val="19"/>
                <w:szCs w:val="19"/>
                <w:color w:val="B4B4B4"/>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6,566</w:t>
            </w:r>
          </w:p>
        </w:tc>
      </w:tr>
      <w:tr>
        <w:trPr>
          <w:trHeight w:val="294"/>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Thereafter </w:t>
            </w:r>
            <w:r>
              <w:rPr>
                <w:rFonts w:ascii="Times New Roman" w:cs="Times New Roman" w:eastAsia="Times New Roman" w:hAnsi="Times New Roman"/>
                <w:sz w:val="19"/>
                <w:szCs w:val="19"/>
                <w:color w:val="B4B4B4"/>
              </w:rPr>
              <w:t>.........................................................................................................................................................</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10,732</w:t>
            </w:r>
          </w:p>
        </w:tc>
      </w:tr>
      <w:tr>
        <w:trPr>
          <w:trHeight w:val="268"/>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Total undiscounted cash flows</w:t>
            </w:r>
            <w:r>
              <w:rPr>
                <w:rFonts w:ascii="Times New Roman" w:cs="Times New Roman" w:eastAsia="Times New Roman" w:hAnsi="Times New Roman"/>
                <w:sz w:val="19"/>
                <w:szCs w:val="19"/>
                <w:color w:val="B4B4B4"/>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59,624</w:t>
            </w:r>
          </w:p>
        </w:tc>
      </w:tr>
      <w:tr>
        <w:trPr>
          <w:trHeight w:val="294"/>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Less: Present value discount </w:t>
            </w:r>
            <w:r>
              <w:rPr>
                <w:rFonts w:ascii="Times New Roman" w:cs="Times New Roman" w:eastAsia="Times New Roman" w:hAnsi="Times New Roman"/>
                <w:sz w:val="19"/>
                <w:szCs w:val="19"/>
                <w:color w:val="B4B4B4"/>
              </w:rPr>
              <w:t>............................................................................................................................</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(7,902)</w:t>
            </w:r>
          </w:p>
        </w:tc>
      </w:tr>
      <w:tr>
        <w:trPr>
          <w:trHeight w:val="252"/>
        </w:trPr>
        <w:tc>
          <w:tcPr>
            <w:tcW w:w="83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operating lease liabilities </w:t>
            </w:r>
            <w:r>
              <w:rPr>
                <w:rFonts w:ascii="Times New Roman" w:cs="Times New Roman" w:eastAsia="Times New Roman" w:hAnsi="Times New Roman"/>
                <w:sz w:val="19"/>
                <w:szCs w:val="19"/>
                <w:color w:val="B4B4B4"/>
              </w:rPr>
              <w:t>........................................................................................................................</w:t>
            </w:r>
          </w:p>
        </w:tc>
        <w:tc>
          <w:tcPr>
            <w:tcW w:w="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51,722</w:t>
            </w:r>
          </w:p>
        </w:tc>
      </w:tr>
      <w:tr>
        <w:trPr>
          <w:trHeight w:val="20"/>
        </w:trPr>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-43180</wp:posOffset>
            </wp:positionV>
            <wp:extent cx="829310"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1">
                      <a:extLst>
                        <a:ext uri="{28A0092B-C50C-407E-A947-70E740481C1C}"/>
                      </a:extLst>
                    </a:blip>
                    <a:srcRect/>
                    <a:stretch>
                      <a:fillRect/>
                    </a:stretch>
                  </pic:blipFill>
                  <pic:spPr bwMode="auto">
                    <a:xfrm>
                      <a:off x="0" y="0"/>
                      <a:ext cx="829310" cy="50165"/>
                    </a:xfrm>
                    <a:prstGeom prst="rect">
                      <a:avLst/>
                    </a:prstGeom>
                    <a:noFill/>
                  </pic:spPr>
                </pic:pic>
              </a:graphicData>
            </a:graphic>
          </wp:anchor>
        </w:drawing>
      </w:r>
    </w:p>
    <w:p>
      <w:pPr>
        <w:spacing w:after="0" w:line="220" w:lineRule="exact"/>
        <w:rPr>
          <w:sz w:val="20"/>
          <w:szCs w:val="20"/>
          <w:color w:val="auto"/>
        </w:rPr>
      </w:pPr>
    </w:p>
    <w:p>
      <w:pPr>
        <w:ind w:right="260" w:firstLine="698"/>
        <w:spacing w:after="0" w:line="293" w:lineRule="auto"/>
        <w:rPr>
          <w:sz w:val="20"/>
          <w:szCs w:val="20"/>
          <w:color w:val="auto"/>
        </w:rPr>
      </w:pPr>
      <w:r>
        <w:rPr>
          <w:rFonts w:ascii="Times New Roman" w:cs="Times New Roman" w:eastAsia="Times New Roman" w:hAnsi="Times New Roman"/>
          <w:sz w:val="19"/>
          <w:szCs w:val="19"/>
          <w:color w:val="auto"/>
        </w:rPr>
        <w:t>The table above excludes $8,563 of undiscounted future minimum lease payments for operating lease liabilities for office space that had not yet commenced for a term of 10.6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40" w:type="dxa"/>
            <w:vAlign w:val="bottom"/>
          </w:tcPr>
          <w:p>
            <w:pPr>
              <w:jc w:val="right"/>
              <w:ind w:right="6723"/>
              <w:spacing w:after="0"/>
              <w:rPr>
                <w:sz w:val="20"/>
                <w:szCs w:val="20"/>
                <w:color w:val="auto"/>
              </w:rPr>
            </w:pPr>
            <w:r>
              <w:rPr>
                <w:rFonts w:ascii="Times New Roman" w:cs="Times New Roman" w:eastAsia="Times New Roman" w:hAnsi="Times New Roman"/>
                <w:sz w:val="19"/>
                <w:szCs w:val="19"/>
                <w:b w:val="1"/>
                <w:bCs w:val="1"/>
                <w:color w:val="auto"/>
              </w:rPr>
              <w:t>(14) Income Taxes</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69"/>
        </w:trPr>
        <w:tc>
          <w:tcPr>
            <w:tcW w:w="834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i w:val="1"/>
                <w:iCs w:val="1"/>
                <w:color w:val="auto"/>
              </w:rPr>
              <w:t>Income before Income Taxes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834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Income before income taxes for the year ended June 30, 2026 consisted of the following:</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1"/>
        </w:trPr>
        <w:tc>
          <w:tcPr>
            <w:tcW w:w="8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Domestic </w:t>
            </w:r>
            <w:r>
              <w:rPr>
                <w:rFonts w:ascii="Times New Roman" w:cs="Times New Roman" w:eastAsia="Times New Roman" w:hAnsi="Times New Roman"/>
                <w:sz w:val="19"/>
                <w:szCs w:val="19"/>
                <w:color w:val="B4B4B4"/>
              </w:rPr>
              <w:t>..........................................................................................................................................................</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382,102</w:t>
            </w:r>
          </w:p>
        </w:tc>
      </w:tr>
      <w:tr>
        <w:trPr>
          <w:trHeight w:val="294"/>
        </w:trPr>
        <w:tc>
          <w:tcPr>
            <w:tcW w:w="8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Foreign </w:t>
            </w:r>
            <w:r>
              <w:rPr>
                <w:rFonts w:ascii="Times New Roman" w:cs="Times New Roman" w:eastAsia="Times New Roman" w:hAnsi="Times New Roman"/>
                <w:sz w:val="19"/>
                <w:szCs w:val="19"/>
                <w:color w:val="B4B4B4"/>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5,201</w:t>
            </w:r>
          </w:p>
        </w:tc>
      </w:tr>
      <w:tr>
        <w:trPr>
          <w:trHeight w:val="252"/>
        </w:trPr>
        <w:tc>
          <w:tcPr>
            <w:tcW w:w="8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3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387,303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-43180</wp:posOffset>
            </wp:positionV>
            <wp:extent cx="829310"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2">
                      <a:extLst>
                        <a:ext uri="{28A0092B-C50C-407E-A947-70E740481C1C}"/>
                      </a:extLst>
                    </a:blip>
                    <a:srcRect/>
                    <a:stretch>
                      <a:fillRect/>
                    </a:stretch>
                  </pic:blipFill>
                  <pic:spPr bwMode="auto">
                    <a:xfrm>
                      <a:off x="0" y="0"/>
                      <a:ext cx="829310" cy="50165"/>
                    </a:xfrm>
                    <a:prstGeom prst="rect">
                      <a:avLst/>
                    </a:prstGeom>
                    <a:noFill/>
                  </pic:spPr>
                </pic:pic>
              </a:graphicData>
            </a:graphic>
          </wp:anchor>
        </w:drawing>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b w:val="1"/>
          <w:bCs w:val="1"/>
          <w:i w:val="1"/>
          <w:iCs w:val="1"/>
          <w:color w:val="auto"/>
        </w:rPr>
        <w:t>Income Taxes</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Income tax expense for the years ended June 30, 2024, 2025 and 2026 consisted of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Current taxes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Federal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30,900</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13,040</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State and local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20,609</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International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1,002</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taxes: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Federal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26,438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75,459</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State and local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8,425</w:t>
            </w:r>
          </w:p>
        </w:tc>
      </w:tr>
      <w:tr>
        <w:trPr>
          <w:trHeight w:val="294"/>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International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(973)</w:t>
            </w:r>
          </w:p>
        </w:tc>
      </w:tr>
      <w:tr>
        <w:trPr>
          <w:trHeight w:val="252"/>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income tax expense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70,249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81,936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117,562</w:t>
            </w: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2510790"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3">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9600"/>
          </w:cols>
          <w:pgMar w:left="1140" w:top="872" w:right="1140" w:bottom="0" w:gutter="0" w:footer="0" w:header="0"/>
          <w:type w:val="continuous"/>
        </w:sectPr>
      </w:pPr>
    </w:p>
    <w:bookmarkStart w:id="90" w:name="page91"/>
    <w:bookmarkEnd w:id="90"/>
    <w:p>
      <w:pPr>
        <w:ind w:left="964" w:hanging="265"/>
        <w:spacing w:after="0"/>
        <w:tabs>
          <w:tab w:leader="none" w:pos="96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Tax Rate Reconciliation</w:t>
      </w:r>
    </w:p>
    <w:p>
      <w:pPr>
        <w:spacing w:after="0" w:line="251" w:lineRule="exact"/>
        <w:rPr>
          <w:sz w:val="20"/>
          <w:szCs w:val="20"/>
          <w:color w:val="auto"/>
        </w:rPr>
      </w:pPr>
    </w:p>
    <w:p>
      <w:pPr>
        <w:ind w:left="4" w:right="100" w:firstLine="698"/>
        <w:spacing w:after="0" w:line="293" w:lineRule="auto"/>
        <w:rPr>
          <w:sz w:val="20"/>
          <w:szCs w:val="20"/>
          <w:color w:val="auto"/>
        </w:rPr>
      </w:pPr>
      <w:r>
        <w:rPr>
          <w:rFonts w:ascii="Times New Roman" w:cs="Times New Roman" w:eastAsia="Times New Roman" w:hAnsi="Times New Roman"/>
          <w:sz w:val="19"/>
          <w:szCs w:val="19"/>
          <w:color w:val="auto"/>
        </w:rPr>
        <w:t>Income tax expense differed from the amounts computed by applying the U.S. federal income tax rate of 21% for the year ended June 30, 2026 to pretax income as a result of the following:</w:t>
      </w:r>
    </w:p>
    <w:p>
      <w:pPr>
        <w:spacing w:after="0" w:line="252" w:lineRule="exact"/>
        <w:rPr>
          <w:sz w:val="20"/>
          <w:szCs w:val="20"/>
          <w:color w:val="auto"/>
        </w:rPr>
      </w:pPr>
    </w:p>
    <w:tbl>
      <w:tblPr>
        <w:tblLayout w:type="fixed"/>
        <w:tblInd w:w="44"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6"/>
                <w:szCs w:val="16"/>
                <w:b w:val="1"/>
                <w:bCs w:val="1"/>
                <w:color w:val="auto"/>
                <w:w w:val="96"/>
              </w:rPr>
              <w:t>Year Ended June 30,</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27"/>
        </w:trPr>
        <w:tc>
          <w:tcPr>
            <w:tcW w:w="6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U.S. federal statutory tax rate </w:t>
            </w:r>
            <w:r>
              <w:rPr>
                <w:rFonts w:ascii="Times New Roman" w:cs="Times New Roman" w:eastAsia="Times New Roman" w:hAnsi="Times New Roman"/>
                <w:sz w:val="19"/>
                <w:szCs w:val="19"/>
                <w:color w:val="B4B4B4"/>
              </w:rPr>
              <w: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81,333</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8"/>
              </w:rPr>
              <w:t>%</w:t>
            </w:r>
          </w:p>
        </w:tc>
      </w:tr>
      <w:tr>
        <w:trPr>
          <w:trHeight w:val="329"/>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State and local income taxes, net of federal income tax effect </w:t>
            </w:r>
            <w:r>
              <w:rPr>
                <w:rFonts w:ascii="Times New Roman" w:cs="Times New Roman" w:eastAsia="Times New Roman" w:hAnsi="Times New Roman"/>
                <w:sz w:val="25"/>
                <w:szCs w:val="25"/>
                <w:color w:val="auto"/>
                <w:vertAlign w:val="superscript"/>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24,707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180" w:type="dxa"/>
            <w:vAlign w:val="bottom"/>
          </w:tcPr>
          <w:p>
            <w:pPr>
              <w:spacing w:after="0"/>
              <w:rPr>
                <w:sz w:val="24"/>
                <w:szCs w:val="24"/>
                <w:color w:val="auto"/>
              </w:rPr>
            </w:pPr>
          </w:p>
        </w:tc>
      </w:tr>
      <w:tr>
        <w:trPr>
          <w:trHeight w:val="253"/>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Foreign tax effects </w:t>
            </w:r>
            <w:r>
              <w:rPr>
                <w:rFonts w:ascii="Times New Roman" w:cs="Times New Roman" w:eastAsia="Times New Roman" w:hAnsi="Times New Roman"/>
                <w:sz w:val="19"/>
                <w:szCs w:val="19"/>
                <w:color w:val="B4B4B4"/>
              </w:rPr>
              <w: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(1,064)</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80" w:type="dxa"/>
            <w:vAlign w:val="bottom"/>
          </w:tcPr>
          <w:p>
            <w:pPr>
              <w:spacing w:after="0"/>
              <w:rPr>
                <w:sz w:val="21"/>
                <w:szCs w:val="21"/>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Effect of cross-border tax laws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Tax credits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tax credits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credits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Changes in unrecognized tax benefits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Non-taxable or non-deductible items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Stock-based compensation </w:t>
            </w:r>
            <w:r>
              <w:rPr>
                <w:rFonts w:ascii="Times New Roman" w:cs="Times New Roman" w:eastAsia="Times New Roman" w:hAnsi="Times New Roman"/>
                <w:sz w:val="19"/>
                <w:szCs w:val="19"/>
                <w:color w:val="B4B4B4"/>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18,318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180" w:type="dxa"/>
            <w:vAlign w:val="bottom"/>
          </w:tcPr>
          <w:p>
            <w:pPr>
              <w:spacing w:after="0"/>
              <w:rPr>
                <w:sz w:val="24"/>
                <w:szCs w:val="24"/>
                <w:color w:val="auto"/>
              </w:rPr>
            </w:pPr>
          </w:p>
        </w:tc>
      </w:tr>
      <w:tr>
        <w:trPr>
          <w:trHeight w:val="292"/>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non-deductible expenses </w:t>
            </w:r>
            <w:r>
              <w:rPr>
                <w:rFonts w:ascii="Times New Roman" w:cs="Times New Roman" w:eastAsia="Times New Roman" w:hAnsi="Times New Roman"/>
                <w:sz w:val="19"/>
                <w:szCs w:val="19"/>
                <w:color w:val="B4B4B4"/>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2,502</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0.7</w:t>
            </w:r>
          </w:p>
        </w:tc>
        <w:tc>
          <w:tcPr>
            <w:tcW w:w="180" w:type="dxa"/>
            <w:vAlign w:val="bottom"/>
            <w:tcBorders>
              <w:bottom w:val="single" w:sz="8" w:color="auto"/>
            </w:tcBorders>
          </w:tcPr>
          <w:p>
            <w:pPr>
              <w:spacing w:after="0"/>
              <w:rPr>
                <w:sz w:val="24"/>
                <w:szCs w:val="24"/>
                <w:color w:val="auto"/>
              </w:rPr>
            </w:pPr>
          </w:p>
        </w:tc>
      </w:tr>
      <w:tr>
        <w:trPr>
          <w:trHeight w:val="252"/>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Effective tax rate </w:t>
            </w:r>
            <w:r>
              <w:rPr>
                <w:rFonts w:ascii="Times New Roman" w:cs="Times New Roman" w:eastAsia="Times New Roman" w:hAnsi="Times New Roman"/>
                <w:sz w:val="19"/>
                <w:szCs w:val="19"/>
                <w:color w:val="B4B4B4"/>
              </w:rPr>
              <w:t>..................................................................................................................</w:t>
            </w:r>
          </w:p>
        </w:tc>
        <w:tc>
          <w:tcPr>
            <w:tcW w:w="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117,562</w:t>
            </w:r>
          </w:p>
        </w:tc>
        <w:tc>
          <w:tcPr>
            <w:tcW w:w="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8"/>
              </w:rPr>
              <w:t>%</w:t>
            </w:r>
          </w:p>
        </w:tc>
      </w:tr>
      <w:tr>
        <w:trPr>
          <w:trHeight w:val="20"/>
        </w:trPr>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-43180</wp:posOffset>
            </wp:positionV>
            <wp:extent cx="1670050"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4">
                      <a:extLst>
                        <a:ext uri="{28A0092B-C50C-407E-A947-70E740481C1C}"/>
                      </a:extLst>
                    </a:blip>
                    <a:srcRect/>
                    <a:stretch>
                      <a:fillRect/>
                    </a:stretch>
                  </pic:blipFill>
                  <pic:spPr bwMode="auto">
                    <a:xfrm>
                      <a:off x="0" y="0"/>
                      <a:ext cx="1670050" cy="50165"/>
                    </a:xfrm>
                    <a:prstGeom prst="rect">
                      <a:avLst/>
                    </a:prstGeom>
                    <a:noFill/>
                  </pic:spPr>
                </pic:pic>
              </a:graphicData>
            </a:graphic>
          </wp:anchor>
        </w:drawing>
      </w:r>
    </w:p>
    <w:p>
      <w:pPr>
        <w:ind w:left="4" w:right="120" w:hanging="4"/>
        <w:spacing w:after="0" w:line="293" w:lineRule="auto"/>
        <w:tabs>
          <w:tab w:leader="none" w:pos="23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State taxes in California, Illinois, Florida and Pennsylvania made up the majority (greater than 50%) of the tax effect in this category.</w:t>
      </w:r>
    </w:p>
    <w:p>
      <w:pPr>
        <w:spacing w:after="0" w:line="165" w:lineRule="exact"/>
        <w:rPr>
          <w:sz w:val="20"/>
          <w:szCs w:val="20"/>
          <w:color w:val="auto"/>
        </w:rPr>
      </w:pPr>
    </w:p>
    <w:p>
      <w:pPr>
        <w:ind w:left="4" w:right="100" w:firstLine="698"/>
        <w:spacing w:after="0" w:line="293" w:lineRule="auto"/>
        <w:rPr>
          <w:sz w:val="20"/>
          <w:szCs w:val="20"/>
          <w:color w:val="auto"/>
        </w:rPr>
      </w:pPr>
      <w:r>
        <w:rPr>
          <w:rFonts w:ascii="Times New Roman" w:cs="Times New Roman" w:eastAsia="Times New Roman" w:hAnsi="Times New Roman"/>
          <w:sz w:val="19"/>
          <w:szCs w:val="19"/>
          <w:color w:val="auto"/>
        </w:rPr>
        <w:t>Income tax expense differed from the amounts computed by applying the U.S. federal income tax rate of 21% for the years ended June 30, 2024 and 2025 to pretax income as a result of the following:</w:t>
      </w:r>
    </w:p>
    <w:p>
      <w:pPr>
        <w:spacing w:after="0" w:line="252" w:lineRule="exact"/>
        <w:rPr>
          <w:sz w:val="20"/>
          <w:szCs w:val="20"/>
          <w:color w:val="auto"/>
        </w:rPr>
      </w:pPr>
    </w:p>
    <w:tbl>
      <w:tblPr>
        <w:tblLayout w:type="fixed"/>
        <w:tblInd w:w="44"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242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 w:type="dxa"/>
            <w:vAlign w:val="bottom"/>
            <w:tcBorders>
              <w:bottom w:val="single" w:sz="8" w:color="auto"/>
            </w:tcBorders>
          </w:tcPr>
          <w:p>
            <w:pPr>
              <w:spacing w:after="0"/>
              <w:rPr>
                <w:sz w:val="18"/>
                <w:szCs w:val="18"/>
                <w:color w:val="auto"/>
              </w:rPr>
            </w:pPr>
          </w:p>
        </w:tc>
      </w:tr>
      <w:tr>
        <w:trPr>
          <w:trHeight w:val="227"/>
        </w:trPr>
        <w:tc>
          <w:tcPr>
            <w:tcW w:w="6960" w:type="dxa"/>
            <w:vAlign w:val="bottom"/>
          </w:tcPr>
          <w:p>
            <w:pPr>
              <w:spacing w:after="0"/>
              <w:rPr>
                <w:sz w:val="19"/>
                <w:szCs w:val="19"/>
                <w:color w:val="auto"/>
              </w:rPr>
            </w:pPr>
          </w:p>
        </w:tc>
        <w:tc>
          <w:tcPr>
            <w:tcW w:w="11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Income tax expense at statutory federal rate </w:t>
            </w:r>
            <w:r>
              <w:rPr>
                <w:rFonts w:ascii="Times New Roman" w:cs="Times New Roman" w:eastAsia="Times New Roman" w:hAnsi="Times New Roman"/>
                <w:sz w:val="19"/>
                <w:szCs w:val="19"/>
                <w:color w:val="B4B4B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8"/>
              </w:rPr>
              <w:t>%</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Increase (reduction) in income taxes resulting from: </w:t>
            </w:r>
            <w:r>
              <w:rPr>
                <w:rFonts w:ascii="Times New Roman" w:cs="Times New Roman" w:eastAsia="Times New Roman" w:hAnsi="Times New Roman"/>
                <w:sz w:val="19"/>
                <w:szCs w:val="19"/>
                <w:color w:val="B4B4B4"/>
              </w:rPr>
              <w:t>...........................................................</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credit and other credits </w:t>
            </w:r>
            <w:r>
              <w:rPr>
                <w:rFonts w:ascii="Times New Roman" w:cs="Times New Roman" w:eastAsia="Times New Roman" w:hAnsi="Times New Roman"/>
                <w:sz w:val="19"/>
                <w:szCs w:val="19"/>
                <w:color w:val="B4B4B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Non-deductible expenses </w:t>
            </w:r>
            <w:r>
              <w:rPr>
                <w:rFonts w:ascii="Times New Roman" w:cs="Times New Roman" w:eastAsia="Times New Roman" w:hAnsi="Times New Roman"/>
                <w:sz w:val="19"/>
                <w:szCs w:val="19"/>
                <w:color w:val="B4B4B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0.7</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Change in valuation allowance </w:t>
            </w:r>
            <w:r>
              <w:rPr>
                <w:rFonts w:ascii="Times New Roman" w:cs="Times New Roman" w:eastAsia="Times New Roman" w:hAnsi="Times New Roman"/>
                <w:sz w:val="19"/>
                <w:szCs w:val="19"/>
                <w:color w:val="B4B4B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Stock-based compensation expense</w:t>
            </w:r>
            <w:r>
              <w:rPr>
                <w:rFonts w:ascii="Times New Roman" w:cs="Times New Roman" w:eastAsia="Times New Roman" w:hAnsi="Times New Roman"/>
                <w:sz w:val="19"/>
                <w:szCs w:val="19"/>
                <w:color w:val="B4B4B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8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State and local income taxes, net of federal income tax benefit </w:t>
            </w:r>
            <w:r>
              <w:rPr>
                <w:rFonts w:ascii="Times New Roman" w:cs="Times New Roman" w:eastAsia="Times New Roman" w:hAnsi="Times New Roman"/>
                <w:sz w:val="19"/>
                <w:szCs w:val="19"/>
                <w:color w:val="B4B4B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180" w:type="dxa"/>
            <w:vAlign w:val="bottom"/>
          </w:tcPr>
          <w:p>
            <w:pPr>
              <w:spacing w:after="0"/>
              <w:rPr>
                <w:sz w:val="24"/>
                <w:szCs w:val="24"/>
                <w:color w:val="auto"/>
              </w:rPr>
            </w:pP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80" w:type="dxa"/>
            <w:vAlign w:val="bottom"/>
            <w:tcBorders>
              <w:bottom w:val="single" w:sz="8" w:color="auto"/>
            </w:tcBorders>
          </w:tcPr>
          <w:p>
            <w:pPr>
              <w:spacing w:after="0"/>
              <w:rPr>
                <w:sz w:val="24"/>
                <w:szCs w:val="24"/>
                <w:color w:val="auto"/>
              </w:rPr>
            </w:pPr>
          </w:p>
        </w:tc>
      </w:tr>
      <w:tr>
        <w:trPr>
          <w:trHeight w:val="252"/>
        </w:trPr>
        <w:tc>
          <w:tcPr>
            <w:tcW w:w="69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25.4 %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26.5 %</w:t>
            </w:r>
          </w:p>
        </w:tc>
      </w:tr>
      <w:tr>
        <w:trPr>
          <w:trHeight w:val="20"/>
        </w:trPr>
        <w:tc>
          <w:tcPr>
            <w:tcW w:w="6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-43180</wp:posOffset>
            </wp:positionV>
            <wp:extent cx="1670050"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5">
                      <a:extLst>
                        <a:ext uri="{28A0092B-C50C-407E-A947-70E740481C1C}"/>
                      </a:extLst>
                    </a:blip>
                    <a:srcRect/>
                    <a:stretch>
                      <a:fillRect/>
                    </a:stretch>
                  </pic:blipFill>
                  <pic:spPr bwMode="auto">
                    <a:xfrm>
                      <a:off x="0" y="0"/>
                      <a:ext cx="1670050" cy="50165"/>
                    </a:xfrm>
                    <a:prstGeom prst="rect">
                      <a:avLst/>
                    </a:prstGeom>
                    <a:noFill/>
                  </pic:spPr>
                </pic:pic>
              </a:graphicData>
            </a:graphic>
          </wp:anchor>
        </w:drawing>
      </w:r>
    </w:p>
    <w:p>
      <w:pPr>
        <w:spacing w:after="0" w:line="220" w:lineRule="exact"/>
        <w:rPr>
          <w:sz w:val="20"/>
          <w:szCs w:val="20"/>
          <w:color w:val="auto"/>
        </w:rPr>
      </w:pPr>
    </w:p>
    <w:p>
      <w:pPr>
        <w:ind w:left="4" w:right="20" w:firstLine="698"/>
        <w:spacing w:after="0" w:line="268" w:lineRule="auto"/>
        <w:rPr>
          <w:sz w:val="20"/>
          <w:szCs w:val="20"/>
          <w:color w:val="auto"/>
        </w:rPr>
      </w:pPr>
      <w:r>
        <w:rPr>
          <w:rFonts w:ascii="Times New Roman" w:cs="Times New Roman" w:eastAsia="Times New Roman" w:hAnsi="Times New Roman"/>
          <w:sz w:val="19"/>
          <w:szCs w:val="19"/>
          <w:color w:val="auto"/>
        </w:rPr>
        <w:t>The effective tax rate for the years ended June 30, 2024, 2025 and 2026 was 25.4%, 26.5% and 30.4%, respectively, on pre-tax income of $277,015, $309,063 and $387,303, respectively. The increase in the effective tax rate for the years ended June 30, 2024 and 2025 were primarily due to state and local income tax. The increase in effective tax rate for the year ended June 30, 2026 was due to stock-based compensation shortfalls and state and local income taxes.</w:t>
      </w:r>
    </w:p>
    <w:p>
      <w:pPr>
        <w:sectPr>
          <w:pgSz w:w="11880" w:h="15480" w:orient="portrait"/>
          <w:cols w:equalWidth="0" w:num="1">
            <w:col w:w="9604"/>
          </w:cols>
          <w:pgMar w:left="1136" w:top="86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9604"/>
          </w:cols>
          <w:pgMar w:left="1136" w:top="868" w:right="1140" w:bottom="0" w:gutter="0" w:footer="0" w:header="0"/>
          <w:type w:val="continuous"/>
        </w:sectPr>
      </w:pPr>
    </w:p>
    <w:bookmarkStart w:id="91" w:name="page92"/>
    <w:bookmarkEnd w:id="91"/>
    <w:p>
      <w:pPr>
        <w:ind w:left="700"/>
        <w:spacing w:after="0"/>
        <w:rPr>
          <w:sz w:val="20"/>
          <w:szCs w:val="20"/>
          <w:color w:val="auto"/>
        </w:rPr>
      </w:pPr>
      <w:r>
        <w:rPr>
          <w:rFonts w:ascii="Times New Roman" w:cs="Times New Roman" w:eastAsia="Times New Roman" w:hAnsi="Times New Roman"/>
          <w:sz w:val="19"/>
          <w:szCs w:val="19"/>
          <w:color w:val="auto"/>
        </w:rPr>
        <w:t xml:space="preserve">(d) </w:t>
      </w:r>
      <w:r>
        <w:rPr>
          <w:rFonts w:ascii="Times New Roman" w:cs="Times New Roman" w:eastAsia="Times New Roman" w:hAnsi="Times New Roman"/>
          <w:sz w:val="19"/>
          <w:szCs w:val="19"/>
          <w:b w:val="1"/>
          <w:bCs w:val="1"/>
          <w:i w:val="1"/>
          <w:iCs w:val="1"/>
          <w:color w:val="auto"/>
        </w:rPr>
        <w:t>Income Taxes Paid</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summary of income taxes paid by jurisdiction for the year ended June 30, 2026:</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27"/>
        </w:trPr>
        <w:tc>
          <w:tcPr>
            <w:tcW w:w="8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Federal </w:t>
            </w:r>
            <w:r>
              <w:rPr>
                <w:rFonts w:ascii="Times New Roman" w:cs="Times New Roman" w:eastAsia="Times New Roman" w:hAnsi="Times New Roman"/>
                <w:sz w:val="19"/>
                <w:szCs w:val="19"/>
                <w:color w:val="B4B4B4"/>
              </w:rPr>
              <w:t>.......................................................................................................................................................</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13,100</w:t>
            </w:r>
          </w:p>
        </w:tc>
      </w:tr>
      <w:tr>
        <w:trPr>
          <w:trHeight w:val="291"/>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State and local income taxes </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1"/>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California </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3,657</w:t>
            </w:r>
          </w:p>
        </w:tc>
      </w:tr>
      <w:tr>
        <w:trPr>
          <w:trHeight w:val="291"/>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Florida </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2,723</w:t>
            </w:r>
          </w:p>
        </w:tc>
      </w:tr>
      <w:tr>
        <w:trPr>
          <w:trHeight w:val="291"/>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Other states</w:t>
            </w:r>
            <w:r>
              <w:rPr>
                <w:rFonts w:ascii="Times New Roman" w:cs="Times New Roman" w:eastAsia="Times New Roman" w:hAnsi="Times New Roman"/>
                <w:sz w:val="19"/>
                <w:szCs w:val="19"/>
                <w:color w:val="B4B4B4"/>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13,023</w:t>
            </w:r>
          </w:p>
        </w:tc>
      </w:tr>
      <w:tr>
        <w:trPr>
          <w:trHeight w:val="294"/>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Foreign taxes </w:t>
            </w:r>
            <w:r>
              <w:rPr>
                <w:rFonts w:ascii="Times New Roman" w:cs="Times New Roman" w:eastAsia="Times New Roman" w:hAnsi="Times New Roman"/>
                <w:sz w:val="19"/>
                <w:szCs w:val="19"/>
                <w:color w:val="B4B4B4"/>
              </w:rPr>
              <w:t>..............................................................................................................................................</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652</w:t>
            </w:r>
          </w:p>
        </w:tc>
      </w:tr>
      <w:tr>
        <w:trPr>
          <w:trHeight w:val="252"/>
        </w:trPr>
        <w:tc>
          <w:tcPr>
            <w:tcW w:w="8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income taxes paid </w:t>
            </w:r>
            <w:r>
              <w:rPr>
                <w:rFonts w:ascii="Times New Roman" w:cs="Times New Roman" w:eastAsia="Times New Roman" w:hAnsi="Times New Roman"/>
                <w:sz w:val="19"/>
                <w:szCs w:val="19"/>
                <w:color w:val="B4B4B4"/>
              </w:rPr>
              <w:t>.............................................................................................................................</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33,155</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-43180</wp:posOffset>
            </wp:positionV>
            <wp:extent cx="1014095"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6">
                      <a:extLst>
                        <a:ext uri="{28A0092B-C50C-407E-A947-70E740481C1C}"/>
                      </a:extLst>
                    </a:blip>
                    <a:srcRect/>
                    <a:stretch>
                      <a:fillRect/>
                    </a:stretch>
                  </pic:blipFill>
                  <pic:spPr bwMode="auto">
                    <a:xfrm>
                      <a:off x="0" y="0"/>
                      <a:ext cx="1014095" cy="50165"/>
                    </a:xfrm>
                    <a:prstGeom prst="rect">
                      <a:avLst/>
                    </a:prstGeom>
                    <a:noFill/>
                  </pic:spPr>
                </pic:pic>
              </a:graphicData>
            </a:graphic>
          </wp:anchor>
        </w:drawing>
      </w:r>
    </w:p>
    <w:p>
      <w:pPr>
        <w:spacing w:after="0" w:line="220" w:lineRule="exact"/>
        <w:rPr>
          <w:sz w:val="20"/>
          <w:szCs w:val="20"/>
          <w:color w:val="auto"/>
        </w:rPr>
      </w:pPr>
    </w:p>
    <w:p>
      <w:pPr>
        <w:ind w:right="480" w:firstLine="698"/>
        <w:spacing w:after="0" w:line="293" w:lineRule="auto"/>
        <w:rPr>
          <w:sz w:val="20"/>
          <w:szCs w:val="20"/>
          <w:color w:val="auto"/>
        </w:rPr>
      </w:pPr>
      <w:r>
        <w:rPr>
          <w:rFonts w:ascii="Times New Roman" w:cs="Times New Roman" w:eastAsia="Times New Roman" w:hAnsi="Times New Roman"/>
          <w:sz w:val="19"/>
          <w:szCs w:val="19"/>
          <w:color w:val="auto"/>
        </w:rPr>
        <w:t>The amount of cash taxes paid by the Company during the years ended June 30, 2024 and 2025 was $47,619 million and $86,100, respectively.</w:t>
      </w:r>
    </w:p>
    <w:p>
      <w:pPr>
        <w:spacing w:after="0" w:line="161" w:lineRule="exact"/>
        <w:rPr>
          <w:sz w:val="20"/>
          <w:szCs w:val="20"/>
          <w:color w:val="auto"/>
        </w:rPr>
      </w:pPr>
    </w:p>
    <w:p>
      <w:pPr>
        <w:ind w:left="960" w:hanging="265"/>
        <w:spacing w:after="0"/>
        <w:tabs>
          <w:tab w:leader="none" w:pos="9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Components of Deferred Tax Assets and Liabilities</w:t>
      </w:r>
    </w:p>
    <w:p>
      <w:pPr>
        <w:spacing w:after="0" w:line="251" w:lineRule="exact"/>
        <w:rPr>
          <w:sz w:val="20"/>
          <w:szCs w:val="20"/>
          <w:color w:val="auto"/>
        </w:rPr>
      </w:pPr>
    </w:p>
    <w:p>
      <w:pPr>
        <w:ind w:right="680" w:firstLine="698"/>
        <w:spacing w:after="0" w:line="293" w:lineRule="auto"/>
        <w:rPr>
          <w:sz w:val="20"/>
          <w:szCs w:val="20"/>
          <w:color w:val="auto"/>
        </w:rPr>
      </w:pPr>
      <w:r>
        <w:rPr>
          <w:rFonts w:ascii="Times New Roman" w:cs="Times New Roman" w:eastAsia="Times New Roman" w:hAnsi="Times New Roman"/>
          <w:sz w:val="19"/>
          <w:szCs w:val="19"/>
          <w:color w:val="auto"/>
        </w:rPr>
        <w:t>The tax effects of temporary differences that give rise to significant portions of the deferred tax assets and deferred tax liabilities at June 30, 2025 and 2026 are presented below.</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27"/>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tax assets: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lease liabilities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14,457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13,150</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Accrued expenses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24,191</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Stock-based compensation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25,970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19,524</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operating loss carryforwards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20,471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16,352</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Federal and state tax credits</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16,116</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Research and development costs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60,611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4,723</w:t>
            </w: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deferred tax assets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160,806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94,057</w:t>
            </w: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Valuation allowance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(2,954)</w:t>
            </w:r>
          </w:p>
        </w:tc>
      </w:tr>
      <w:tr>
        <w:trPr>
          <w:trHeight w:val="268"/>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deferred tax assets</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160,574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91,103</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tax liabilities: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Deferred contract costs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(134,448)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(145,341)</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Operating lease right-of-use assets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(8,328)</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Intangible assets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(20,269)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(20,184)</w:t>
            </w:r>
          </w:p>
        </w:tc>
      </w:tr>
      <w:tr>
        <w:trPr>
          <w:trHeight w:val="291"/>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Depreciation</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(12,098)</w:t>
            </w: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deferred tax liabilities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(175,379)</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(185,951)</w:t>
            </w:r>
          </w:p>
        </w:tc>
      </w:tr>
      <w:tr>
        <w:trPr>
          <w:trHeight w:val="252"/>
        </w:trPr>
        <w:tc>
          <w:tcPr>
            <w:tcW w:w="6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deferred tax liabilities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(14,805)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(94,848)</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-43180</wp:posOffset>
            </wp:positionV>
            <wp:extent cx="1670050"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7">
                      <a:extLst>
                        <a:ext uri="{28A0092B-C50C-407E-A947-70E740481C1C}"/>
                      </a:extLst>
                    </a:blip>
                    <a:srcRect/>
                    <a:stretch>
                      <a:fillRect/>
                    </a:stretch>
                  </pic:blipFill>
                  <pic:spPr bwMode="auto">
                    <a:xfrm>
                      <a:off x="0" y="0"/>
                      <a:ext cx="1670050" cy="50165"/>
                    </a:xfrm>
                    <a:prstGeom prst="rect">
                      <a:avLst/>
                    </a:prstGeom>
                    <a:noFill/>
                  </pic:spPr>
                </pic:pic>
              </a:graphicData>
            </a:graphic>
          </wp:anchor>
        </w:drawing>
      </w:r>
    </w:p>
    <w:p>
      <w:pPr>
        <w:spacing w:after="0" w:line="220" w:lineRule="exact"/>
        <w:rPr>
          <w:sz w:val="20"/>
          <w:szCs w:val="20"/>
          <w:color w:val="auto"/>
        </w:rPr>
      </w:pPr>
    </w:p>
    <w:p>
      <w:pPr>
        <w:ind w:right="160" w:firstLine="698"/>
        <w:spacing w:after="0" w:line="268" w:lineRule="auto"/>
        <w:rPr>
          <w:sz w:val="20"/>
          <w:szCs w:val="20"/>
          <w:color w:val="auto"/>
        </w:rPr>
      </w:pPr>
      <w:r>
        <w:rPr>
          <w:rFonts w:ascii="Times New Roman" w:cs="Times New Roman" w:eastAsia="Times New Roman" w:hAnsi="Times New Roman"/>
          <w:sz w:val="19"/>
          <w:szCs w:val="19"/>
          <w:color w:val="auto"/>
        </w:rPr>
        <w:t>As of June 30, 2026, the Company maintains a valuation allowance of $2,954 for certain state tax benefits which may not be realized. The increase to the valuation allowance is mainly due to changes to the realizability of Illinois tax attributes due to impacts from the One Big Beautiful Bill Act. Such assessment may change in the future as further evidence becomes available.</w:t>
      </w:r>
    </w:p>
    <w:p>
      <w:pPr>
        <w:spacing w:after="0" w:line="188" w:lineRule="exact"/>
        <w:rPr>
          <w:sz w:val="20"/>
          <w:szCs w:val="20"/>
          <w:color w:val="auto"/>
        </w:rPr>
      </w:pPr>
    </w:p>
    <w:p>
      <w:pPr>
        <w:ind w:right="420" w:firstLine="698"/>
        <w:spacing w:after="0" w:line="293" w:lineRule="auto"/>
        <w:rPr>
          <w:sz w:val="20"/>
          <w:szCs w:val="20"/>
          <w:color w:val="auto"/>
        </w:rPr>
      </w:pPr>
      <w:r>
        <w:rPr>
          <w:rFonts w:ascii="Times New Roman" w:cs="Times New Roman" w:eastAsia="Times New Roman" w:hAnsi="Times New Roman"/>
          <w:sz w:val="19"/>
          <w:szCs w:val="19"/>
          <w:color w:val="auto"/>
        </w:rPr>
        <w:t>At June 30, 2026, the Company has gross net operating loss carryforwards for federal income tax purposes of approximately $37,187, all of which can be carried forward indefinitely. The Company has gross net operating loss</w:t>
      </w:r>
    </w:p>
    <w:p>
      <w:pPr>
        <w:sectPr>
          <w:pgSz w:w="11880" w:h="15480" w:orient="portrait"/>
          <w:cols w:equalWidth="0" w:num="1">
            <w:col w:w="9600"/>
          </w:cols>
          <w:pgMar w:left="1140" w:top="868" w:right="1140"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9600"/>
          </w:cols>
          <w:pgMar w:left="1140" w:top="868" w:right="1140" w:bottom="0" w:gutter="0" w:footer="0" w:header="0"/>
          <w:type w:val="continuous"/>
        </w:sectPr>
      </w:pPr>
    </w:p>
    <w:bookmarkStart w:id="92" w:name="page93"/>
    <w:bookmarkEnd w:id="92"/>
    <w:p>
      <w:pPr>
        <w:ind w:left="4" w:right="320"/>
        <w:spacing w:after="0" w:line="268" w:lineRule="auto"/>
        <w:rPr>
          <w:sz w:val="20"/>
          <w:szCs w:val="20"/>
          <w:color w:val="auto"/>
        </w:rPr>
      </w:pPr>
      <w:r>
        <w:rPr>
          <w:rFonts w:ascii="Times New Roman" w:cs="Times New Roman" w:eastAsia="Times New Roman" w:hAnsi="Times New Roman"/>
          <w:sz w:val="19"/>
          <w:szCs w:val="19"/>
          <w:color w:val="auto"/>
        </w:rPr>
        <w:t>carryforwards for state income tax purposes of approximately $118,343, of which $109,355 expire from 2031 to 2046, while the remaining $8,988 can be carried forward indefinitely. The Company also has gross state research and development tax credits and other state credit carryforwards of approximately $19,232, which expire between 2026 and 2045.</w:t>
      </w:r>
    </w:p>
    <w:p>
      <w:pPr>
        <w:spacing w:after="0" w:line="188" w:lineRule="exact"/>
        <w:rPr>
          <w:sz w:val="20"/>
          <w:szCs w:val="20"/>
          <w:color w:val="auto"/>
        </w:rPr>
      </w:pPr>
    </w:p>
    <w:p>
      <w:pPr>
        <w:ind w:left="4" w:right="260" w:firstLine="698"/>
        <w:spacing w:after="0" w:line="274" w:lineRule="auto"/>
        <w:rPr>
          <w:sz w:val="20"/>
          <w:szCs w:val="20"/>
          <w:color w:val="auto"/>
        </w:rPr>
      </w:pPr>
      <w:r>
        <w:rPr>
          <w:rFonts w:ascii="Times New Roman" w:cs="Times New Roman" w:eastAsia="Times New Roman" w:hAnsi="Times New Roman"/>
          <w:sz w:val="19"/>
          <w:szCs w:val="19"/>
          <w:color w:val="auto"/>
        </w:rPr>
        <w:t>As of June 30, 2025 and 2026, the Company’s liabilities for unrecognized tax benefits, which would impact the Company’s effective tax rate if recognized, are presented below. The Company will include applicable penalties and interest when the benefit is recognized:</w:t>
      </w:r>
    </w:p>
    <w:p>
      <w:pPr>
        <w:spacing w:after="0" w:line="270" w:lineRule="exact"/>
        <w:rPr>
          <w:sz w:val="20"/>
          <w:szCs w:val="20"/>
          <w:color w:val="auto"/>
        </w:rPr>
      </w:pPr>
    </w:p>
    <w:tbl>
      <w:tblPr>
        <w:tblLayout w:type="fixed"/>
        <w:tblInd w:w="44"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27"/>
        </w:trPr>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Unrecognized tax benefits at beginning of the year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3,306</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Additions for current year tax positions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1,022</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Additions for tax positions of prior periods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212</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Unrecognized tax benefit at end of year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4,540</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-43180</wp:posOffset>
            </wp:positionV>
            <wp:extent cx="1670050"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8">
                      <a:extLst>
                        <a:ext uri="{28A0092B-C50C-407E-A947-70E740481C1C}"/>
                      </a:extLst>
                    </a:blip>
                    <a:srcRect/>
                    <a:stretch>
                      <a:fillRect/>
                    </a:stretch>
                  </pic:blipFill>
                  <pic:spPr bwMode="auto">
                    <a:xfrm>
                      <a:off x="0" y="0"/>
                      <a:ext cx="1670050" cy="50165"/>
                    </a:xfrm>
                    <a:prstGeom prst="rect">
                      <a:avLst/>
                    </a:prstGeom>
                    <a:noFill/>
                  </pic:spPr>
                </pic:pic>
              </a:graphicData>
            </a:graphic>
          </wp:anchor>
        </w:drawing>
      </w:r>
    </w:p>
    <w:p>
      <w:pPr>
        <w:spacing w:after="0" w:line="220" w:lineRule="exact"/>
        <w:rPr>
          <w:sz w:val="20"/>
          <w:szCs w:val="20"/>
          <w:color w:val="auto"/>
        </w:rPr>
      </w:pPr>
    </w:p>
    <w:p>
      <w:pPr>
        <w:ind w:left="4" w:right="40" w:firstLine="698"/>
        <w:spacing w:after="0" w:line="261" w:lineRule="auto"/>
        <w:rPr>
          <w:sz w:val="20"/>
          <w:szCs w:val="20"/>
          <w:color w:val="auto"/>
        </w:rPr>
      </w:pPr>
      <w:r>
        <w:rPr>
          <w:rFonts w:ascii="Times New Roman" w:cs="Times New Roman" w:eastAsia="Times New Roman" w:hAnsi="Times New Roman"/>
          <w:sz w:val="19"/>
          <w:szCs w:val="19"/>
          <w:color w:val="auto"/>
        </w:rPr>
        <w:t>The Company files income tax returns with the United States federal government and various state jurisdictions. Certain tax years remain open for federal and state tax reporting jurisdictions in which the Company does business due to net operating loss and tax credit carryforwards from such years or utilized in a period remaining open for audit under normal statute of limitations relating to income tax liabilities. The Company, including its domestic subsidiaries, files a consolidated federal income tax return. For years before fiscal year ended June 30, 2023, the Company is no longer subject to U.S. federal examination; however, the Internal Revenue Service (IRS) has the ability to review years prior to fiscal year 2023 to the extent the Company utilized tax attributes carried forward from those prior years. The statute of limitations on state filings is generally three to four years.</w:t>
      </w:r>
    </w:p>
    <w:p>
      <w:pPr>
        <w:spacing w:after="0" w:line="194" w:lineRule="exact"/>
        <w:rPr>
          <w:sz w:val="20"/>
          <w:szCs w:val="20"/>
          <w:color w:val="auto"/>
        </w:rPr>
      </w:pPr>
    </w:p>
    <w:p>
      <w:pPr>
        <w:ind w:left="4" w:firstLine="698"/>
        <w:spacing w:after="0" w:line="248" w:lineRule="auto"/>
        <w:rPr>
          <w:sz w:val="20"/>
          <w:szCs w:val="20"/>
          <w:color w:val="auto"/>
        </w:rPr>
      </w:pPr>
      <w:r>
        <w:rPr>
          <w:rFonts w:ascii="Times New Roman" w:cs="Times New Roman" w:eastAsia="Times New Roman" w:hAnsi="Times New Roman"/>
          <w:sz w:val="19"/>
          <w:szCs w:val="19"/>
          <w:color w:val="auto"/>
        </w:rPr>
        <w:t>On July 4, 2025, the One Big Beautiful Bill Act (the “Act”) was enacted into law. The Act included changes to U.S. income tax law that were applicable to the Company beginning in fiscal 2026. The Act included significant provisions such as accelerated tax deductions for qualified property and research expenditures. The Company incorporated the impacts of the Act into its Consolidated Financial Statements, including applicable impacts related to the realizability of state income tax attributes.</w:t>
      </w:r>
    </w:p>
    <w:p>
      <w:pPr>
        <w:spacing w:after="0" w:line="183" w:lineRule="exact"/>
        <w:rPr>
          <w:sz w:val="20"/>
          <w:szCs w:val="20"/>
          <w:color w:val="auto"/>
        </w:rPr>
      </w:pPr>
    </w:p>
    <w:p>
      <w:pPr>
        <w:ind w:left="704" w:right="7480" w:hanging="704"/>
        <w:spacing w:after="0" w:line="515" w:lineRule="auto"/>
        <w:tabs>
          <w:tab w:leader="none" w:pos="377"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w:t>
      </w:r>
      <w:r>
        <w:rPr>
          <w:rFonts w:ascii="Times New Roman" w:cs="Times New Roman" w:eastAsia="Times New Roman" w:hAnsi="Times New Roman"/>
          <w:sz w:val="19"/>
          <w:szCs w:val="19"/>
          <w:b w:val="1"/>
          <w:bCs w:val="1"/>
          <w:i w:val="1"/>
          <w:iCs w:val="1"/>
          <w:color w:val="auto"/>
        </w:rPr>
        <w:t>Common Stock</w:t>
      </w:r>
    </w:p>
    <w:p>
      <w:pPr>
        <w:spacing w:after="0" w:line="1" w:lineRule="exact"/>
        <w:rPr>
          <w:sz w:val="20"/>
          <w:szCs w:val="20"/>
          <w:color w:val="auto"/>
        </w:rPr>
      </w:pPr>
    </w:p>
    <w:p>
      <w:pPr>
        <w:ind w:left="4" w:right="140" w:firstLine="698"/>
        <w:spacing w:after="0" w:line="274" w:lineRule="auto"/>
        <w:rPr>
          <w:sz w:val="20"/>
          <w:szCs w:val="20"/>
          <w:color w:val="auto"/>
        </w:rPr>
      </w:pPr>
      <w:r>
        <w:rPr>
          <w:rFonts w:ascii="Times New Roman" w:cs="Times New Roman" w:eastAsia="Times New Roman" w:hAnsi="Times New Roman"/>
          <w:sz w:val="19"/>
          <w:szCs w:val="19"/>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76"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9"/>
          <w:szCs w:val="19"/>
          <w:b w:val="1"/>
          <w:bCs w:val="1"/>
          <w:i w:val="1"/>
          <w:iCs w:val="1"/>
          <w:color w:val="auto"/>
        </w:rPr>
        <w:t>Share Repurchase Program</w:t>
      </w:r>
    </w:p>
    <w:p>
      <w:pPr>
        <w:spacing w:after="0" w:line="215" w:lineRule="exact"/>
        <w:rPr>
          <w:sz w:val="20"/>
          <w:szCs w:val="20"/>
          <w:color w:val="auto"/>
        </w:rPr>
      </w:pPr>
    </w:p>
    <w:p>
      <w:pPr>
        <w:ind w:left="4" w:firstLine="698"/>
        <w:spacing w:after="0" w:line="259" w:lineRule="auto"/>
        <w:rPr>
          <w:sz w:val="20"/>
          <w:szCs w:val="20"/>
          <w:color w:val="auto"/>
        </w:rPr>
      </w:pPr>
      <w:r>
        <w:rPr>
          <w:rFonts w:ascii="Times New Roman" w:cs="Times New Roman" w:eastAsia="Times New Roman" w:hAnsi="Times New Roman"/>
          <w:sz w:val="19"/>
          <w:szCs w:val="19"/>
          <w:color w:val="auto"/>
        </w:rPr>
        <w:t>In April 2024, the Company's board of directors approved a share repurchase program (the "Repurchase Program") under which the Company is authorized to purchase (in the aggregate) up to $500,000 of its issued and outstanding common stock. The board of directors subsequently approved increases to the authorized amount under the Repurchase Program of $500,000 in July 2025 and an additional $1,000,000 in April 2026. Under the Repurchase Program, shares may be repurchased from time-to-time in open market transactions at prevailing market prices, privately negotiated transactions or by other means, including the use of Rule 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 During the years ended June 30, 2024, 2025 and 2026, the Company repurchased 1,050, 787 and 2,752 shares, respectively, for $150,000, $149,638 and $398,113, respectively. All shares of common stock repurchased were retired. As of June 30, 2026, $1,302,250 remained available for future share repurchases under the Repurchase Program.</w:t>
      </w:r>
    </w:p>
    <w:p>
      <w:pPr>
        <w:sectPr>
          <w:pgSz w:w="11880" w:h="15480" w:orient="portrait"/>
          <w:cols w:equalWidth="0" w:num="1">
            <w:col w:w="9604"/>
          </w:cols>
          <w:pgMar w:left="1136"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9604"/>
          </w:cols>
          <w:pgMar w:left="1136" w:top="872" w:right="11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9"/>
          <w:szCs w:val="19"/>
          <w:b w:val="1"/>
          <w:bCs w:val="1"/>
          <w:color w:val="auto"/>
        </w:rPr>
        <w:t>(16) Benefit Plans</w:t>
      </w:r>
    </w:p>
    <w:p>
      <w:pPr>
        <w:spacing w:after="0" w:line="250" w:lineRule="exact"/>
        <w:rPr>
          <w:sz w:val="20"/>
          <w:szCs w:val="20"/>
          <w:color w:val="auto"/>
        </w:rPr>
      </w:pPr>
    </w:p>
    <w:p>
      <w:pPr>
        <w:ind w:left="960" w:hanging="265"/>
        <w:spacing w:after="0"/>
        <w:tabs>
          <w:tab w:leader="none" w:pos="96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Equity Incentive Plans</w:t>
      </w:r>
    </w:p>
    <w:p>
      <w:pPr>
        <w:spacing w:after="0" w:line="251" w:lineRule="exact"/>
        <w:rPr>
          <w:sz w:val="20"/>
          <w:szCs w:val="20"/>
          <w:color w:val="auto"/>
        </w:rPr>
      </w:pPr>
    </w:p>
    <w:p>
      <w:pPr>
        <w:ind w:right="160" w:firstLine="698"/>
        <w:spacing w:after="0" w:line="261" w:lineRule="auto"/>
        <w:rPr>
          <w:sz w:val="20"/>
          <w:szCs w:val="20"/>
          <w:color w:val="auto"/>
        </w:rPr>
      </w:pPr>
      <w:r>
        <w:rPr>
          <w:rFonts w:ascii="Times New Roman" w:cs="Times New Roman" w:eastAsia="Times New Roman" w:hAnsi="Times New Roman"/>
          <w:sz w:val="19"/>
          <w:szCs w:val="19"/>
          <w:color w:val="auto"/>
        </w:rPr>
        <w:t>The Company maintained a 2014 Equity Incentive Plan (the “2014 Plan”) and continues to maintain a 2023 Equity Incentive Plan (the “2023 Plan”), which was amended and restated in December 2025 to increase the number of shares available for issuance by 444 shares and remove certain share recycling provisions for stock options and stock appreciation rights. The 2023 Plan serves as the successor to the 2014 Plan and permits the granting of restricted stock units ("RSUs"), performance stock units ("PSUs"), market stock units ("MSUs") and other equity incentives at the discretion of the compensation committee of the Company’s board of directors ("Committee"). No new awards have been nor will be issued under the 2014 Plan since the effective date of the 2023 Plan. Outstanding awards under the 2014 Plan continue to be subject to the terms and conditions of the 2014 Plan.</w:t>
      </w:r>
    </w:p>
    <w:p>
      <w:pPr>
        <w:spacing w:after="0" w:line="194" w:lineRule="exact"/>
        <w:rPr>
          <w:sz w:val="20"/>
          <w:szCs w:val="20"/>
          <w:color w:val="auto"/>
        </w:rPr>
      </w:pPr>
    </w:p>
    <w:p>
      <w:pPr>
        <w:ind w:right="100" w:firstLine="698"/>
        <w:spacing w:after="0" w:line="268" w:lineRule="auto"/>
        <w:rPr>
          <w:sz w:val="20"/>
          <w:szCs w:val="20"/>
          <w:color w:val="auto"/>
        </w:rPr>
      </w:pPr>
      <w:r>
        <w:rPr>
          <w:rFonts w:ascii="Times New Roman" w:cs="Times New Roman" w:eastAsia="Times New Roman" w:hAnsi="Times New Roman"/>
          <w:sz w:val="19"/>
          <w:szCs w:val="19"/>
          <w:color w:val="auto"/>
        </w:rPr>
        <w:t>As of June 30, 2026, the Company had 3,241 shares allocated to the 2023 Plan, of which 1,515 shares were subject to outstanding awards. Generally, the Company issues previously unissued shares for the vesting of awards; however, shares previously subject to 2023 Plan grants or awards that are forfeited or net settled at exercise or release may be reissued to satisfy future issuances.</w:t>
      </w:r>
    </w:p>
    <w:p>
      <w:pPr>
        <w:spacing w:after="0" w:line="188" w:lineRule="exact"/>
        <w:rPr>
          <w:sz w:val="20"/>
          <w:szCs w:val="20"/>
          <w:color w:val="auto"/>
        </w:rPr>
      </w:pPr>
    </w:p>
    <w:p>
      <w:pPr>
        <w:ind w:right="40" w:firstLine="698"/>
        <w:spacing w:after="0" w:line="274" w:lineRule="auto"/>
        <w:rPr>
          <w:sz w:val="20"/>
          <w:szCs w:val="20"/>
          <w:color w:val="auto"/>
        </w:rPr>
      </w:pPr>
      <w:r>
        <w:rPr>
          <w:rFonts w:ascii="Times New Roman" w:cs="Times New Roman" w:eastAsia="Times New Roman" w:hAnsi="Times New Roman"/>
          <w:sz w:val="19"/>
          <w:szCs w:val="19"/>
          <w:color w:val="auto"/>
        </w:rPr>
        <w:t>Stock-based compensation expense related to RSUs, PSUs, MSUs and the Employee Stock Purchase Plan (as described below) was included in the following line items in the accompanying Consolidated Statements of Operations and Comprehensive Income:</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Cost of revenues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18,927</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17,945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15,907</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Sales and marketing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35,536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31,634</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Research and development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36,072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35,786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30,577</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General and administrative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55,497</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53,784</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60,539</w:t>
            </w:r>
          </w:p>
        </w:tc>
      </w:tr>
      <w:tr>
        <w:trPr>
          <w:trHeight w:val="252"/>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stock-based compensation expense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146,032</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142,820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138,657</w:t>
            </w: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2510790"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9">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pacing w:after="0" w:line="220" w:lineRule="exact"/>
        <w:rPr>
          <w:sz w:val="20"/>
          <w:szCs w:val="20"/>
          <w:color w:val="auto"/>
        </w:rPr>
      </w:pPr>
    </w:p>
    <w:p>
      <w:pPr>
        <w:ind w:right="220" w:firstLine="698"/>
        <w:spacing w:after="0" w:line="293" w:lineRule="auto"/>
        <w:rPr>
          <w:sz w:val="20"/>
          <w:szCs w:val="20"/>
          <w:color w:val="auto"/>
        </w:rPr>
      </w:pPr>
      <w:r>
        <w:rPr>
          <w:rFonts w:ascii="Times New Roman" w:cs="Times New Roman" w:eastAsia="Times New Roman" w:hAnsi="Times New Roman"/>
          <w:sz w:val="19"/>
          <w:szCs w:val="19"/>
          <w:color w:val="auto"/>
        </w:rPr>
        <w:t>In addition, the Company capitalized $14,376, $12,996 and $11,817 of stock-based compensation expense in its capitalized internal-use software costs in the years ended June 30, 2024, 2025 and 2026, respectively.</w:t>
      </w:r>
    </w:p>
    <w:p>
      <w:pPr>
        <w:spacing w:after="0" w:line="165" w:lineRule="exact"/>
        <w:rPr>
          <w:sz w:val="20"/>
          <w:szCs w:val="20"/>
          <w:color w:val="auto"/>
        </w:rPr>
      </w:pPr>
    </w:p>
    <w:p>
      <w:pPr>
        <w:jc w:val="both"/>
        <w:ind w:right="60" w:firstLine="698"/>
        <w:spacing w:after="0" w:line="274" w:lineRule="auto"/>
        <w:rPr>
          <w:sz w:val="20"/>
          <w:szCs w:val="20"/>
          <w:color w:val="auto"/>
        </w:rPr>
      </w:pPr>
      <w:r>
        <w:rPr>
          <w:rFonts w:ascii="Times New Roman" w:cs="Times New Roman" w:eastAsia="Times New Roman" w:hAnsi="Times New Roman"/>
          <w:sz w:val="19"/>
          <w:szCs w:val="19"/>
          <w:color w:val="auto"/>
        </w:rPr>
        <w:t>There were no stock options granted during the years ended June 30, 2024, 2025 or 2026. The total intrinsic value of options exercised during the years ended June 30, 2024 and 2025 was $18,438 and $22,819, respectively. There were no stock options exercised or outstanding during the year ended June 30, 2026.</w:t>
      </w:r>
    </w:p>
    <w:p>
      <w:pPr>
        <w:spacing w:after="0" w:line="144" w:lineRule="exact"/>
        <w:rPr>
          <w:sz w:val="20"/>
          <w:szCs w:val="20"/>
          <w:color w:val="auto"/>
        </w:rPr>
      </w:pPr>
    </w:p>
    <w:p>
      <w:pPr>
        <w:ind w:right="440" w:firstLine="698"/>
        <w:spacing w:after="0" w:line="274" w:lineRule="auto"/>
        <w:rPr>
          <w:sz w:val="20"/>
          <w:szCs w:val="20"/>
          <w:color w:val="auto"/>
        </w:rPr>
      </w:pPr>
      <w:r>
        <w:rPr>
          <w:rFonts w:ascii="Times New Roman" w:cs="Times New Roman" w:eastAsia="Times New Roman" w:hAnsi="Times New Roman"/>
          <w:sz w:val="19"/>
          <w:szCs w:val="19"/>
          <w:color w:val="auto"/>
        </w:rPr>
        <w:t>The Company grants RSUs under its equity incentive plans with terms determined at the discretion of the Committee. RSUs generally vest over four years following the grant date and have time-based vesting conditions. The following table represents restricted stock unit activity during the year ended June 30, 2026:</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6"/>
        </w:trPr>
        <w:tc>
          <w:tcPr>
            <w:tcW w:w="6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186"/>
        </w:trPr>
        <w:tc>
          <w:tcPr>
            <w:tcW w:w="6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6"/>
              </w:rPr>
              <w:t>grant date</w:t>
            </w:r>
          </w:p>
        </w:tc>
      </w:tr>
      <w:tr>
        <w:trPr>
          <w:trHeight w:val="211"/>
        </w:trPr>
        <w:tc>
          <w:tcPr>
            <w:tcW w:w="6960" w:type="dxa"/>
            <w:vAlign w:val="bottom"/>
          </w:tcPr>
          <w:p>
            <w:pPr>
              <w:spacing w:after="0"/>
              <w:rPr>
                <w:sz w:val="18"/>
                <w:szCs w:val="18"/>
                <w:color w:val="auto"/>
              </w:rPr>
            </w:pPr>
          </w:p>
        </w:tc>
        <w:tc>
          <w:tcPr>
            <w:tcW w:w="12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fair value</w:t>
            </w: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RSU balance at July 1, 2025 </w:t>
            </w:r>
            <w:r>
              <w:rPr>
                <w:rFonts w:ascii="Times New Roman" w:cs="Times New Roman" w:eastAsia="Times New Roman" w:hAnsi="Times New Roman"/>
                <w:sz w:val="19"/>
                <w:szCs w:val="19"/>
                <w:color w:val="B4B4B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187.32</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RSUs granted </w:t>
            </w:r>
            <w:r>
              <w:rPr>
                <w:rFonts w:ascii="Times New Roman" w:cs="Times New Roman" w:eastAsia="Times New Roman" w:hAnsi="Times New Roman"/>
                <w:sz w:val="19"/>
                <w:szCs w:val="19"/>
                <w:color w:val="B4B4B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168.19</w:t>
            </w:r>
          </w:p>
        </w:tc>
      </w:tr>
      <w:tr>
        <w:trPr>
          <w:trHeight w:val="291"/>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RSUs vested </w:t>
            </w:r>
            <w:r>
              <w:rPr>
                <w:rFonts w:ascii="Times New Roman" w:cs="Times New Roman" w:eastAsia="Times New Roman" w:hAnsi="Times New Roman"/>
                <w:sz w:val="19"/>
                <w:szCs w:val="19"/>
                <w:color w:val="B4B4B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197.88</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RSUs forfeited </w:t>
            </w:r>
            <w:r>
              <w:rPr>
                <w:rFonts w:ascii="Times New Roman" w:cs="Times New Roman" w:eastAsia="Times New Roman" w:hAnsi="Times New Roman"/>
                <w:sz w:val="19"/>
                <w:szCs w:val="19"/>
                <w:color w:val="B4B4B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175.56</w:t>
            </w: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RSU balance at June 30, 2026 </w:t>
            </w:r>
            <w:r>
              <w:rPr>
                <w:rFonts w:ascii="Times New Roman" w:cs="Times New Roman" w:eastAsia="Times New Roman" w:hAnsi="Times New Roman"/>
                <w:sz w:val="19"/>
                <w:szCs w:val="19"/>
                <w:color w:val="B4B4B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170.25</w:t>
            </w:r>
          </w:p>
        </w:tc>
      </w:tr>
      <w:tr>
        <w:trPr>
          <w:trHeight w:val="20"/>
        </w:trPr>
        <w:tc>
          <w:tcPr>
            <w:tcW w:w="6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-43180</wp:posOffset>
            </wp:positionV>
            <wp:extent cx="829310"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0">
                      <a:extLst>
                        <a:ext uri="{28A0092B-C50C-407E-A947-70E740481C1C}"/>
                      </a:extLst>
                    </a:blip>
                    <a:srcRect/>
                    <a:stretch>
                      <a:fillRect/>
                    </a:stretch>
                  </pic:blipFill>
                  <pic:spPr bwMode="auto">
                    <a:xfrm>
                      <a:off x="0" y="0"/>
                      <a:ext cx="829310" cy="50165"/>
                    </a:xfrm>
                    <a:prstGeom prst="rect">
                      <a:avLst/>
                    </a:prstGeom>
                    <a:noFill/>
                  </pic:spPr>
                </pic:pic>
              </a:graphicData>
            </a:graphic>
          </wp:anchor>
        </w:drawing>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9600"/>
          </w:cols>
          <w:pgMar w:left="1140" w:top="865" w:right="1140" w:bottom="0" w:gutter="0" w:footer="0" w:header="0"/>
          <w:type w:val="continuous"/>
        </w:sectPr>
      </w:pPr>
    </w:p>
    <w:bookmarkStart w:id="94" w:name="page95"/>
    <w:bookmarkEnd w:id="94"/>
    <w:p>
      <w:pPr>
        <w:ind w:right="100" w:firstLine="698"/>
        <w:spacing w:after="0" w:line="265" w:lineRule="auto"/>
        <w:rPr>
          <w:sz w:val="20"/>
          <w:szCs w:val="20"/>
          <w:color w:val="auto"/>
        </w:rPr>
      </w:pPr>
      <w:r>
        <w:rPr>
          <w:rFonts w:ascii="Times New Roman" w:cs="Times New Roman" w:eastAsia="Times New Roman" w:hAnsi="Times New Roman"/>
          <w:sz w:val="19"/>
          <w:szCs w:val="19"/>
          <w:color w:val="auto"/>
        </w:rPr>
        <w:t>The Company also grants PSUs under the 2023 Plan with terms determined at the discretion of the Committee.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 The following table represents performance stock unit activity during the year ended June 30, 2026:</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77"/>
        </w:trPr>
        <w:tc>
          <w:tcPr>
            <w:tcW w:w="6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53"/>
              <w:spacing w:after="0" w:line="177" w:lineRule="exact"/>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177"/>
        </w:trPr>
        <w:tc>
          <w:tcPr>
            <w:tcW w:w="6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53"/>
              <w:spacing w:after="0" w:line="177" w:lineRule="exact"/>
              <w:rPr>
                <w:sz w:val="20"/>
                <w:szCs w:val="20"/>
                <w:color w:val="auto"/>
              </w:rPr>
            </w:pPr>
            <w:r>
              <w:rPr>
                <w:rFonts w:ascii="Times New Roman" w:cs="Times New Roman" w:eastAsia="Times New Roman" w:hAnsi="Times New Roman"/>
                <w:sz w:val="16"/>
                <w:szCs w:val="16"/>
                <w:b w:val="1"/>
                <w:bCs w:val="1"/>
                <w:color w:val="auto"/>
                <w:w w:val="96"/>
              </w:rPr>
              <w:t>grant date</w:t>
            </w:r>
          </w:p>
        </w:tc>
      </w:tr>
      <w:tr>
        <w:trPr>
          <w:trHeight w:val="209"/>
        </w:trPr>
        <w:tc>
          <w:tcPr>
            <w:tcW w:w="6960" w:type="dxa"/>
            <w:vAlign w:val="bottom"/>
          </w:tcPr>
          <w:p>
            <w:pPr>
              <w:spacing w:after="0"/>
              <w:rPr>
                <w:sz w:val="18"/>
                <w:szCs w:val="18"/>
                <w:color w:val="auto"/>
              </w:rPr>
            </w:pPr>
          </w:p>
        </w:tc>
        <w:tc>
          <w:tcPr>
            <w:tcW w:w="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7"/>
              </w:rPr>
              <w:t>fair value</w:t>
            </w:r>
          </w:p>
        </w:tc>
      </w:tr>
      <w:tr>
        <w:trPr>
          <w:trHeight w:val="270"/>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PSU balance at July 1, 2025 </w:t>
            </w:r>
            <w:r>
              <w:rPr>
                <w:rFonts w:ascii="Times New Roman" w:cs="Times New Roman" w:eastAsia="Times New Roman" w:hAnsi="Times New Roman"/>
                <w:sz w:val="19"/>
                <w:szCs w:val="19"/>
                <w:color w:val="B4B4B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155.95</w:t>
            </w:r>
          </w:p>
        </w:tc>
      </w:tr>
      <w:tr>
        <w:trPr>
          <w:trHeight w:val="276"/>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PSUs granted </w:t>
            </w:r>
            <w:r>
              <w:rPr>
                <w:rFonts w:ascii="Times New Roman" w:cs="Times New Roman" w:eastAsia="Times New Roman" w:hAnsi="Times New Roman"/>
                <w:sz w:val="19"/>
                <w:szCs w:val="19"/>
                <w:color w:val="B4B4B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170.07</w:t>
            </w:r>
          </w:p>
        </w:tc>
      </w:tr>
      <w:tr>
        <w:trPr>
          <w:trHeight w:val="294"/>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PSUs vested </w:t>
            </w:r>
            <w:r>
              <w:rPr>
                <w:rFonts w:ascii="Times New Roman" w:cs="Times New Roman" w:eastAsia="Times New Roman" w:hAnsi="Times New Roman"/>
                <w:sz w:val="19"/>
                <w:szCs w:val="19"/>
                <w:color w:val="B4B4B4"/>
              </w:rPr>
              <w:t>..........................................................................................................................</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155.95</w:t>
            </w:r>
          </w:p>
        </w:tc>
      </w:tr>
      <w:tr>
        <w:trPr>
          <w:trHeight w:val="238"/>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PSU balance at June 30, 2026 </w:t>
            </w:r>
            <w:r>
              <w:rPr>
                <w:rFonts w:ascii="Times New Roman" w:cs="Times New Roman" w:eastAsia="Times New Roman" w:hAnsi="Times New Roman"/>
                <w:sz w:val="19"/>
                <w:szCs w:val="19"/>
                <w:color w:val="B4B4B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167.02</w:t>
            </w:r>
          </w:p>
        </w:tc>
      </w:tr>
      <w:tr>
        <w:trPr>
          <w:trHeight w:val="20"/>
        </w:trPr>
        <w:tc>
          <w:tcPr>
            <w:tcW w:w="6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852805" cy="736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1">
                      <a:extLst>
                        <a:ext uri="{28A0092B-C50C-407E-A947-70E740481C1C}"/>
                      </a:extLst>
                    </a:blip>
                    <a:srcRect/>
                    <a:stretch>
                      <a:fillRect/>
                    </a:stretch>
                  </pic:blipFill>
                  <pic:spPr bwMode="auto">
                    <a:xfrm>
                      <a:off x="0" y="0"/>
                      <a:ext cx="852805" cy="73660"/>
                    </a:xfrm>
                    <a:prstGeom prst="rect">
                      <a:avLst/>
                    </a:prstGeom>
                    <a:noFill/>
                  </pic:spPr>
                </pic:pic>
              </a:graphicData>
            </a:graphic>
          </wp:anchor>
        </w:drawing>
      </w:r>
    </w:p>
    <w:p>
      <w:pPr>
        <w:spacing w:after="0" w:line="181" w:lineRule="exact"/>
        <w:rPr>
          <w:sz w:val="20"/>
          <w:szCs w:val="20"/>
          <w:color w:val="auto"/>
        </w:rPr>
      </w:pPr>
    </w:p>
    <w:p>
      <w:pPr>
        <w:ind w:right="200" w:firstLine="698"/>
        <w:spacing w:after="0" w:line="263" w:lineRule="auto"/>
        <w:rPr>
          <w:sz w:val="20"/>
          <w:szCs w:val="20"/>
          <w:color w:val="auto"/>
        </w:rPr>
      </w:pPr>
      <w:r>
        <w:rPr>
          <w:rFonts w:ascii="Times New Roman" w:cs="Times New Roman" w:eastAsia="Times New Roman" w:hAnsi="Times New Roman"/>
          <w:sz w:val="19"/>
          <w:szCs w:val="19"/>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vest at the end of each TSR measurement period, and up to 200% of the target number of shares subject to each MSU are eligible to be earned. The following table represents market share unit activity during the year ended June 30, 2026:</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77"/>
        </w:trPr>
        <w:tc>
          <w:tcPr>
            <w:tcW w:w="6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52"/>
              <w:spacing w:after="0" w:line="177" w:lineRule="exact"/>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177"/>
        </w:trPr>
        <w:tc>
          <w:tcPr>
            <w:tcW w:w="6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52"/>
              <w:spacing w:after="0" w:line="177" w:lineRule="exact"/>
              <w:rPr>
                <w:sz w:val="20"/>
                <w:szCs w:val="20"/>
                <w:color w:val="auto"/>
              </w:rPr>
            </w:pPr>
            <w:r>
              <w:rPr>
                <w:rFonts w:ascii="Times New Roman" w:cs="Times New Roman" w:eastAsia="Times New Roman" w:hAnsi="Times New Roman"/>
                <w:sz w:val="16"/>
                <w:szCs w:val="16"/>
                <w:b w:val="1"/>
                <w:bCs w:val="1"/>
                <w:color w:val="auto"/>
                <w:w w:val="96"/>
              </w:rPr>
              <w:t>grant date</w:t>
            </w:r>
          </w:p>
        </w:tc>
      </w:tr>
      <w:tr>
        <w:trPr>
          <w:trHeight w:val="209"/>
        </w:trPr>
        <w:tc>
          <w:tcPr>
            <w:tcW w:w="6960" w:type="dxa"/>
            <w:vAlign w:val="bottom"/>
          </w:tcPr>
          <w:p>
            <w:pPr>
              <w:spacing w:after="0"/>
              <w:rPr>
                <w:sz w:val="18"/>
                <w:szCs w:val="18"/>
                <w:color w:val="auto"/>
              </w:rPr>
            </w:pPr>
          </w:p>
        </w:tc>
        <w:tc>
          <w:tcPr>
            <w:tcW w:w="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fair value</w:t>
            </w:r>
          </w:p>
        </w:tc>
      </w:tr>
      <w:tr>
        <w:trPr>
          <w:trHeight w:val="270"/>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MSU balance at July 1, 2025</w:t>
            </w:r>
            <w:r>
              <w:rPr>
                <w:rFonts w:ascii="Times New Roman" w:cs="Times New Roman" w:eastAsia="Times New Roman" w:hAnsi="Times New Roman"/>
                <w:sz w:val="19"/>
                <w:szCs w:val="19"/>
                <w:color w:val="B4B4B4"/>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167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311.38</w:t>
            </w:r>
          </w:p>
        </w:tc>
      </w:tr>
      <w:tr>
        <w:trPr>
          <w:trHeight w:val="276"/>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MSUs granted </w:t>
            </w:r>
            <w:r>
              <w:rPr>
                <w:rFonts w:ascii="Times New Roman" w:cs="Times New Roman" w:eastAsia="Times New Roman" w:hAnsi="Times New Roman"/>
                <w:sz w:val="19"/>
                <w:szCs w:val="19"/>
                <w:color w:val="B4B4B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224.22</w:t>
            </w:r>
          </w:p>
        </w:tc>
      </w:tr>
      <w:tr>
        <w:trPr>
          <w:trHeight w:val="291"/>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MSUs vested</w:t>
            </w:r>
            <w:r>
              <w:rPr>
                <w:rFonts w:ascii="Times New Roman" w:cs="Times New Roman" w:eastAsia="Times New Roman" w:hAnsi="Times New Roman"/>
                <w:sz w:val="19"/>
                <w:szCs w:val="19"/>
                <w:color w:val="B4B4B4"/>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391.16</w:t>
            </w:r>
          </w:p>
        </w:tc>
      </w:tr>
      <w:tr>
        <w:trPr>
          <w:trHeight w:val="279"/>
        </w:trPr>
        <w:tc>
          <w:tcPr>
            <w:tcW w:w="69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MSUs forfeited </w:t>
            </w:r>
            <w:r>
              <w:rPr>
                <w:rFonts w:ascii="Times New Roman" w:cs="Times New Roman" w:eastAsia="Times New Roman" w:hAnsi="Times New Roman"/>
                <w:sz w:val="19"/>
                <w:szCs w:val="19"/>
                <w:color w:val="B4B4B4"/>
              </w:rPr>
              <w:t>.....................................................................................................................</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391.16</w:t>
            </w:r>
          </w:p>
        </w:tc>
      </w:tr>
      <w:tr>
        <w:trPr>
          <w:trHeight w:val="238"/>
        </w:trPr>
        <w:tc>
          <w:tcPr>
            <w:tcW w:w="7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MSU balance at June 30, 2026 </w:t>
            </w:r>
            <w:r>
              <w:rPr>
                <w:rFonts w:ascii="Times New Roman" w:cs="Times New Roman" w:eastAsia="Times New Roman" w:hAnsi="Times New Roman"/>
                <w:sz w:val="19"/>
                <w:szCs w:val="19"/>
                <w:color w:val="B4B4B4"/>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126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243.98</w:t>
            </w:r>
          </w:p>
        </w:tc>
      </w:tr>
      <w:tr>
        <w:trPr>
          <w:trHeight w:val="20"/>
        </w:trPr>
        <w:tc>
          <w:tcPr>
            <w:tcW w:w="6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-54610</wp:posOffset>
            </wp:positionV>
            <wp:extent cx="852805" cy="736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2">
                      <a:extLst>
                        <a:ext uri="{28A0092B-C50C-407E-A947-70E740481C1C}"/>
                      </a:extLst>
                    </a:blip>
                    <a:srcRect/>
                    <a:stretch>
                      <a:fillRect/>
                    </a:stretch>
                  </pic:blipFill>
                  <pic:spPr bwMode="auto">
                    <a:xfrm>
                      <a:off x="0" y="0"/>
                      <a:ext cx="852805" cy="73660"/>
                    </a:xfrm>
                    <a:prstGeom prst="rect">
                      <a:avLst/>
                    </a:prstGeom>
                    <a:noFill/>
                  </pic:spPr>
                </pic:pic>
              </a:graphicData>
            </a:graphic>
          </wp:anchor>
        </w:drawing>
      </w:r>
    </w:p>
    <w:p>
      <w:pPr>
        <w:spacing w:after="0" w:line="220" w:lineRule="exact"/>
        <w:rPr>
          <w:sz w:val="20"/>
          <w:szCs w:val="20"/>
          <w:color w:val="auto"/>
        </w:rPr>
      </w:pPr>
    </w:p>
    <w:p>
      <w:pPr>
        <w:ind w:right="700" w:firstLine="698"/>
        <w:spacing w:after="0" w:line="293" w:lineRule="auto"/>
        <w:rPr>
          <w:sz w:val="20"/>
          <w:szCs w:val="20"/>
          <w:color w:val="auto"/>
        </w:rPr>
      </w:pPr>
      <w:r>
        <w:rPr>
          <w:rFonts w:ascii="Times New Roman" w:cs="Times New Roman" w:eastAsia="Times New Roman" w:hAnsi="Times New Roman"/>
          <w:sz w:val="19"/>
          <w:szCs w:val="19"/>
          <w:color w:val="auto"/>
        </w:rPr>
        <w:t>The Company estimated the grant date fair value of the MSUs using a Monte Carlo simulation model that included the following assumptions: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120" w:type="dxa"/>
            <w:vAlign w:val="bottom"/>
            <w:tcBorders>
              <w:bottom w:val="single" w:sz="8" w:color="auto"/>
            </w:tcBorders>
          </w:tcPr>
          <w:p>
            <w:pPr>
              <w:spacing w:after="0"/>
              <w:rPr>
                <w:sz w:val="18"/>
                <w:szCs w:val="18"/>
                <w:color w:val="auto"/>
              </w:rPr>
            </w:pPr>
          </w:p>
        </w:tc>
      </w:tr>
      <w:tr>
        <w:trPr>
          <w:trHeight w:val="225"/>
        </w:trPr>
        <w:tc>
          <w:tcPr>
            <w:tcW w:w="5460" w:type="dxa"/>
            <w:vAlign w:val="bottom"/>
          </w:tcPr>
          <w:p>
            <w:pPr>
              <w:spacing w:after="0"/>
              <w:rPr>
                <w:sz w:val="19"/>
                <w:szCs w:val="19"/>
                <w:color w:val="auto"/>
              </w:rPr>
            </w:pPr>
          </w:p>
        </w:tc>
        <w:tc>
          <w:tcPr>
            <w:tcW w:w="12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71"/>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Valuation assumptions: </w:t>
            </w:r>
            <w:r>
              <w:rPr>
                <w:rFonts w:ascii="Times New Roman" w:cs="Times New Roman" w:eastAsia="Times New Roman" w:hAnsi="Times New Roman"/>
                <w:sz w:val="19"/>
                <w:szCs w:val="19"/>
                <w:color w:val="B4B4B4"/>
              </w:rPr>
              <w:t>.........................................................................</w:t>
            </w:r>
          </w:p>
        </w:tc>
        <w:tc>
          <w:tcPr>
            <w:tcW w:w="1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91"/>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Expected dividend yield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0 %</w:t>
            </w:r>
          </w:p>
        </w:tc>
      </w:tr>
      <w:tr>
        <w:trPr>
          <w:trHeight w:val="291"/>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44.4%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w:t>
            </w:r>
          </w:p>
        </w:tc>
      </w:tr>
      <w:tr>
        <w:trPr>
          <w:trHeight w:val="291"/>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(years)</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w:t>
            </w:r>
          </w:p>
        </w:tc>
      </w:tr>
      <w:tr>
        <w:trPr>
          <w:trHeight w:val="307"/>
        </w:trPr>
        <w:tc>
          <w:tcPr>
            <w:tcW w:w="5460" w:type="dxa"/>
            <w:vAlign w:val="bottom"/>
          </w:tcPr>
          <w:p>
            <w:pPr>
              <w:spacing w:after="0"/>
              <w:rPr>
                <w:sz w:val="20"/>
                <w:szCs w:val="20"/>
                <w:color w:val="auto"/>
              </w:rPr>
            </w:pPr>
            <w:r>
              <w:rPr>
                <w:rFonts w:ascii="Times New Roman" w:cs="Times New Roman" w:eastAsia="Times New Roman" w:hAnsi="Times New Roman"/>
                <w:sz w:val="19"/>
                <w:szCs w:val="19"/>
                <w:color w:val="auto"/>
              </w:rPr>
              <w:t>Risk</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free interest rate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w:t>
            </w:r>
          </w:p>
        </w:tc>
      </w:tr>
    </w:tbl>
    <w:p>
      <w:pPr>
        <w:spacing w:after="0" w:line="266" w:lineRule="exact"/>
        <w:rPr>
          <w:sz w:val="20"/>
          <w:szCs w:val="20"/>
          <w:color w:val="auto"/>
        </w:rPr>
      </w:pPr>
    </w:p>
    <w:p>
      <w:pPr>
        <w:ind w:right="80" w:firstLine="698"/>
        <w:spacing w:after="0" w:line="293" w:lineRule="auto"/>
        <w:rPr>
          <w:sz w:val="20"/>
          <w:szCs w:val="20"/>
          <w:color w:val="auto"/>
        </w:rPr>
      </w:pPr>
      <w:r>
        <w:rPr>
          <w:rFonts w:ascii="Times New Roman" w:cs="Times New Roman" w:eastAsia="Times New Roman" w:hAnsi="Times New Roman"/>
          <w:sz w:val="19"/>
          <w:szCs w:val="19"/>
          <w:color w:val="auto"/>
        </w:rPr>
        <w:t>At June 30, 2026, there was $99,963 of total unrecognized compensation cost, net of estimated forfeitures, related to unvested RSUs, PSUs and MSUs. That cost is expected to be recognized over a weighted average period of 1.6 years.</w:t>
      </w:r>
    </w:p>
    <w:p>
      <w:pPr>
        <w:spacing w:after="0" w:line="165" w:lineRule="exact"/>
        <w:rPr>
          <w:sz w:val="20"/>
          <w:szCs w:val="20"/>
          <w:color w:val="auto"/>
        </w:rPr>
      </w:pPr>
    </w:p>
    <w:p>
      <w:pPr>
        <w:ind w:firstLine="698"/>
        <w:spacing w:after="0" w:line="268" w:lineRule="auto"/>
        <w:rPr>
          <w:sz w:val="20"/>
          <w:szCs w:val="20"/>
          <w:color w:val="auto"/>
        </w:rPr>
      </w:pPr>
      <w:r>
        <w:rPr>
          <w:rFonts w:ascii="Times New Roman" w:cs="Times New Roman" w:eastAsia="Times New Roman" w:hAnsi="Times New Roman"/>
          <w:sz w:val="19"/>
          <w:szCs w:val="19"/>
          <w:color w:val="auto"/>
        </w:rPr>
        <w:t>The Company recognized excess income tax benefits on $9,374 of stock-based compensation arrangements for the year ended June 30, 2024. The Company recognized tax shortfalls on $2,598 and $69,333 of stock-based compensation arrangements for the years ended June 30, 2025 and 2026, respectively. The tax impacts for all years were recognized through Income tax expense.</w:t>
      </w:r>
    </w:p>
    <w:p>
      <w:pPr>
        <w:spacing w:after="0" w:line="184" w:lineRule="exact"/>
        <w:rPr>
          <w:sz w:val="20"/>
          <w:szCs w:val="20"/>
          <w:color w:val="auto"/>
        </w:rPr>
      </w:pPr>
    </w:p>
    <w:p>
      <w:pPr>
        <w:ind w:left="960" w:hanging="265"/>
        <w:spacing w:after="0"/>
        <w:tabs>
          <w:tab w:leader="none" w:pos="96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Employee Stock Purchase Plan</w:t>
      </w:r>
    </w:p>
    <w:p>
      <w:pPr>
        <w:spacing w:after="0" w:line="251" w:lineRule="exact"/>
        <w:rPr>
          <w:sz w:val="20"/>
          <w:szCs w:val="20"/>
          <w:color w:val="auto"/>
        </w:rPr>
      </w:pPr>
    </w:p>
    <w:p>
      <w:pPr>
        <w:jc w:val="both"/>
        <w:ind w:right="20" w:firstLine="698"/>
        <w:spacing w:after="0" w:line="274" w:lineRule="auto"/>
        <w:rPr>
          <w:sz w:val="20"/>
          <w:szCs w:val="20"/>
          <w:color w:val="auto"/>
        </w:rPr>
      </w:pPr>
      <w:r>
        <w:rPr>
          <w:rFonts w:ascii="Times New Roman" w:cs="Times New Roman" w:eastAsia="Times New Roman" w:hAnsi="Times New Roman"/>
          <w:sz w:val="19"/>
          <w:szCs w:val="19"/>
          <w:color w:val="auto"/>
        </w:rPr>
        <w:t>Under the Company’s Employee Stock Purchase Plan (“ESPP”), the Company can grant stock purchase rights to all eligible employees during specific offering periods. Shares are purchased through employees’ payroll deductions, up to a maximum of 10% of employees’ compensation for each purchase period, at a purchase price equal to 85% of the lesser of</w:t>
      </w:r>
    </w:p>
    <w:p>
      <w:pPr>
        <w:sectPr>
          <w:pgSz w:w="11880" w:h="15480" w:orient="portrait"/>
          <w:cols w:equalWidth="0" w:num="1">
            <w:col w:w="9600"/>
          </w:cols>
          <w:pgMar w:left="1140" w:top="872" w:right="1140" w:bottom="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9600"/>
          </w:cols>
          <w:pgMar w:left="1140" w:top="872" w:right="1140" w:bottom="0" w:gutter="0" w:footer="0" w:header="0"/>
          <w:type w:val="continuous"/>
        </w:sectPr>
      </w:pPr>
    </w:p>
    <w:bookmarkStart w:id="95" w:name="page96"/>
    <w:bookmarkEnd w:id="95"/>
    <w:p>
      <w:pPr>
        <w:ind w:right="560"/>
        <w:spacing w:after="0" w:line="293" w:lineRule="auto"/>
        <w:rPr>
          <w:sz w:val="20"/>
          <w:szCs w:val="20"/>
          <w:color w:val="auto"/>
        </w:rPr>
      </w:pPr>
      <w:r>
        <w:rPr>
          <w:rFonts w:ascii="Times New Roman" w:cs="Times New Roman" w:eastAsia="Times New Roman" w:hAnsi="Times New Roman"/>
          <w:sz w:val="19"/>
          <w:szCs w:val="19"/>
          <w:color w:val="auto"/>
        </w:rPr>
        <w:t>the fair market value of the Company’s common stock at the first trading day of the applicable offering period or the purchase date. The ESPP is considered compensatory and results in compensation expense.</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As of June 30, 2026, a total of 1,726 shares of common stock were reserved for future issuances under the ESPP.</w:t>
      </w:r>
    </w:p>
    <w:p>
      <w:pPr>
        <w:spacing w:after="0" w:line="247" w:lineRule="exact"/>
        <w:rPr>
          <w:sz w:val="20"/>
          <w:szCs w:val="20"/>
          <w:color w:val="auto"/>
        </w:rPr>
      </w:pPr>
    </w:p>
    <w:p>
      <w:pPr>
        <w:ind w:firstLine="698"/>
        <w:spacing w:after="0" w:line="265" w:lineRule="auto"/>
        <w:rPr>
          <w:sz w:val="20"/>
          <w:szCs w:val="20"/>
          <w:color w:val="auto"/>
        </w:rPr>
      </w:pPr>
      <w:r>
        <w:rPr>
          <w:rFonts w:ascii="Times New Roman" w:cs="Times New Roman" w:eastAsia="Times New Roman" w:hAnsi="Times New Roman"/>
          <w:sz w:val="19"/>
          <w:szCs w:val="19"/>
          <w:color w:val="auto"/>
        </w:rPr>
        <w:t>The Company issued a total of 171 shares upon the completion of its six-month offering periods ending November 15, 2025 and May 15, 2026. The Company recorded compensation expense attributable to the ESPP of $6,378, $5,988 and $5,732 for the years ended June 30, 2024, 2025 and 2026, respectively, which is included in the summary of stock-based compensation expense above. The grant date fair values of the ESPP offering periods were estimated using the following assumptions: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1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126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Valuation assumptions: </w:t>
            </w:r>
            <w:r>
              <w:rPr>
                <w:rFonts w:ascii="Times New Roman" w:cs="Times New Roman" w:eastAsia="Times New Roman" w:hAnsi="Times New Roman"/>
                <w:sz w:val="19"/>
                <w:szCs w:val="19"/>
                <w:color w:val="B4B4B4"/>
              </w:rPr>
              <w:t>.............................................................................</w:t>
            </w:r>
          </w:p>
        </w:tc>
        <w:tc>
          <w:tcPr>
            <w:tcW w:w="12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Expected dividend yield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0 %</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0 %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0 %</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Expected volatility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32.9 - 43.3%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31.3 - 33.4%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27.9 - 43.0%</w:t>
            </w:r>
          </w:p>
        </w:tc>
      </w:tr>
      <w:tr>
        <w:trPr>
          <w:trHeight w:val="291"/>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Expected term (years) </w:t>
            </w:r>
            <w:r>
              <w:rPr>
                <w:rFonts w:ascii="Times New Roman" w:cs="Times New Roman" w:eastAsia="Times New Roman" w:hAnsi="Times New Roman"/>
                <w:sz w:val="19"/>
                <w:szCs w:val="19"/>
                <w:color w:val="B4B4B4"/>
              </w:rPr>
              <w:t>..............................................................................</w:t>
            </w:r>
          </w:p>
        </w:tc>
        <w:tc>
          <w:tcPr>
            <w:tcW w:w="12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0.5</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0.5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0.5</w:t>
            </w:r>
          </w:p>
        </w:tc>
      </w:tr>
      <w:tr>
        <w:trPr>
          <w:trHeight w:val="307"/>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Risk</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free interest rate </w:t>
            </w:r>
            <w:r>
              <w:rPr>
                <w:rFonts w:ascii="Times New Roman" w:cs="Times New Roman" w:eastAsia="Times New Roman" w:hAnsi="Times New Roman"/>
                <w:sz w:val="19"/>
                <w:szCs w:val="19"/>
                <w:color w:val="B4B4B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5.26 - 5.41%</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4.30 - 5.41%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3.77 - 4.30%</w:t>
            </w:r>
          </w:p>
        </w:tc>
      </w:tr>
    </w:tbl>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(c) </w:t>
      </w:r>
      <w:r>
        <w:rPr>
          <w:rFonts w:ascii="Times New Roman" w:cs="Times New Roman" w:eastAsia="Times New Roman" w:hAnsi="Times New Roman"/>
          <w:sz w:val="19"/>
          <w:szCs w:val="19"/>
          <w:b w:val="1"/>
          <w:bCs w:val="1"/>
          <w:i w:val="1"/>
          <w:iCs w:val="1"/>
          <w:color w:val="auto"/>
        </w:rPr>
        <w:t>401(k) Plan</w:t>
      </w:r>
    </w:p>
    <w:p>
      <w:pPr>
        <w:spacing w:after="0" w:line="251" w:lineRule="exact"/>
        <w:rPr>
          <w:sz w:val="20"/>
          <w:szCs w:val="20"/>
          <w:color w:val="auto"/>
        </w:rPr>
      </w:pPr>
    </w:p>
    <w:p>
      <w:pPr>
        <w:ind w:right="60" w:firstLine="698"/>
        <w:spacing w:after="0" w:line="274" w:lineRule="auto"/>
        <w:rPr>
          <w:sz w:val="20"/>
          <w:szCs w:val="20"/>
          <w:color w:val="auto"/>
        </w:rPr>
      </w:pPr>
      <w:r>
        <w:rPr>
          <w:rFonts w:ascii="Times New Roman" w:cs="Times New Roman" w:eastAsia="Times New Roman" w:hAnsi="Times New Roman"/>
          <w:sz w:val="19"/>
          <w:szCs w:val="19"/>
          <w:color w:val="auto"/>
        </w:rPr>
        <w:t>The Company maintains a 401(k) plan with a matching provision that covers all eligible employees. The Company matches 50% of employees’ contributions up to 8% of their gross pay. Contributions were $17,377, $18,946 and $19,568 for the years ended June 30, 2024, 2025 and 2026,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Commitments and Contingencies</w:t>
      </w:r>
    </w:p>
    <w:p>
      <w:pPr>
        <w:spacing w:after="0" w:line="250" w:lineRule="exact"/>
        <w:rPr>
          <w:sz w:val="20"/>
          <w:szCs w:val="20"/>
          <w:color w:val="auto"/>
        </w:rPr>
      </w:pPr>
    </w:p>
    <w:p>
      <w:pPr>
        <w:ind w:left="960" w:hanging="265"/>
        <w:spacing w:after="0"/>
        <w:tabs>
          <w:tab w:leader="none" w:pos="96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Employment Agreements</w:t>
      </w:r>
    </w:p>
    <w:p>
      <w:pPr>
        <w:spacing w:after="0" w:line="251" w:lineRule="exact"/>
        <w:rPr>
          <w:sz w:val="20"/>
          <w:szCs w:val="20"/>
          <w:color w:val="auto"/>
        </w:rPr>
      </w:pPr>
    </w:p>
    <w:p>
      <w:pPr>
        <w:jc w:val="both"/>
        <w:ind w:right="500" w:firstLine="698"/>
        <w:spacing w:after="0" w:line="274" w:lineRule="auto"/>
        <w:rPr>
          <w:sz w:val="20"/>
          <w:szCs w:val="20"/>
          <w:color w:val="auto"/>
        </w:rPr>
      </w:pPr>
      <w:r>
        <w:rPr>
          <w:rFonts w:ascii="Times New Roman" w:cs="Times New Roman" w:eastAsia="Times New Roman" w:hAnsi="Times New Roman"/>
          <w:sz w:val="19"/>
          <w:szCs w:val="19"/>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79" w:lineRule="exact"/>
        <w:rPr>
          <w:sz w:val="20"/>
          <w:szCs w:val="20"/>
          <w:color w:val="auto"/>
        </w:rPr>
      </w:pPr>
    </w:p>
    <w:p>
      <w:pPr>
        <w:ind w:left="960" w:hanging="265"/>
        <w:spacing w:after="0"/>
        <w:tabs>
          <w:tab w:leader="none" w:pos="9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Litigation</w:t>
      </w:r>
    </w:p>
    <w:p>
      <w:pPr>
        <w:spacing w:after="0" w:line="212" w:lineRule="exact"/>
        <w:rPr>
          <w:sz w:val="20"/>
          <w:szCs w:val="20"/>
          <w:color w:val="auto"/>
        </w:rPr>
      </w:pPr>
    </w:p>
    <w:p>
      <w:pPr>
        <w:ind w:right="140" w:firstLine="698"/>
        <w:spacing w:after="0" w:line="266" w:lineRule="auto"/>
        <w:rPr>
          <w:sz w:val="20"/>
          <w:szCs w:val="20"/>
          <w:color w:val="auto"/>
        </w:rPr>
      </w:pPr>
      <w:r>
        <w:rPr>
          <w:rFonts w:ascii="Times New Roman" w:cs="Times New Roman" w:eastAsia="Times New Roman" w:hAnsi="Times New Roman"/>
          <w:sz w:val="19"/>
          <w:szCs w:val="19"/>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200" w:lineRule="exact"/>
        <w:rPr>
          <w:sz w:val="20"/>
          <w:szCs w:val="20"/>
          <w:color w:val="auto"/>
        </w:rPr>
      </w:pPr>
    </w:p>
    <w:p>
      <w:pPr>
        <w:spacing w:after="0" w:line="228" w:lineRule="exact"/>
        <w:rPr>
          <w:sz w:val="20"/>
          <w:szCs w:val="20"/>
          <w:color w:val="auto"/>
        </w:rPr>
      </w:pPr>
    </w:p>
    <w:p>
      <w:pPr>
        <w:ind w:right="100" w:firstLine="698"/>
        <w:spacing w:after="0" w:line="268" w:lineRule="auto"/>
        <w:rPr>
          <w:sz w:val="20"/>
          <w:szCs w:val="20"/>
          <w:color w:val="auto"/>
        </w:rPr>
      </w:pPr>
      <w:r>
        <w:rPr>
          <w:rFonts w:ascii="Times New Roman" w:cs="Times New Roman" w:eastAsia="Times New Roman" w:hAnsi="Times New Roman"/>
          <w:sz w:val="19"/>
          <w:szCs w:val="19"/>
          <w:color w:val="auto"/>
        </w:rPr>
        <w:t>On September 11, 2023, a second potential class action complaint was filed against the Company with the Circuit Court of Cook County that alleges violations of the Illinois Biometric Information Privacy Act that overlap with claims in the first action. On June 13, 2025, the Company settled this matter without a material impact on the Company’s financial statements.</w:t>
      </w:r>
    </w:p>
    <w:p>
      <w:pPr>
        <w:spacing w:after="0" w:line="188" w:lineRule="exact"/>
        <w:rPr>
          <w:sz w:val="20"/>
          <w:szCs w:val="20"/>
          <w:color w:val="auto"/>
        </w:rPr>
      </w:pPr>
    </w:p>
    <w:p>
      <w:pPr>
        <w:ind w:right="120" w:firstLine="698"/>
        <w:spacing w:after="0" w:line="263" w:lineRule="auto"/>
        <w:rPr>
          <w:sz w:val="20"/>
          <w:szCs w:val="20"/>
          <w:color w:val="auto"/>
        </w:rPr>
      </w:pPr>
      <w:r>
        <w:rPr>
          <w:rFonts w:ascii="Times New Roman" w:cs="Times New Roman" w:eastAsia="Times New Roman" w:hAnsi="Times New Roman"/>
          <w:sz w:val="19"/>
          <w:szCs w:val="19"/>
          <w:color w:val="auto"/>
        </w:rPr>
        <w:t>Additionally, 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9600"/>
          </w:cols>
          <w:pgMar w:left="1140" w:top="872" w:right="114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9"/>
          <w:szCs w:val="19"/>
          <w:b w:val="1"/>
          <w:bCs w:val="1"/>
          <w:color w:val="auto"/>
        </w:rPr>
        <w:t>(18) Net Income Per Share</w:t>
      </w:r>
    </w:p>
    <w:p>
      <w:pPr>
        <w:spacing w:after="0" w:line="254" w:lineRule="exact"/>
        <w:rPr>
          <w:sz w:val="20"/>
          <w:szCs w:val="20"/>
          <w:color w:val="auto"/>
        </w:rPr>
      </w:pPr>
    </w:p>
    <w:p>
      <w:pPr>
        <w:ind w:right="20" w:firstLine="698"/>
        <w:spacing w:after="0" w:line="264" w:lineRule="auto"/>
        <w:rPr>
          <w:sz w:val="20"/>
          <w:szCs w:val="20"/>
          <w:color w:val="auto"/>
        </w:rPr>
      </w:pPr>
      <w:r>
        <w:rPr>
          <w:rFonts w:ascii="Times New Roman" w:cs="Times New Roman" w:eastAsia="Times New Roman" w:hAnsi="Times New Roman"/>
          <w:sz w:val="19"/>
          <w:szCs w:val="19"/>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table presents the calculation of basic and diluted net income per share:</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Numerator: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Net income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206,766</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227,127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269,741</w:t>
            </w:r>
          </w:p>
        </w:tc>
      </w:tr>
      <w:tr>
        <w:trPr>
          <w:trHeight w:val="597"/>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Denominator:</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Weighted-average shares used in computing net income per share:</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Basic </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56,214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55,649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54,082</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Weighted-average effect of potentially dilutive shares:</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1"/>
        </w:trPr>
        <w:tc>
          <w:tcPr>
            <w:tcW w:w="56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Employee stock options, restricted stock units, performance stock</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units and market stock units </w:t>
            </w:r>
            <w:r>
              <w:rPr>
                <w:rFonts w:ascii="Times New Roman" w:cs="Times New Roman" w:eastAsia="Times New Roman" w:hAnsi="Times New Roman"/>
                <w:sz w:val="19"/>
                <w:szCs w:val="19"/>
                <w:color w:val="B4B4B4"/>
              </w:rPr>
              <w:t>.................................................................</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762</w:t>
            </w:r>
          </w:p>
        </w:tc>
        <w:tc>
          <w:tcPr>
            <w:tcW w:w="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901</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688</w:t>
            </w:r>
          </w:p>
        </w:tc>
      </w:tr>
      <w:tr>
        <w:trPr>
          <w:trHeight w:val="268"/>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Diluted </w:t>
            </w:r>
            <w:r>
              <w:rPr>
                <w:rFonts w:ascii="Times New Roman" w:cs="Times New Roman" w:eastAsia="Times New Roman" w:hAnsi="Times New Roman"/>
                <w:sz w:val="19"/>
                <w:szCs w:val="19"/>
                <w:color w:val="B4B4B4"/>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56,976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56,550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54,770</w:t>
            </w:r>
          </w:p>
        </w:tc>
      </w:tr>
      <w:tr>
        <w:trPr>
          <w:trHeight w:val="597"/>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income per share:</w:t>
            </w:r>
            <w:r>
              <w:rPr>
                <w:rFonts w:ascii="Times New Roman" w:cs="Times New Roman" w:eastAsia="Times New Roman" w:hAnsi="Times New Roman"/>
                <w:sz w:val="19"/>
                <w:szCs w:val="19"/>
                <w:color w:val="B4B4B4"/>
              </w:rPr>
              <w: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Basic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3.68</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4.99</w:t>
            </w:r>
          </w:p>
        </w:tc>
      </w:tr>
      <w:tr>
        <w:trPr>
          <w:trHeight w:val="291"/>
        </w:trPr>
        <w:tc>
          <w:tcPr>
            <w:tcW w:w="5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Diluted </w:t>
            </w:r>
            <w:r>
              <w:rPr>
                <w:rFonts w:ascii="Times New Roman" w:cs="Times New Roman" w:eastAsia="Times New Roman" w:hAnsi="Times New Roman"/>
                <w:sz w:val="19"/>
                <w:szCs w:val="19"/>
                <w:color w:val="B4B4B4"/>
              </w:rPr>
              <w:t>..................................................................................................</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3.63</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4.92</w:t>
            </w:r>
          </w:p>
        </w:tc>
      </w:tr>
    </w:tbl>
    <w:p>
      <w:pPr>
        <w:spacing w:after="0" w:line="282" w:lineRule="exact"/>
        <w:rPr>
          <w:sz w:val="20"/>
          <w:szCs w:val="20"/>
          <w:color w:val="auto"/>
        </w:rPr>
      </w:pPr>
    </w:p>
    <w:p>
      <w:pPr>
        <w:ind w:right="360" w:firstLine="698"/>
        <w:spacing w:after="0" w:line="274" w:lineRule="auto"/>
        <w:rPr>
          <w:sz w:val="20"/>
          <w:szCs w:val="20"/>
          <w:color w:val="auto"/>
        </w:rPr>
      </w:pPr>
      <w:r>
        <w:rPr>
          <w:rFonts w:ascii="Times New Roman" w:cs="Times New Roman" w:eastAsia="Times New Roman" w:hAnsi="Times New Roman"/>
          <w:sz w:val="19"/>
          <w:szCs w:val="19"/>
          <w:color w:val="auto"/>
        </w:rPr>
        <w:t>The following table summarizes the outstanding restricted stock units and market stock units as of the balance sheet date that were excluded from the diluted per share calculation for the periods presented because to include them would have been anti-dilutive:</w:t>
      </w:r>
    </w:p>
    <w:p>
      <w:pPr>
        <w:spacing w:after="0" w:line="27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3609975</wp:posOffset>
                </wp:positionH>
                <wp:positionV relativeFrom="paragraph">
                  <wp:posOffset>22860</wp:posOffset>
                </wp:positionV>
                <wp:extent cx="248539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53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25pt,1.8pt" to="479.95pt,1.8pt" o:allowincell="f" strokecolor="#000000" strokeweight="1pt"/>
            </w:pict>
          </mc:Fallback>
        </mc:AlternateConten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68"/>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Restricted stock units </w:t>
            </w:r>
            <w:r>
              <w:rPr>
                <w:rFonts w:ascii="Times New Roman" w:cs="Times New Roman" w:eastAsia="Times New Roman" w:hAnsi="Times New Roman"/>
                <w:sz w:val="19"/>
                <w:szCs w:val="19"/>
                <w:color w:val="B4B4B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291"/>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Performance stock units </w:t>
            </w:r>
            <w:r>
              <w:rPr>
                <w:rFonts w:ascii="Times New Roman" w:cs="Times New Roman" w:eastAsia="Times New Roman" w:hAnsi="Times New Roman"/>
                <w:sz w:val="19"/>
                <w:szCs w:val="19"/>
                <w:color w:val="B4B4B4"/>
              </w:rPr>
              <w:t>............................................................................</w:t>
            </w:r>
          </w:p>
        </w:tc>
        <w:tc>
          <w:tcPr>
            <w:tcW w:w="1320" w:type="dxa"/>
            <w:vAlign w:val="bottom"/>
            <w:gridSpan w:val="3"/>
          </w:tcPr>
          <w:p>
            <w:pPr>
              <w:jc w:val="right"/>
              <w:ind w:right="942"/>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294"/>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Market stock units </w:t>
            </w:r>
            <w:r>
              <w:rPr>
                <w:rFonts w:ascii="Times New Roman" w:cs="Times New Roman" w:eastAsia="Times New Roman" w:hAnsi="Times New Roman"/>
                <w:sz w:val="19"/>
                <w:szCs w:val="19"/>
                <w:color w:val="B4B4B4"/>
              </w:rPr>
              <w:t>.....................................................................................</w:t>
            </w: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0"/>
        </w:trPr>
        <w:tc>
          <w:tcPr>
            <w:tcW w:w="5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251079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3">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Segment Reporting</w:t>
      </w:r>
    </w:p>
    <w:p>
      <w:pPr>
        <w:spacing w:after="0" w:line="254" w:lineRule="exact"/>
        <w:rPr>
          <w:sz w:val="20"/>
          <w:szCs w:val="20"/>
          <w:color w:val="auto"/>
        </w:rPr>
      </w:pPr>
    </w:p>
    <w:p>
      <w:pPr>
        <w:ind w:right="40" w:firstLine="698"/>
        <w:spacing w:after="0" w:line="263" w:lineRule="auto"/>
        <w:rPr>
          <w:sz w:val="20"/>
          <w:szCs w:val="20"/>
          <w:color w:val="auto"/>
        </w:rPr>
      </w:pPr>
      <w:r>
        <w:rPr>
          <w:rFonts w:ascii="Times New Roman" w:cs="Times New Roman" w:eastAsia="Times New Roman" w:hAnsi="Times New Roman"/>
          <w:sz w:val="19"/>
          <w:szCs w:val="19"/>
          <w:color w:val="auto"/>
        </w:rPr>
        <w:t>As disclosed in Note 2, the Company determined that it operates as one operating and reportable segment and derives revenues from customers by providing its HCM, finance and IT software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ectPr>
          <w:pgSz w:w="11880" w:h="15480" w:orient="portrait"/>
          <w:cols w:equalWidth="0" w:num="1">
            <w:col w:w="9600"/>
          </w:cols>
          <w:pgMar w:left="1140" w:top="86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9600"/>
          </w:cols>
          <w:pgMar w:left="1140" w:top="865" w:right="1140" w:bottom="0" w:gutter="0" w:footer="0" w:header="0"/>
          <w:type w:val="continuous"/>
        </w:sectPr>
      </w:pPr>
    </w:p>
    <w:bookmarkStart w:id="97" w:name="page98"/>
    <w:bookmarkEnd w:id="97"/>
    <w:p>
      <w:pPr>
        <w:ind w:right="80" w:firstLine="698"/>
        <w:spacing w:after="0" w:line="293" w:lineRule="auto"/>
        <w:rPr>
          <w:sz w:val="20"/>
          <w:szCs w:val="20"/>
          <w:color w:val="auto"/>
        </w:rPr>
      </w:pPr>
      <w:r>
        <w:rPr>
          <w:rFonts w:ascii="Times New Roman" w:cs="Times New Roman" w:eastAsia="Times New Roman" w:hAnsi="Times New Roman"/>
          <w:sz w:val="19"/>
          <w:szCs w:val="19"/>
          <w:color w:val="auto"/>
        </w:rPr>
        <w:t>The following table presents the Company’s revenue, significant expenses and other segment items as included in consolidated net income:</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7"/>
              </w:rPr>
              <w:t>Year Ended June 30,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7"/>
        </w:trPr>
        <w:tc>
          <w:tcPr>
            <w:tcW w:w="5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83"/>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Revenue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1,402,515</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1,595,221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1,771,326</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Adjusted cost of revenue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(367,757)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(401,428)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(439,165)</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Adjusted sales and marketing</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(297,944)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(335,775)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(360,261)</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Adjusted research and development</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(165,063)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(186,842)</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Adjusted general and administrative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(130,575)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(148,618)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(157,276)</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income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1,310</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Income tax expense </w:t>
            </w:r>
            <w:r>
              <w:rPr>
                <w:rFonts w:ascii="Times New Roman" w:cs="Times New Roman" w:eastAsia="Times New Roman" w:hAnsi="Times New Roman"/>
                <w:sz w:val="19"/>
                <w:szCs w:val="19"/>
                <w:color w:val="B4B4B4"/>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(70,249)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(81,936)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(117,562)</w:t>
            </w:r>
          </w:p>
        </w:tc>
      </w:tr>
      <w:tr>
        <w:trPr>
          <w:trHeight w:val="30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segment items </w:t>
            </w:r>
            <w:r>
              <w:rPr>
                <w:rFonts w:ascii="Times New Roman" w:cs="Times New Roman" w:eastAsia="Times New Roman" w:hAnsi="Times New Roman"/>
                <w:sz w:val="19"/>
                <w:szCs w:val="19"/>
                <w:color w:val="B4B4B4"/>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(207,037)</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(240,313)</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(241,789)</w:t>
            </w:r>
          </w:p>
        </w:tc>
      </w:tr>
      <w:tr>
        <w:trPr>
          <w:trHeight w:val="266"/>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income </w:t>
            </w:r>
            <w:r>
              <w:rPr>
                <w:rFonts w:ascii="Times New Roman" w:cs="Times New Roman" w:eastAsia="Times New Roman" w:hAnsi="Times New Roman"/>
                <w:sz w:val="19"/>
                <w:szCs w:val="19"/>
                <w:color w:val="B4B4B4"/>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206,766</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227,127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269,741</w:t>
            </w:r>
          </w:p>
        </w:tc>
      </w:tr>
      <w:tr>
        <w:trPr>
          <w:trHeight w:val="20"/>
        </w:trPr>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2510790" cy="50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4">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pacing w:after="0" w:line="220" w:lineRule="exact"/>
        <w:rPr>
          <w:sz w:val="20"/>
          <w:szCs w:val="20"/>
          <w:color w:val="auto"/>
        </w:rPr>
      </w:pPr>
    </w:p>
    <w:p>
      <w:pPr>
        <w:ind w:right="240" w:firstLine="698"/>
        <w:spacing w:after="0" w:line="293" w:lineRule="auto"/>
        <w:rPr>
          <w:sz w:val="20"/>
          <w:szCs w:val="20"/>
          <w:color w:val="auto"/>
        </w:rPr>
      </w:pPr>
      <w:r>
        <w:rPr>
          <w:rFonts w:ascii="Times New Roman" w:cs="Times New Roman" w:eastAsia="Times New Roman" w:hAnsi="Times New Roman"/>
          <w:sz w:val="19"/>
          <w:szCs w:val="19"/>
          <w:color w:val="auto"/>
        </w:rPr>
        <w:t>Other segment items primarily include amortization of capitalized internal-use software and acquired intangible assets and stock-based compensation expense.</w:t>
      </w:r>
    </w:p>
    <w:p>
      <w:pPr>
        <w:sectPr>
          <w:pgSz w:w="11880" w:h="15480" w:orient="portrait"/>
          <w:cols w:equalWidth="0" w:num="1">
            <w:col w:w="9600"/>
          </w:cols>
          <w:pgMar w:left="1140" w:top="87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9600"/>
          </w:cols>
          <w:pgMar w:left="1140" w:top="872" w:right="1140" w:bottom="0" w:gutter="0" w:footer="0" w:header="0"/>
          <w:type w:val="continuous"/>
        </w:sectPr>
      </w:pPr>
    </w:p>
    <w:bookmarkStart w:id="98" w:name="page99"/>
    <w:bookmarkEnd w:id="98"/>
    <w:p>
      <w:pPr>
        <w:ind w:left="20"/>
        <w:spacing w:after="0"/>
        <w:rPr>
          <w:sz w:val="20"/>
          <w:szCs w:val="20"/>
          <w:color w:val="auto"/>
        </w:rPr>
      </w:pPr>
      <w:r>
        <w:rPr>
          <w:rFonts w:ascii="Arial" w:cs="Arial" w:eastAsia="Arial" w:hAnsi="Arial"/>
          <w:sz w:val="39"/>
          <w:szCs w:val="39"/>
          <w:color w:val="F3F0EB"/>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5">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160"/>
        <w:spacing w:after="0" w:line="316" w:lineRule="auto"/>
        <w:rPr>
          <w:sz w:val="20"/>
          <w:szCs w:val="20"/>
          <w:color w:val="auto"/>
        </w:rPr>
      </w:pPr>
      <w:r>
        <w:rPr>
          <w:rFonts w:ascii="Arial" w:cs="Arial" w:eastAsia="Arial" w:hAnsi="Arial"/>
          <w:sz w:val="47"/>
          <w:szCs w:val="47"/>
          <w:color w:val="323E48"/>
        </w:rPr>
        <w:t>Reconciliation of GAAP to Non-GAAP Financial Measures</w:t>
      </w:r>
    </w:p>
    <w:p>
      <w:pPr>
        <w:spacing w:after="0" w:line="45" w:lineRule="exact"/>
        <w:rPr>
          <w:sz w:val="20"/>
          <w:szCs w:val="20"/>
          <w:color w:val="auto"/>
        </w:rPr>
      </w:pPr>
    </w:p>
    <w:p>
      <w:pPr>
        <w:spacing w:after="0"/>
        <w:rPr>
          <w:sz w:val="20"/>
          <w:szCs w:val="20"/>
          <w:color w:val="auto"/>
        </w:rPr>
      </w:pPr>
      <w:r>
        <w:rPr>
          <w:rFonts w:ascii="Arial" w:cs="Arial" w:eastAsia="Arial" w:hAnsi="Arial"/>
          <w:sz w:val="23"/>
          <w:szCs w:val="23"/>
          <w:color w:val="000005"/>
        </w:rPr>
        <w:t>Long-Term Financial Targets</w:t>
      </w:r>
    </w:p>
    <w:p>
      <w:pPr>
        <w:spacing w:after="0" w:line="32" w:lineRule="exact"/>
        <w:rPr>
          <w:sz w:val="20"/>
          <w:szCs w:val="20"/>
          <w:color w:val="auto"/>
        </w:rPr>
      </w:pPr>
    </w:p>
    <w:p>
      <w:pPr>
        <w:ind w:right="80"/>
        <w:spacing w:after="0" w:line="281" w:lineRule="auto"/>
        <w:rPr>
          <w:sz w:val="20"/>
          <w:szCs w:val="20"/>
          <w:color w:val="auto"/>
        </w:rPr>
      </w:pPr>
      <w:r>
        <w:rPr>
          <w:rFonts w:ascii="Arial" w:cs="Arial" w:eastAsia="Arial" w:hAnsi="Arial"/>
          <w:sz w:val="20"/>
          <w:szCs w:val="20"/>
          <w:color w:val="323E48"/>
        </w:rPr>
        <w:t>We are unable to reconcile the forward-looking non-GAAP financial measures of Adjusted Gross Profit, Non-GAAP Total R&amp;D, Non-GAAP Sales and Marketing, Non-GAAP General &amp; Administrative, Adjusted EBITDA, and Free Cash Flow to their directly comparable GAAP financial measures, because the information needed to complete the reconciliations is unavailable at this time without unreasonable effort.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0"/>
                <w:szCs w:val="20"/>
                <w:color w:val="auto"/>
              </w:rPr>
            </w:pPr>
            <w:r>
              <w:rPr>
                <w:rFonts w:ascii="Arial" w:cs="Arial" w:eastAsia="Arial" w:hAnsi="Arial"/>
                <w:sz w:val="23"/>
                <w:szCs w:val="23"/>
                <w:color w:val="323E48"/>
              </w:rPr>
              <w:t xml:space="preserve">Adjusted EBITDA </w:t>
            </w:r>
            <w:r>
              <w:rPr>
                <w:rFonts w:ascii="Arial" w:cs="Arial" w:eastAsia="Arial" w:hAnsi="Arial"/>
                <w:sz w:val="15"/>
                <w:szCs w:val="15"/>
                <w:color w:val="323E48"/>
              </w:rPr>
              <w:t>$ Millions</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6"/>
                <w:szCs w:val="16"/>
                <w:color w:val="323E48"/>
              </w:rPr>
              <w:t>For the years ended June 30,</w:t>
            </w:r>
          </w:p>
        </w:tc>
        <w:tc>
          <w:tcPr>
            <w:tcW w:w="0" w:type="dxa"/>
            <w:vAlign w:val="bottom"/>
          </w:tcPr>
          <w:p>
            <w:pPr>
              <w:spacing w:after="0"/>
              <w:rPr>
                <w:sz w:val="1"/>
                <w:szCs w:val="1"/>
                <w:color w:val="auto"/>
              </w:rPr>
            </w:pPr>
          </w:p>
        </w:tc>
      </w:tr>
      <w:tr>
        <w:trPr>
          <w:trHeight w:val="364"/>
        </w:trPr>
        <w:tc>
          <w:tcPr>
            <w:tcW w:w="4920" w:type="dxa"/>
            <w:vAlign w:val="bottom"/>
          </w:tcPr>
          <w:p>
            <w:pPr>
              <w:ind w:left="100"/>
              <w:spacing w:after="0"/>
              <w:rPr>
                <w:sz w:val="20"/>
                <w:szCs w:val="20"/>
                <w:color w:val="auto"/>
              </w:rPr>
            </w:pPr>
            <w:r>
              <w:rPr>
                <w:rFonts w:ascii="Arial" w:cs="Arial" w:eastAsia="Arial" w:hAnsi="Arial"/>
                <w:sz w:val="16"/>
                <w:szCs w:val="16"/>
                <w:color w:val="FFFFFF"/>
              </w:rPr>
              <w:t>Reconciliation from Net income to Adjusted EBITDA and</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20" w:type="dxa"/>
            <w:vAlign w:val="bottom"/>
          </w:tcPr>
          <w:p>
            <w:pPr>
              <w:ind w:left="100"/>
              <w:spacing w:after="0"/>
              <w:rPr>
                <w:sz w:val="20"/>
                <w:szCs w:val="20"/>
                <w:color w:val="auto"/>
              </w:rPr>
            </w:pPr>
            <w:r>
              <w:rPr>
                <w:rFonts w:ascii="Arial" w:cs="Arial" w:eastAsia="Arial" w:hAnsi="Arial"/>
                <w:sz w:val="16"/>
                <w:szCs w:val="16"/>
                <w:color w:val="FFFFFF"/>
              </w:rPr>
              <w:t>Adjusted EBITDA excluding interest income on funds held</w:t>
            </w:r>
          </w:p>
        </w:tc>
        <w:tc>
          <w:tcPr>
            <w:tcW w:w="1220" w:type="dxa"/>
            <w:vAlign w:val="bottom"/>
            <w:gridSpan w:val="2"/>
          </w:tcPr>
          <w:p>
            <w:pPr>
              <w:jc w:val="right"/>
              <w:ind w:right="2"/>
              <w:spacing w:after="0"/>
              <w:rPr>
                <w:sz w:val="20"/>
                <w:szCs w:val="20"/>
                <w:color w:val="auto"/>
              </w:rPr>
            </w:pPr>
            <w:r>
              <w:rPr>
                <w:rFonts w:ascii="Arial" w:cs="Arial" w:eastAsia="Arial" w:hAnsi="Arial"/>
                <w:sz w:val="16"/>
                <w:szCs w:val="16"/>
                <w:color w:val="FFFFFF"/>
              </w:rPr>
              <w:t>2023</w:t>
            </w:r>
          </w:p>
        </w:tc>
        <w:tc>
          <w:tcPr>
            <w:tcW w:w="1220" w:type="dxa"/>
            <w:vAlign w:val="bottom"/>
            <w:gridSpan w:val="2"/>
          </w:tcPr>
          <w:p>
            <w:pPr>
              <w:jc w:val="right"/>
              <w:ind w:right="2"/>
              <w:spacing w:after="0"/>
              <w:rPr>
                <w:sz w:val="20"/>
                <w:szCs w:val="20"/>
                <w:color w:val="auto"/>
              </w:rPr>
            </w:pPr>
            <w:r>
              <w:rPr>
                <w:rFonts w:ascii="Arial" w:cs="Arial" w:eastAsia="Arial" w:hAnsi="Arial"/>
                <w:sz w:val="16"/>
                <w:szCs w:val="16"/>
                <w:color w:val="FFFFFF"/>
              </w:rPr>
              <w:t>2024</w:t>
            </w:r>
          </w:p>
        </w:tc>
        <w:tc>
          <w:tcPr>
            <w:tcW w:w="1260" w:type="dxa"/>
            <w:vAlign w:val="bottom"/>
          </w:tcPr>
          <w:p>
            <w:pPr>
              <w:jc w:val="right"/>
              <w:ind w:right="22"/>
              <w:spacing w:after="0"/>
              <w:rPr>
                <w:sz w:val="20"/>
                <w:szCs w:val="20"/>
                <w:color w:val="auto"/>
              </w:rPr>
            </w:pPr>
            <w:r>
              <w:rPr>
                <w:rFonts w:ascii="Arial" w:cs="Arial" w:eastAsia="Arial" w:hAnsi="Arial"/>
                <w:sz w:val="16"/>
                <w:szCs w:val="16"/>
                <w:color w:val="FFFFFF"/>
              </w:rPr>
              <w:t>2025</w:t>
            </w:r>
          </w:p>
        </w:tc>
        <w:tc>
          <w:tcPr>
            <w:tcW w:w="1220" w:type="dxa"/>
            <w:vAlign w:val="bottom"/>
          </w:tcPr>
          <w:p>
            <w:pPr>
              <w:jc w:val="right"/>
              <w:ind w:right="22"/>
              <w:spacing w:after="0"/>
              <w:rPr>
                <w:sz w:val="20"/>
                <w:szCs w:val="20"/>
                <w:color w:val="auto"/>
              </w:rPr>
            </w:pPr>
            <w:r>
              <w:rPr>
                <w:rFonts w:ascii="Arial" w:cs="Arial" w:eastAsia="Arial" w:hAnsi="Arial"/>
                <w:sz w:val="16"/>
                <w:szCs w:val="16"/>
                <w:color w:val="FFFFFF"/>
              </w:rPr>
              <w:t>2026</w:t>
            </w:r>
          </w:p>
        </w:tc>
        <w:tc>
          <w:tcPr>
            <w:tcW w:w="0" w:type="dxa"/>
            <w:vAlign w:val="bottom"/>
          </w:tcPr>
          <w:p>
            <w:pPr>
              <w:spacing w:after="0"/>
              <w:rPr>
                <w:sz w:val="1"/>
                <w:szCs w:val="1"/>
                <w:color w:val="auto"/>
              </w:rPr>
            </w:pPr>
          </w:p>
        </w:tc>
      </w:tr>
      <w:tr>
        <w:trPr>
          <w:trHeight w:val="223"/>
        </w:trPr>
        <w:tc>
          <w:tcPr>
            <w:tcW w:w="4920" w:type="dxa"/>
            <w:vAlign w:val="bottom"/>
          </w:tcPr>
          <w:p>
            <w:pPr>
              <w:ind w:left="100"/>
              <w:spacing w:after="0"/>
              <w:rPr>
                <w:sz w:val="20"/>
                <w:szCs w:val="20"/>
                <w:color w:val="auto"/>
              </w:rPr>
            </w:pPr>
            <w:r>
              <w:rPr>
                <w:rFonts w:ascii="Arial" w:cs="Arial" w:eastAsia="Arial" w:hAnsi="Arial"/>
                <w:sz w:val="16"/>
                <w:szCs w:val="16"/>
                <w:color w:val="FFFFFF"/>
              </w:rPr>
              <w:t>for clients:</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4920" w:type="dxa"/>
            <w:vAlign w:val="bottom"/>
            <w:vMerge w:val="restart"/>
          </w:tcPr>
          <w:p>
            <w:pPr>
              <w:ind w:left="100"/>
              <w:spacing w:after="0"/>
              <w:rPr>
                <w:sz w:val="20"/>
                <w:szCs w:val="20"/>
                <w:color w:val="auto"/>
              </w:rPr>
            </w:pPr>
            <w:r>
              <w:rPr>
                <w:rFonts w:ascii="Arial" w:cs="Arial" w:eastAsia="Arial" w:hAnsi="Arial"/>
                <w:sz w:val="16"/>
                <w:szCs w:val="16"/>
                <w:color w:val="323E48"/>
              </w:rPr>
              <w:t>Net income</w:t>
            </w:r>
          </w:p>
        </w:tc>
        <w:tc>
          <w:tcPr>
            <w:tcW w:w="20" w:type="dxa"/>
            <w:vAlign w:val="bottom"/>
          </w:tcPr>
          <w:p>
            <w:pPr>
              <w:spacing w:after="0"/>
              <w:rPr>
                <w:sz w:val="10"/>
                <w:szCs w:val="10"/>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323E48"/>
              </w:rPr>
              <w:t>$ 140.8</w:t>
            </w:r>
          </w:p>
        </w:tc>
        <w:tc>
          <w:tcPr>
            <w:tcW w:w="20" w:type="dxa"/>
            <w:vAlign w:val="bottom"/>
          </w:tcPr>
          <w:p>
            <w:pPr>
              <w:spacing w:after="0"/>
              <w:rPr>
                <w:sz w:val="10"/>
                <w:szCs w:val="10"/>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323E48"/>
              </w:rPr>
              <w:t>$ 206.8</w:t>
            </w:r>
          </w:p>
        </w:tc>
        <w:tc>
          <w:tcPr>
            <w:tcW w:w="1260" w:type="dxa"/>
            <w:vAlign w:val="bottom"/>
          </w:tcPr>
          <w:p>
            <w:pPr>
              <w:spacing w:after="0"/>
              <w:rPr>
                <w:sz w:val="10"/>
                <w:szCs w:val="10"/>
                <w:color w:val="auto"/>
              </w:rPr>
            </w:pPr>
          </w:p>
        </w:tc>
        <w:tc>
          <w:tcPr>
            <w:tcW w:w="1220" w:type="dxa"/>
            <w:vAlign w:val="bottom"/>
            <w:vMerge w:val="restart"/>
          </w:tcPr>
          <w:p>
            <w:pPr>
              <w:jc w:val="right"/>
              <w:ind w:right="22"/>
              <w:spacing w:after="0"/>
              <w:rPr>
                <w:sz w:val="20"/>
                <w:szCs w:val="20"/>
                <w:color w:val="auto"/>
              </w:rPr>
            </w:pPr>
            <w:r>
              <w:rPr>
                <w:rFonts w:ascii="Arial" w:cs="Arial" w:eastAsia="Arial" w:hAnsi="Arial"/>
                <w:sz w:val="16"/>
                <w:szCs w:val="16"/>
                <w:color w:val="323E48"/>
              </w:rPr>
              <w:t>$269.7</w:t>
            </w:r>
          </w:p>
        </w:tc>
        <w:tc>
          <w:tcPr>
            <w:tcW w:w="0" w:type="dxa"/>
            <w:vAlign w:val="bottom"/>
          </w:tcPr>
          <w:p>
            <w:pPr>
              <w:spacing w:after="0"/>
              <w:rPr>
                <w:sz w:val="1"/>
                <w:szCs w:val="1"/>
                <w:color w:val="auto"/>
              </w:rPr>
            </w:pPr>
          </w:p>
        </w:tc>
      </w:tr>
      <w:tr>
        <w:trPr>
          <w:trHeight w:val="339"/>
        </w:trPr>
        <w:tc>
          <w:tcPr>
            <w:tcW w:w="4920" w:type="dxa"/>
            <w:vAlign w:val="bottom"/>
            <w:vMerge w:val="continue"/>
          </w:tcPr>
          <w:p>
            <w:pPr>
              <w:spacing w:after="0"/>
              <w:rPr>
                <w:sz w:val="24"/>
                <w:szCs w:val="24"/>
                <w:color w:val="auto"/>
              </w:rPr>
            </w:pPr>
          </w:p>
        </w:tc>
        <w:tc>
          <w:tcPr>
            <w:tcW w:w="20" w:type="dxa"/>
            <w:vAlign w:val="bottom"/>
            <w:tcBorders>
              <w:bottom w:val="single" w:sz="8" w:color="D7D1C0"/>
            </w:tcBorders>
            <w:shd w:val="clear" w:color="auto" w:fill="D7D1C0"/>
          </w:tcPr>
          <w:p>
            <w:pPr>
              <w:spacing w:after="0"/>
              <w:rPr>
                <w:sz w:val="24"/>
                <w:szCs w:val="24"/>
                <w:color w:val="auto"/>
              </w:rPr>
            </w:pPr>
          </w:p>
        </w:tc>
        <w:tc>
          <w:tcPr>
            <w:tcW w:w="1200" w:type="dxa"/>
            <w:vAlign w:val="bottom"/>
            <w:vMerge w:val="continue"/>
          </w:tcPr>
          <w:p>
            <w:pPr>
              <w:spacing w:after="0"/>
              <w:rPr>
                <w:sz w:val="24"/>
                <w:szCs w:val="24"/>
                <w:color w:val="auto"/>
              </w:rPr>
            </w:pPr>
          </w:p>
        </w:tc>
        <w:tc>
          <w:tcPr>
            <w:tcW w:w="20" w:type="dxa"/>
            <w:vAlign w:val="bottom"/>
            <w:tcBorders>
              <w:bottom w:val="single" w:sz="8" w:color="D7D1C0"/>
            </w:tcBorders>
            <w:shd w:val="clear" w:color="auto" w:fill="D7D1C0"/>
          </w:tcPr>
          <w:p>
            <w:pPr>
              <w:spacing w:after="0"/>
              <w:rPr>
                <w:sz w:val="24"/>
                <w:szCs w:val="24"/>
                <w:color w:val="auto"/>
              </w:rPr>
            </w:pPr>
          </w:p>
        </w:tc>
        <w:tc>
          <w:tcPr>
            <w:tcW w:w="1200" w:type="dxa"/>
            <w:vAlign w:val="bottom"/>
            <w:vMerge w:val="continue"/>
          </w:tcPr>
          <w:p>
            <w:pPr>
              <w:spacing w:after="0"/>
              <w:rPr>
                <w:sz w:val="24"/>
                <w:szCs w:val="24"/>
                <w:color w:val="auto"/>
              </w:rPr>
            </w:pPr>
          </w:p>
        </w:tc>
        <w:tc>
          <w:tcPr>
            <w:tcW w:w="1260" w:type="dxa"/>
            <w:vAlign w:val="bottom"/>
            <w:tcBorders>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$ 227.1</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Interest expense</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0.7</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0.8</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13.1</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5.8</w:t>
            </w: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Income tax expense</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17.8</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70.2</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81.9</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117.6</w:t>
            </w: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Depreciation and amortization expense</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60.9</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76.4</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99.6</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111.8</w:t>
            </w: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EBITDA</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$ 220.2</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$ 354.2</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$ 421.8</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$ 504.9</w:t>
            </w:r>
          </w:p>
        </w:tc>
        <w:tc>
          <w:tcPr>
            <w:tcW w:w="0" w:type="dxa"/>
            <w:vAlign w:val="bottom"/>
          </w:tcPr>
          <w:p>
            <w:pPr>
              <w:spacing w:after="0"/>
              <w:rPr>
                <w:sz w:val="1"/>
                <w:szCs w:val="1"/>
                <w:color w:val="auto"/>
              </w:rPr>
            </w:pPr>
          </w:p>
        </w:tc>
      </w:tr>
      <w:tr>
        <w:trPr>
          <w:trHeight w:val="248"/>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Stock-based compensation expense and employer payroll</w:t>
            </w:r>
          </w:p>
        </w:tc>
        <w:tc>
          <w:tcPr>
            <w:tcW w:w="20" w:type="dxa"/>
            <w:vAlign w:val="bottom"/>
            <w:tcBorders>
              <w:top w:val="single" w:sz="8" w:color="D7D1C0"/>
            </w:tcBorders>
            <w:shd w:val="clear" w:color="auto" w:fill="D7D1C0"/>
          </w:tcPr>
          <w:p>
            <w:pPr>
              <w:spacing w:after="0"/>
              <w:rPr>
                <w:sz w:val="21"/>
                <w:szCs w:val="21"/>
                <w:color w:val="auto"/>
              </w:rPr>
            </w:pPr>
          </w:p>
        </w:tc>
        <w:tc>
          <w:tcPr>
            <w:tcW w:w="1200" w:type="dxa"/>
            <w:vAlign w:val="bottom"/>
            <w:tcBorders>
              <w:top w:val="single" w:sz="8" w:color="D7D1C0"/>
            </w:tcBorders>
            <w:vMerge w:val="restart"/>
          </w:tcPr>
          <w:p>
            <w:pPr>
              <w:jc w:val="right"/>
              <w:ind w:right="2"/>
              <w:spacing w:after="0"/>
              <w:rPr>
                <w:sz w:val="20"/>
                <w:szCs w:val="20"/>
                <w:color w:val="auto"/>
              </w:rPr>
            </w:pPr>
            <w:r>
              <w:rPr>
                <w:rFonts w:ascii="Arial" w:cs="Arial" w:eastAsia="Arial" w:hAnsi="Arial"/>
                <w:sz w:val="16"/>
                <w:szCs w:val="16"/>
                <w:color w:val="323E48"/>
              </w:rPr>
              <w:t>154.5</w:t>
            </w:r>
          </w:p>
        </w:tc>
        <w:tc>
          <w:tcPr>
            <w:tcW w:w="20" w:type="dxa"/>
            <w:vAlign w:val="bottom"/>
            <w:tcBorders>
              <w:top w:val="single" w:sz="8" w:color="D7D1C0"/>
            </w:tcBorders>
            <w:shd w:val="clear" w:color="auto" w:fill="D7D1C0"/>
          </w:tcPr>
          <w:p>
            <w:pPr>
              <w:spacing w:after="0"/>
              <w:rPr>
                <w:sz w:val="21"/>
                <w:szCs w:val="21"/>
                <w:color w:val="auto"/>
              </w:rPr>
            </w:pPr>
          </w:p>
        </w:tc>
        <w:tc>
          <w:tcPr>
            <w:tcW w:w="1200" w:type="dxa"/>
            <w:vAlign w:val="bottom"/>
            <w:tcBorders>
              <w:top w:val="single" w:sz="8" w:color="D7D1C0"/>
            </w:tcBorders>
            <w:vMerge w:val="restart"/>
          </w:tcPr>
          <w:p>
            <w:pPr>
              <w:jc w:val="right"/>
              <w:ind w:right="2"/>
              <w:spacing w:after="0"/>
              <w:rPr>
                <w:sz w:val="20"/>
                <w:szCs w:val="20"/>
                <w:color w:val="auto"/>
              </w:rPr>
            </w:pPr>
            <w:r>
              <w:rPr>
                <w:rFonts w:ascii="Arial" w:cs="Arial" w:eastAsia="Arial" w:hAnsi="Arial"/>
                <w:sz w:val="16"/>
                <w:szCs w:val="16"/>
                <w:color w:val="323E48"/>
              </w:rPr>
              <w:t>152.5</w:t>
            </w:r>
          </w:p>
        </w:tc>
        <w:tc>
          <w:tcPr>
            <w:tcW w:w="1260" w:type="dxa"/>
            <w:vAlign w:val="bottom"/>
            <w:tcBorders>
              <w:top w:val="single" w:sz="8" w:color="D7D1C0"/>
              <w:left w:val="single" w:sz="8" w:color="D6D1CA"/>
              <w:right w:val="single" w:sz="8" w:color="D6D1CA"/>
            </w:tcBorders>
            <w:vMerge w:val="restart"/>
          </w:tcPr>
          <w:p>
            <w:pPr>
              <w:jc w:val="right"/>
              <w:ind w:right="22"/>
              <w:spacing w:after="0"/>
              <w:rPr>
                <w:sz w:val="20"/>
                <w:szCs w:val="20"/>
                <w:color w:val="auto"/>
              </w:rPr>
            </w:pPr>
            <w:r>
              <w:rPr>
                <w:rFonts w:ascii="Arial" w:cs="Arial" w:eastAsia="Arial" w:hAnsi="Arial"/>
                <w:sz w:val="16"/>
                <w:szCs w:val="16"/>
                <w:color w:val="323E48"/>
              </w:rPr>
              <w:t>150.1</w:t>
            </w:r>
          </w:p>
        </w:tc>
        <w:tc>
          <w:tcPr>
            <w:tcW w:w="1220" w:type="dxa"/>
            <w:vAlign w:val="bottom"/>
            <w:tcBorders>
              <w:top w:val="single" w:sz="8" w:color="D7D1C0"/>
            </w:tcBorders>
            <w:vMerge w:val="restart"/>
          </w:tcPr>
          <w:p>
            <w:pPr>
              <w:jc w:val="right"/>
              <w:ind w:right="22"/>
              <w:spacing w:after="0"/>
              <w:rPr>
                <w:sz w:val="20"/>
                <w:szCs w:val="20"/>
                <w:color w:val="auto"/>
              </w:rPr>
            </w:pPr>
            <w:r>
              <w:rPr>
                <w:rFonts w:ascii="Arial" w:cs="Arial" w:eastAsia="Arial" w:hAnsi="Arial"/>
                <w:sz w:val="16"/>
                <w:szCs w:val="16"/>
                <w:color w:val="323E48"/>
              </w:rPr>
              <w:t>144.1</w:t>
            </w:r>
          </w:p>
        </w:tc>
        <w:tc>
          <w:tcPr>
            <w:tcW w:w="0" w:type="dxa"/>
            <w:vAlign w:val="bottom"/>
          </w:tcPr>
          <w:p>
            <w:pPr>
              <w:spacing w:after="0"/>
              <w:rPr>
                <w:sz w:val="1"/>
                <w:szCs w:val="1"/>
                <w:color w:val="auto"/>
              </w:rPr>
            </w:pPr>
          </w:p>
        </w:tc>
      </w:tr>
      <w:tr>
        <w:trPr>
          <w:trHeight w:val="125"/>
        </w:trPr>
        <w:tc>
          <w:tcPr>
            <w:tcW w:w="4920" w:type="dxa"/>
            <w:vAlign w:val="bottom"/>
            <w:vMerge w:val="restart"/>
          </w:tcPr>
          <w:p>
            <w:pPr>
              <w:ind w:left="100"/>
              <w:spacing w:after="0"/>
              <w:rPr>
                <w:sz w:val="20"/>
                <w:szCs w:val="20"/>
                <w:color w:val="auto"/>
              </w:rPr>
            </w:pPr>
            <w:r>
              <w:rPr>
                <w:rFonts w:ascii="Arial" w:cs="Arial" w:eastAsia="Arial" w:hAnsi="Arial"/>
                <w:sz w:val="16"/>
                <w:szCs w:val="16"/>
                <w:color w:val="323E48"/>
              </w:rPr>
              <w:t>taxes related to stock releases and option exercises</w:t>
            </w:r>
          </w:p>
        </w:tc>
        <w:tc>
          <w:tcPr>
            <w:tcW w:w="20" w:type="dxa"/>
            <w:vAlign w:val="bottom"/>
            <w:shd w:val="clear" w:color="auto" w:fill="D7D1C0"/>
          </w:tcPr>
          <w:p>
            <w:pPr>
              <w:spacing w:after="0"/>
              <w:rPr>
                <w:sz w:val="10"/>
                <w:szCs w:val="10"/>
                <w:color w:val="auto"/>
              </w:rPr>
            </w:pPr>
          </w:p>
        </w:tc>
        <w:tc>
          <w:tcPr>
            <w:tcW w:w="1200" w:type="dxa"/>
            <w:vAlign w:val="bottom"/>
            <w:vMerge w:val="continue"/>
          </w:tcPr>
          <w:p>
            <w:pPr>
              <w:spacing w:after="0"/>
              <w:rPr>
                <w:sz w:val="10"/>
                <w:szCs w:val="10"/>
                <w:color w:val="auto"/>
              </w:rPr>
            </w:pPr>
          </w:p>
        </w:tc>
        <w:tc>
          <w:tcPr>
            <w:tcW w:w="20" w:type="dxa"/>
            <w:vAlign w:val="bottom"/>
            <w:shd w:val="clear" w:color="auto" w:fill="D7D1C0"/>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tcBorders>
              <w:left w:val="single" w:sz="8" w:color="D6D1CA"/>
              <w:right w:val="single" w:sz="8" w:color="D6D1CA"/>
            </w:tcBorders>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920" w:type="dxa"/>
            <w:vAlign w:val="bottom"/>
            <w:vMerge w:val="continue"/>
          </w:tcPr>
          <w:p>
            <w:pPr>
              <w:spacing w:after="0"/>
              <w:rPr>
                <w:sz w:val="11"/>
                <w:szCs w:val="11"/>
                <w:color w:val="auto"/>
              </w:rPr>
            </w:pPr>
          </w:p>
        </w:tc>
        <w:tc>
          <w:tcPr>
            <w:tcW w:w="20" w:type="dxa"/>
            <w:vAlign w:val="bottom"/>
            <w:tcBorders>
              <w:bottom w:val="single" w:sz="8" w:color="D7D1C0"/>
            </w:tcBorders>
            <w:shd w:val="clear" w:color="auto" w:fill="D7D1C0"/>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Borders>
              <w:bottom w:val="single" w:sz="8" w:color="D7D1C0"/>
            </w:tcBorders>
            <w:shd w:val="clear" w:color="auto" w:fill="D7D1C0"/>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Borders>
              <w:left w:val="single" w:sz="8" w:color="D6D1CA"/>
              <w:right w:val="single" w:sz="8" w:color="D6D1CA"/>
            </w:tcBorders>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Other items(1)</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0.5</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(1.1)</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11.2</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5.8</w:t>
            </w:r>
          </w:p>
        </w:tc>
        <w:tc>
          <w:tcPr>
            <w:tcW w:w="0" w:type="dxa"/>
            <w:vAlign w:val="bottom"/>
          </w:tcPr>
          <w:p>
            <w:pPr>
              <w:spacing w:after="0"/>
              <w:rPr>
                <w:sz w:val="1"/>
                <w:szCs w:val="1"/>
                <w:color w:val="auto"/>
              </w:rPr>
            </w:pPr>
          </w:p>
        </w:tc>
      </w:tr>
      <w:tr>
        <w:trPr>
          <w:trHeight w:val="331"/>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Adjusted EBITDA</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$ 375.2</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$ 505.6</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$ 583.0</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$ 654.9</w:t>
            </w:r>
          </w:p>
        </w:tc>
        <w:tc>
          <w:tcPr>
            <w:tcW w:w="0" w:type="dxa"/>
            <w:vAlign w:val="bottom"/>
          </w:tcPr>
          <w:p>
            <w:pPr>
              <w:spacing w:after="0"/>
              <w:rPr>
                <w:sz w:val="1"/>
                <w:szCs w:val="1"/>
                <w:color w:val="auto"/>
              </w:rPr>
            </w:pPr>
          </w:p>
        </w:tc>
      </w:tr>
      <w:tr>
        <w:trPr>
          <w:trHeight w:val="331"/>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Interest income on funds held for clients</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(76.6)</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ind w:right="2"/>
              <w:spacing w:after="0"/>
              <w:rPr>
                <w:sz w:val="20"/>
                <w:szCs w:val="20"/>
                <w:color w:val="auto"/>
              </w:rPr>
            </w:pPr>
            <w:r>
              <w:rPr>
                <w:rFonts w:ascii="Arial" w:cs="Arial" w:eastAsia="Arial" w:hAnsi="Arial"/>
                <w:sz w:val="16"/>
                <w:szCs w:val="16"/>
                <w:color w:val="323E48"/>
              </w:rPr>
              <w:t>(120.9)</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(123.4)</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(120.0)</w:t>
            </w:r>
          </w:p>
        </w:tc>
        <w:tc>
          <w:tcPr>
            <w:tcW w:w="0" w:type="dxa"/>
            <w:vAlign w:val="bottom"/>
          </w:tcPr>
          <w:p>
            <w:pPr>
              <w:spacing w:after="0"/>
              <w:rPr>
                <w:sz w:val="1"/>
                <w:szCs w:val="1"/>
                <w:color w:val="auto"/>
              </w:rPr>
            </w:pPr>
          </w:p>
        </w:tc>
      </w:tr>
      <w:tr>
        <w:trPr>
          <w:trHeight w:val="248"/>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Adjusted EBITDA excluding interest income</w:t>
            </w:r>
          </w:p>
        </w:tc>
        <w:tc>
          <w:tcPr>
            <w:tcW w:w="20" w:type="dxa"/>
            <w:vAlign w:val="bottom"/>
            <w:tcBorders>
              <w:top w:val="single" w:sz="8" w:color="D7D1C0"/>
            </w:tcBorders>
            <w:shd w:val="clear" w:color="auto" w:fill="D7D1C0"/>
          </w:tcPr>
          <w:p>
            <w:pPr>
              <w:spacing w:after="0"/>
              <w:rPr>
                <w:sz w:val="21"/>
                <w:szCs w:val="21"/>
                <w:color w:val="auto"/>
              </w:rPr>
            </w:pPr>
          </w:p>
        </w:tc>
        <w:tc>
          <w:tcPr>
            <w:tcW w:w="1200" w:type="dxa"/>
            <w:vAlign w:val="bottom"/>
            <w:tcBorders>
              <w:top w:val="single" w:sz="8" w:color="D7D1C0"/>
            </w:tcBorders>
            <w:vMerge w:val="restart"/>
          </w:tcPr>
          <w:p>
            <w:pPr>
              <w:jc w:val="right"/>
              <w:ind w:right="2"/>
              <w:spacing w:after="0"/>
              <w:rPr>
                <w:sz w:val="20"/>
                <w:szCs w:val="20"/>
                <w:color w:val="auto"/>
              </w:rPr>
            </w:pPr>
            <w:r>
              <w:rPr>
                <w:rFonts w:ascii="Arial" w:cs="Arial" w:eastAsia="Arial" w:hAnsi="Arial"/>
                <w:sz w:val="16"/>
                <w:szCs w:val="16"/>
                <w:color w:val="323E48"/>
              </w:rPr>
              <w:t>$ 298.6</w:t>
            </w:r>
          </w:p>
        </w:tc>
        <w:tc>
          <w:tcPr>
            <w:tcW w:w="20" w:type="dxa"/>
            <w:vAlign w:val="bottom"/>
            <w:tcBorders>
              <w:top w:val="single" w:sz="8" w:color="D7D1C0"/>
            </w:tcBorders>
            <w:shd w:val="clear" w:color="auto" w:fill="D7D1C0"/>
          </w:tcPr>
          <w:p>
            <w:pPr>
              <w:spacing w:after="0"/>
              <w:rPr>
                <w:sz w:val="21"/>
                <w:szCs w:val="21"/>
                <w:color w:val="auto"/>
              </w:rPr>
            </w:pPr>
          </w:p>
        </w:tc>
        <w:tc>
          <w:tcPr>
            <w:tcW w:w="1200" w:type="dxa"/>
            <w:vAlign w:val="bottom"/>
            <w:tcBorders>
              <w:top w:val="single" w:sz="8" w:color="D7D1C0"/>
            </w:tcBorders>
            <w:vMerge w:val="restart"/>
          </w:tcPr>
          <w:p>
            <w:pPr>
              <w:jc w:val="right"/>
              <w:ind w:right="2"/>
              <w:spacing w:after="0"/>
              <w:rPr>
                <w:sz w:val="20"/>
                <w:szCs w:val="20"/>
                <w:color w:val="auto"/>
              </w:rPr>
            </w:pPr>
            <w:r>
              <w:rPr>
                <w:rFonts w:ascii="Arial" w:cs="Arial" w:eastAsia="Arial" w:hAnsi="Arial"/>
                <w:sz w:val="16"/>
                <w:szCs w:val="16"/>
                <w:color w:val="323E48"/>
              </w:rPr>
              <w:t>$ 384.7</w:t>
            </w:r>
          </w:p>
        </w:tc>
        <w:tc>
          <w:tcPr>
            <w:tcW w:w="1260" w:type="dxa"/>
            <w:vAlign w:val="bottom"/>
            <w:tcBorders>
              <w:top w:val="single" w:sz="8" w:color="D7D1C0"/>
              <w:left w:val="single" w:sz="8" w:color="D6D1CA"/>
              <w:right w:val="single" w:sz="8" w:color="D6D1CA"/>
            </w:tcBorders>
            <w:vMerge w:val="restart"/>
          </w:tcPr>
          <w:p>
            <w:pPr>
              <w:jc w:val="right"/>
              <w:ind w:right="22"/>
              <w:spacing w:after="0"/>
              <w:rPr>
                <w:sz w:val="20"/>
                <w:szCs w:val="20"/>
                <w:color w:val="auto"/>
              </w:rPr>
            </w:pPr>
            <w:r>
              <w:rPr>
                <w:rFonts w:ascii="Arial" w:cs="Arial" w:eastAsia="Arial" w:hAnsi="Arial"/>
                <w:sz w:val="16"/>
                <w:szCs w:val="16"/>
                <w:color w:val="323E48"/>
              </w:rPr>
              <w:t>$ 459.6</w:t>
            </w:r>
          </w:p>
        </w:tc>
        <w:tc>
          <w:tcPr>
            <w:tcW w:w="1220" w:type="dxa"/>
            <w:vAlign w:val="bottom"/>
            <w:tcBorders>
              <w:top w:val="single" w:sz="8" w:color="D7D1C0"/>
            </w:tcBorders>
            <w:vMerge w:val="restart"/>
          </w:tcPr>
          <w:p>
            <w:pPr>
              <w:jc w:val="right"/>
              <w:ind w:right="22"/>
              <w:spacing w:after="0"/>
              <w:rPr>
                <w:sz w:val="20"/>
                <w:szCs w:val="20"/>
                <w:color w:val="auto"/>
              </w:rPr>
            </w:pPr>
            <w:r>
              <w:rPr>
                <w:rFonts w:ascii="Arial" w:cs="Arial" w:eastAsia="Arial" w:hAnsi="Arial"/>
                <w:sz w:val="16"/>
                <w:szCs w:val="16"/>
                <w:color w:val="323E48"/>
              </w:rPr>
              <w:t>$ 534.9</w:t>
            </w:r>
          </w:p>
        </w:tc>
        <w:tc>
          <w:tcPr>
            <w:tcW w:w="0" w:type="dxa"/>
            <w:vAlign w:val="bottom"/>
          </w:tcPr>
          <w:p>
            <w:pPr>
              <w:spacing w:after="0"/>
              <w:rPr>
                <w:sz w:val="1"/>
                <w:szCs w:val="1"/>
                <w:color w:val="auto"/>
              </w:rPr>
            </w:pPr>
          </w:p>
        </w:tc>
      </w:tr>
      <w:tr>
        <w:trPr>
          <w:trHeight w:val="125"/>
        </w:trPr>
        <w:tc>
          <w:tcPr>
            <w:tcW w:w="4920" w:type="dxa"/>
            <w:vAlign w:val="bottom"/>
            <w:vMerge w:val="restart"/>
          </w:tcPr>
          <w:p>
            <w:pPr>
              <w:ind w:left="100"/>
              <w:spacing w:after="0"/>
              <w:rPr>
                <w:sz w:val="20"/>
                <w:szCs w:val="20"/>
                <w:color w:val="auto"/>
              </w:rPr>
            </w:pPr>
            <w:r>
              <w:rPr>
                <w:rFonts w:ascii="Arial" w:cs="Arial" w:eastAsia="Arial" w:hAnsi="Arial"/>
                <w:sz w:val="16"/>
                <w:szCs w:val="16"/>
                <w:color w:val="323E48"/>
              </w:rPr>
              <w:t>on funds held for clients</w:t>
            </w:r>
          </w:p>
        </w:tc>
        <w:tc>
          <w:tcPr>
            <w:tcW w:w="20" w:type="dxa"/>
            <w:vAlign w:val="bottom"/>
            <w:shd w:val="clear" w:color="auto" w:fill="D7D1C0"/>
          </w:tcPr>
          <w:p>
            <w:pPr>
              <w:spacing w:after="0"/>
              <w:rPr>
                <w:sz w:val="10"/>
                <w:szCs w:val="10"/>
                <w:color w:val="auto"/>
              </w:rPr>
            </w:pPr>
          </w:p>
        </w:tc>
        <w:tc>
          <w:tcPr>
            <w:tcW w:w="1200" w:type="dxa"/>
            <w:vAlign w:val="bottom"/>
            <w:vMerge w:val="continue"/>
          </w:tcPr>
          <w:p>
            <w:pPr>
              <w:spacing w:after="0"/>
              <w:rPr>
                <w:sz w:val="10"/>
                <w:szCs w:val="10"/>
                <w:color w:val="auto"/>
              </w:rPr>
            </w:pPr>
          </w:p>
        </w:tc>
        <w:tc>
          <w:tcPr>
            <w:tcW w:w="20" w:type="dxa"/>
            <w:vAlign w:val="bottom"/>
            <w:shd w:val="clear" w:color="auto" w:fill="D7D1C0"/>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tcBorders>
              <w:left w:val="single" w:sz="8" w:color="D6D1CA"/>
              <w:right w:val="single" w:sz="8" w:color="D6D1CA"/>
            </w:tcBorders>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920" w:type="dxa"/>
            <w:vAlign w:val="bottom"/>
            <w:vMerge w:val="continue"/>
          </w:tcPr>
          <w:p>
            <w:pPr>
              <w:spacing w:after="0"/>
              <w:rPr>
                <w:sz w:val="9"/>
                <w:szCs w:val="9"/>
                <w:color w:val="auto"/>
              </w:rPr>
            </w:pPr>
          </w:p>
        </w:tc>
        <w:tc>
          <w:tcPr>
            <w:tcW w:w="20" w:type="dxa"/>
            <w:vAlign w:val="bottom"/>
            <w:tcBorders>
              <w:bottom w:val="single" w:sz="8" w:color="D7D1C0"/>
            </w:tcBorders>
            <w:shd w:val="clear" w:color="auto" w:fill="D7D1C0"/>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Borders>
              <w:bottom w:val="single" w:sz="8" w:color="D7D1C0"/>
            </w:tcBorders>
            <w:shd w:val="clear" w:color="auto" w:fill="D7D1C0"/>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Borders>
              <w:left w:val="single" w:sz="8" w:color="D6D1CA"/>
              <w:right w:val="single" w:sz="8" w:color="D6D1CA"/>
            </w:tcBorders>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0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00" w:type="dxa"/>
            <w:vAlign w:val="bottom"/>
            <w:shd w:val="clear" w:color="auto" w:fill="D7D1C0"/>
          </w:tcPr>
          <w:p>
            <w:pPr>
              <w:spacing w:after="0" w:line="20" w:lineRule="exact"/>
              <w:rPr>
                <w:sz w:val="1"/>
                <w:szCs w:val="1"/>
                <w:color w:val="auto"/>
              </w:rPr>
            </w:pPr>
          </w:p>
        </w:tc>
        <w:tc>
          <w:tcPr>
            <w:tcW w:w="1260" w:type="dxa"/>
            <w:vAlign w:val="bottom"/>
            <w:tcBorders>
              <w:left w:val="single" w:sz="8" w:color="D7D1C0"/>
              <w:right w:val="single" w:sz="8" w:color="D7D1C0"/>
            </w:tcBorders>
            <w:shd w:val="clear" w:color="auto" w:fill="D7D1C0"/>
          </w:tcPr>
          <w:p>
            <w:pPr>
              <w:spacing w:after="0" w:line="20" w:lineRule="exact"/>
              <w:rPr>
                <w:sz w:val="1"/>
                <w:szCs w:val="1"/>
                <w:color w:val="auto"/>
              </w:rPr>
            </w:pPr>
          </w:p>
        </w:tc>
        <w:tc>
          <w:tcPr>
            <w:tcW w:w="1220" w:type="dxa"/>
            <w:vAlign w:val="bottom"/>
            <w:shd w:val="clear" w:color="auto" w:fill="D7D1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right="140" w:firstLine="4"/>
        <w:spacing w:after="0" w:line="305" w:lineRule="auto"/>
        <w:tabs>
          <w:tab w:leader="none" w:pos="214" w:val="left"/>
        </w:tabs>
        <w:numPr>
          <w:ilvl w:val="0"/>
          <w:numId w:val="51"/>
        </w:numPr>
        <w:rPr>
          <w:rFonts w:ascii="Arial" w:cs="Arial" w:eastAsia="Arial" w:hAnsi="Arial"/>
          <w:sz w:val="16"/>
          <w:szCs w:val="16"/>
          <w:color w:val="898A8D"/>
        </w:rPr>
      </w:pPr>
      <w:r>
        <w:rPr>
          <w:rFonts w:ascii="Arial" w:cs="Arial" w:eastAsia="Arial" w:hAnsi="Arial"/>
          <w:sz w:val="16"/>
          <w:szCs w:val="16"/>
          <w:color w:val="898A8D"/>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0"/>
                <w:szCs w:val="20"/>
                <w:color w:val="auto"/>
              </w:rPr>
            </w:pPr>
            <w:r>
              <w:rPr>
                <w:rFonts w:ascii="Arial" w:cs="Arial" w:eastAsia="Arial" w:hAnsi="Arial"/>
                <w:sz w:val="23"/>
                <w:szCs w:val="23"/>
                <w:color w:val="323E48"/>
              </w:rPr>
              <w:t xml:space="preserve">Free Cash Flow </w:t>
            </w:r>
            <w:r>
              <w:rPr>
                <w:rFonts w:ascii="Arial" w:cs="Arial" w:eastAsia="Arial" w:hAnsi="Arial"/>
                <w:sz w:val="15"/>
                <w:szCs w:val="15"/>
                <w:color w:val="323E48"/>
              </w:rPr>
              <w:t>$ Millions</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6"/>
                <w:szCs w:val="16"/>
                <w:color w:val="323E48"/>
              </w:rPr>
              <w:t>For the years ended June 30,</w:t>
            </w:r>
          </w:p>
        </w:tc>
        <w:tc>
          <w:tcPr>
            <w:tcW w:w="0" w:type="dxa"/>
            <w:vAlign w:val="bottom"/>
          </w:tcPr>
          <w:p>
            <w:pPr>
              <w:spacing w:after="0"/>
              <w:rPr>
                <w:sz w:val="1"/>
                <w:szCs w:val="1"/>
                <w:color w:val="auto"/>
              </w:rPr>
            </w:pPr>
          </w:p>
        </w:tc>
      </w:tr>
      <w:tr>
        <w:trPr>
          <w:trHeight w:val="332"/>
        </w:trPr>
        <w:tc>
          <w:tcPr>
            <w:tcW w:w="4920" w:type="dxa"/>
            <w:vAlign w:val="bottom"/>
          </w:tcPr>
          <w:p>
            <w:pPr>
              <w:ind w:left="100"/>
              <w:spacing w:after="0"/>
              <w:rPr>
                <w:sz w:val="20"/>
                <w:szCs w:val="20"/>
                <w:color w:val="auto"/>
              </w:rPr>
            </w:pPr>
            <w:r>
              <w:rPr>
                <w:rFonts w:ascii="Arial" w:cs="Arial" w:eastAsia="Arial" w:hAnsi="Arial"/>
                <w:sz w:val="16"/>
                <w:szCs w:val="16"/>
                <w:color w:val="FFFFFF"/>
              </w:rPr>
              <w:t>Reconciliation of Free cash flow and Free cash flow</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FFFFFF"/>
              </w:rPr>
              <w:t>2023</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FFFFFF"/>
              </w:rPr>
              <w:t>2024</w:t>
            </w:r>
          </w:p>
        </w:tc>
        <w:tc>
          <w:tcPr>
            <w:tcW w:w="1260" w:type="dxa"/>
            <w:vAlign w:val="bottom"/>
            <w:vMerge w:val="restart"/>
          </w:tcPr>
          <w:p>
            <w:pPr>
              <w:jc w:val="right"/>
              <w:ind w:right="22"/>
              <w:spacing w:after="0"/>
              <w:rPr>
                <w:sz w:val="20"/>
                <w:szCs w:val="20"/>
                <w:color w:val="auto"/>
              </w:rPr>
            </w:pPr>
            <w:r>
              <w:rPr>
                <w:rFonts w:ascii="Arial" w:cs="Arial" w:eastAsia="Arial" w:hAnsi="Arial"/>
                <w:sz w:val="16"/>
                <w:szCs w:val="16"/>
                <w:color w:val="FFFFFF"/>
              </w:rPr>
              <w:t>2025</w:t>
            </w:r>
          </w:p>
        </w:tc>
        <w:tc>
          <w:tcPr>
            <w:tcW w:w="1220" w:type="dxa"/>
            <w:vAlign w:val="bottom"/>
            <w:vMerge w:val="restart"/>
          </w:tcPr>
          <w:p>
            <w:pPr>
              <w:jc w:val="right"/>
              <w:ind w:right="22"/>
              <w:spacing w:after="0"/>
              <w:rPr>
                <w:sz w:val="20"/>
                <w:szCs w:val="20"/>
                <w:color w:val="auto"/>
              </w:rPr>
            </w:pPr>
            <w:r>
              <w:rPr>
                <w:rFonts w:ascii="Arial" w:cs="Arial" w:eastAsia="Arial" w:hAnsi="Arial"/>
                <w:sz w:val="16"/>
                <w:szCs w:val="16"/>
                <w:color w:val="FFFFFF"/>
              </w:rPr>
              <w:t>2026</w:t>
            </w:r>
          </w:p>
        </w:tc>
        <w:tc>
          <w:tcPr>
            <w:tcW w:w="0" w:type="dxa"/>
            <w:vAlign w:val="bottom"/>
          </w:tcPr>
          <w:p>
            <w:pPr>
              <w:spacing w:after="0"/>
              <w:rPr>
                <w:sz w:val="1"/>
                <w:szCs w:val="1"/>
                <w:color w:val="auto"/>
              </w:rPr>
            </w:pPr>
          </w:p>
        </w:tc>
      </w:tr>
      <w:tr>
        <w:trPr>
          <w:trHeight w:val="125"/>
        </w:trPr>
        <w:tc>
          <w:tcPr>
            <w:tcW w:w="4920" w:type="dxa"/>
            <w:vAlign w:val="bottom"/>
            <w:vMerge w:val="restart"/>
          </w:tcPr>
          <w:p>
            <w:pPr>
              <w:ind w:left="100"/>
              <w:spacing w:after="0"/>
              <w:rPr>
                <w:sz w:val="20"/>
                <w:szCs w:val="20"/>
                <w:color w:val="auto"/>
              </w:rPr>
            </w:pPr>
            <w:r>
              <w:rPr>
                <w:rFonts w:ascii="Arial" w:cs="Arial" w:eastAsia="Arial" w:hAnsi="Arial"/>
                <w:sz w:val="16"/>
                <w:szCs w:val="16"/>
                <w:color w:val="FFFFFF"/>
              </w:rPr>
              <w:t>excluding interest income on funds held for clients:</w:t>
            </w:r>
          </w:p>
        </w:tc>
        <w:tc>
          <w:tcPr>
            <w:tcW w:w="12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20" w:type="dxa"/>
            <w:vAlign w:val="bottom"/>
            <w:vMerge w:val="restart"/>
          </w:tcPr>
          <w:p>
            <w:pPr>
              <w:ind w:left="100"/>
              <w:spacing w:after="0"/>
              <w:rPr>
                <w:sz w:val="20"/>
                <w:szCs w:val="20"/>
                <w:color w:val="auto"/>
              </w:rPr>
            </w:pPr>
            <w:r>
              <w:rPr>
                <w:rFonts w:ascii="Arial" w:cs="Arial" w:eastAsia="Arial" w:hAnsi="Arial"/>
                <w:sz w:val="16"/>
                <w:szCs w:val="16"/>
                <w:color w:val="323E48"/>
              </w:rPr>
              <w:t>Net cash provided by operating activities</w:t>
            </w:r>
          </w:p>
        </w:tc>
        <w:tc>
          <w:tcPr>
            <w:tcW w:w="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323E48"/>
              </w:rPr>
              <w:t>$ 282.7</w:t>
            </w:r>
          </w:p>
        </w:tc>
        <w:tc>
          <w:tcPr>
            <w:tcW w:w="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323E48"/>
              </w:rPr>
              <w:t>$ 384.7</w:t>
            </w:r>
          </w:p>
        </w:tc>
        <w:tc>
          <w:tcPr>
            <w:tcW w:w="1260" w:type="dxa"/>
            <w:vAlign w:val="bottom"/>
          </w:tcPr>
          <w:p>
            <w:pPr>
              <w:spacing w:after="0"/>
              <w:rPr>
                <w:sz w:val="10"/>
                <w:szCs w:val="10"/>
                <w:color w:val="auto"/>
              </w:rPr>
            </w:pPr>
          </w:p>
        </w:tc>
        <w:tc>
          <w:tcPr>
            <w:tcW w:w="1220" w:type="dxa"/>
            <w:vAlign w:val="bottom"/>
            <w:vMerge w:val="restart"/>
          </w:tcPr>
          <w:p>
            <w:pPr>
              <w:jc w:val="right"/>
              <w:ind w:right="22"/>
              <w:spacing w:after="0"/>
              <w:rPr>
                <w:sz w:val="20"/>
                <w:szCs w:val="20"/>
                <w:color w:val="auto"/>
              </w:rPr>
            </w:pPr>
            <w:r>
              <w:rPr>
                <w:rFonts w:ascii="Arial" w:cs="Arial" w:eastAsia="Arial" w:hAnsi="Arial"/>
                <w:sz w:val="16"/>
                <w:szCs w:val="16"/>
                <w:color w:val="323E48"/>
              </w:rPr>
              <w:t>$ 533.3</w:t>
            </w:r>
          </w:p>
        </w:tc>
        <w:tc>
          <w:tcPr>
            <w:tcW w:w="0" w:type="dxa"/>
            <w:vAlign w:val="bottom"/>
          </w:tcPr>
          <w:p>
            <w:pPr>
              <w:spacing w:after="0"/>
              <w:rPr>
                <w:sz w:val="1"/>
                <w:szCs w:val="1"/>
                <w:color w:val="auto"/>
              </w:rPr>
            </w:pPr>
          </w:p>
        </w:tc>
      </w:tr>
      <w:tr>
        <w:trPr>
          <w:trHeight w:val="339"/>
        </w:trPr>
        <w:tc>
          <w:tcPr>
            <w:tcW w:w="4920" w:type="dxa"/>
            <w:vAlign w:val="bottom"/>
            <w:vMerge w:val="continue"/>
          </w:tcPr>
          <w:p>
            <w:pPr>
              <w:spacing w:after="0"/>
              <w:rPr>
                <w:sz w:val="24"/>
                <w:szCs w:val="24"/>
                <w:color w:val="auto"/>
              </w:rPr>
            </w:pPr>
          </w:p>
        </w:tc>
        <w:tc>
          <w:tcPr>
            <w:tcW w:w="20" w:type="dxa"/>
            <w:vAlign w:val="bottom"/>
            <w:tcBorders>
              <w:bottom w:val="single" w:sz="8" w:color="D7D1C0"/>
            </w:tcBorders>
            <w:shd w:val="clear" w:color="auto" w:fill="D7D1C0"/>
          </w:tcPr>
          <w:p>
            <w:pPr>
              <w:spacing w:after="0"/>
              <w:rPr>
                <w:sz w:val="24"/>
                <w:szCs w:val="24"/>
                <w:color w:val="auto"/>
              </w:rPr>
            </w:pPr>
          </w:p>
        </w:tc>
        <w:tc>
          <w:tcPr>
            <w:tcW w:w="1200" w:type="dxa"/>
            <w:vAlign w:val="bottom"/>
            <w:vMerge w:val="continue"/>
          </w:tcPr>
          <w:p>
            <w:pPr>
              <w:spacing w:after="0"/>
              <w:rPr>
                <w:sz w:val="24"/>
                <w:szCs w:val="24"/>
                <w:color w:val="auto"/>
              </w:rPr>
            </w:pPr>
          </w:p>
        </w:tc>
        <w:tc>
          <w:tcPr>
            <w:tcW w:w="20" w:type="dxa"/>
            <w:vAlign w:val="bottom"/>
            <w:tcBorders>
              <w:bottom w:val="single" w:sz="8" w:color="D7D1C0"/>
            </w:tcBorders>
            <w:shd w:val="clear" w:color="auto" w:fill="D7D1C0"/>
          </w:tcPr>
          <w:p>
            <w:pPr>
              <w:spacing w:after="0"/>
              <w:rPr>
                <w:sz w:val="24"/>
                <w:szCs w:val="24"/>
                <w:color w:val="auto"/>
              </w:rPr>
            </w:pPr>
          </w:p>
        </w:tc>
        <w:tc>
          <w:tcPr>
            <w:tcW w:w="1200" w:type="dxa"/>
            <w:vAlign w:val="bottom"/>
            <w:vMerge w:val="continue"/>
          </w:tcPr>
          <w:p>
            <w:pPr>
              <w:spacing w:after="0"/>
              <w:rPr>
                <w:sz w:val="24"/>
                <w:szCs w:val="24"/>
                <w:color w:val="auto"/>
              </w:rPr>
            </w:pPr>
          </w:p>
        </w:tc>
        <w:tc>
          <w:tcPr>
            <w:tcW w:w="1260" w:type="dxa"/>
            <w:vAlign w:val="bottom"/>
            <w:tcBorders>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$ 418.2</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Capitalized internal-use software costs</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323E48"/>
              </w:rPr>
              <w:t>(45.0)</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323E48"/>
              </w:rPr>
              <w:t>(60.7)</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(62.4)</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(69.3)</w:t>
            </w: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Purchases of property and equipment</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323E48"/>
              </w:rPr>
              <w:t>(21.9)</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323E48"/>
              </w:rPr>
              <w:t>(18.1)</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(13.1)</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(36.2)</w:t>
            </w:r>
          </w:p>
        </w:tc>
        <w:tc>
          <w:tcPr>
            <w:tcW w:w="0" w:type="dxa"/>
            <w:vAlign w:val="bottom"/>
          </w:tcPr>
          <w:p>
            <w:pPr>
              <w:spacing w:after="0"/>
              <w:rPr>
                <w:sz w:val="1"/>
                <w:szCs w:val="1"/>
                <w:color w:val="auto"/>
              </w:rPr>
            </w:pPr>
          </w:p>
        </w:tc>
      </w:tr>
      <w:tr>
        <w:trPr>
          <w:trHeight w:val="326"/>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Free cash flow</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8"/>
                <w:szCs w:val="18"/>
                <w:color w:val="323E48"/>
              </w:rPr>
              <w:t>$ 215.8</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8"/>
                <w:szCs w:val="18"/>
                <w:color w:val="323E48"/>
              </w:rPr>
              <w:t>$ 305.9</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$ 342.8</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$ 427.8</w:t>
            </w:r>
          </w:p>
        </w:tc>
        <w:tc>
          <w:tcPr>
            <w:tcW w:w="0" w:type="dxa"/>
            <w:vAlign w:val="bottom"/>
          </w:tcPr>
          <w:p>
            <w:pPr>
              <w:spacing w:after="0"/>
              <w:rPr>
                <w:sz w:val="1"/>
                <w:szCs w:val="1"/>
                <w:color w:val="auto"/>
              </w:rPr>
            </w:pPr>
          </w:p>
        </w:tc>
      </w:tr>
      <w:tr>
        <w:trPr>
          <w:trHeight w:val="307"/>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Interest income on funds held for clients</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323E48"/>
              </w:rPr>
              <w:t>(76.6)</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0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323E48"/>
              </w:rPr>
              <w:t>(120.9)</w:t>
            </w:r>
          </w:p>
        </w:tc>
        <w:tc>
          <w:tcPr>
            <w:tcW w:w="1260" w:type="dxa"/>
            <w:vAlign w:val="bottom"/>
            <w:tcBorders>
              <w:top w:val="single" w:sz="8" w:color="D7D1C0"/>
              <w:left w:val="single" w:sz="8" w:color="D6D1CA"/>
              <w:right w:val="single" w:sz="8" w:color="D6D1CA"/>
            </w:tcBorders>
          </w:tcPr>
          <w:p>
            <w:pPr>
              <w:jc w:val="right"/>
              <w:ind w:right="22"/>
              <w:spacing w:after="0"/>
              <w:rPr>
                <w:sz w:val="20"/>
                <w:szCs w:val="20"/>
                <w:color w:val="auto"/>
              </w:rPr>
            </w:pPr>
            <w:r>
              <w:rPr>
                <w:rFonts w:ascii="Arial" w:cs="Arial" w:eastAsia="Arial" w:hAnsi="Arial"/>
                <w:sz w:val="16"/>
                <w:szCs w:val="16"/>
                <w:color w:val="323E48"/>
              </w:rPr>
              <w:t>(123.4)</w:t>
            </w:r>
          </w:p>
        </w:tc>
        <w:tc>
          <w:tcPr>
            <w:tcW w:w="1220" w:type="dxa"/>
            <w:vAlign w:val="bottom"/>
            <w:tcBorders>
              <w:top w:val="single" w:sz="8" w:color="D7D1C0"/>
            </w:tcBorders>
          </w:tcPr>
          <w:p>
            <w:pPr>
              <w:jc w:val="right"/>
              <w:ind w:right="22"/>
              <w:spacing w:after="0"/>
              <w:rPr>
                <w:sz w:val="20"/>
                <w:szCs w:val="20"/>
                <w:color w:val="auto"/>
              </w:rPr>
            </w:pPr>
            <w:r>
              <w:rPr>
                <w:rFonts w:ascii="Arial" w:cs="Arial" w:eastAsia="Arial" w:hAnsi="Arial"/>
                <w:sz w:val="16"/>
                <w:szCs w:val="16"/>
                <w:color w:val="323E48"/>
              </w:rPr>
              <w:t>(120.0)</w:t>
            </w:r>
          </w:p>
        </w:tc>
        <w:tc>
          <w:tcPr>
            <w:tcW w:w="0" w:type="dxa"/>
            <w:vAlign w:val="bottom"/>
          </w:tcPr>
          <w:p>
            <w:pPr>
              <w:spacing w:after="0"/>
              <w:rPr>
                <w:sz w:val="1"/>
                <w:szCs w:val="1"/>
                <w:color w:val="auto"/>
              </w:rPr>
            </w:pPr>
          </w:p>
        </w:tc>
      </w:tr>
      <w:tr>
        <w:trPr>
          <w:trHeight w:val="248"/>
        </w:trPr>
        <w:tc>
          <w:tcPr>
            <w:tcW w:w="492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323E48"/>
              </w:rPr>
              <w:t>Free cash flow excluding interest income</w:t>
            </w:r>
          </w:p>
        </w:tc>
        <w:tc>
          <w:tcPr>
            <w:tcW w:w="20" w:type="dxa"/>
            <w:vAlign w:val="bottom"/>
            <w:tcBorders>
              <w:top w:val="single" w:sz="8" w:color="D7D1C0"/>
            </w:tcBorders>
            <w:shd w:val="clear" w:color="auto" w:fill="D7D1C0"/>
          </w:tcPr>
          <w:p>
            <w:pPr>
              <w:spacing w:after="0"/>
              <w:rPr>
                <w:sz w:val="21"/>
                <w:szCs w:val="21"/>
                <w:color w:val="auto"/>
              </w:rPr>
            </w:pPr>
          </w:p>
        </w:tc>
        <w:tc>
          <w:tcPr>
            <w:tcW w:w="1200" w:type="dxa"/>
            <w:vAlign w:val="bottom"/>
            <w:tcBorders>
              <w:top w:val="single" w:sz="8" w:color="D7D1C0"/>
            </w:tcBorders>
            <w:vMerge w:val="restart"/>
          </w:tcPr>
          <w:p>
            <w:pPr>
              <w:jc w:val="right"/>
              <w:spacing w:after="0"/>
              <w:rPr>
                <w:sz w:val="20"/>
                <w:szCs w:val="20"/>
                <w:color w:val="auto"/>
              </w:rPr>
            </w:pPr>
            <w:r>
              <w:rPr>
                <w:rFonts w:ascii="Arial" w:cs="Arial" w:eastAsia="Arial" w:hAnsi="Arial"/>
                <w:sz w:val="18"/>
                <w:szCs w:val="18"/>
                <w:color w:val="323E48"/>
              </w:rPr>
              <w:t>$ 139.2</w:t>
            </w:r>
          </w:p>
        </w:tc>
        <w:tc>
          <w:tcPr>
            <w:tcW w:w="20" w:type="dxa"/>
            <w:vAlign w:val="bottom"/>
            <w:tcBorders>
              <w:top w:val="single" w:sz="8" w:color="D7D1C0"/>
            </w:tcBorders>
            <w:shd w:val="clear" w:color="auto" w:fill="D7D1C0"/>
          </w:tcPr>
          <w:p>
            <w:pPr>
              <w:spacing w:after="0"/>
              <w:rPr>
                <w:sz w:val="21"/>
                <w:szCs w:val="21"/>
                <w:color w:val="auto"/>
              </w:rPr>
            </w:pPr>
          </w:p>
        </w:tc>
        <w:tc>
          <w:tcPr>
            <w:tcW w:w="1200" w:type="dxa"/>
            <w:vAlign w:val="bottom"/>
            <w:tcBorders>
              <w:top w:val="single" w:sz="8" w:color="D7D1C0"/>
            </w:tcBorders>
            <w:vMerge w:val="restart"/>
          </w:tcPr>
          <w:p>
            <w:pPr>
              <w:jc w:val="right"/>
              <w:spacing w:after="0"/>
              <w:rPr>
                <w:sz w:val="20"/>
                <w:szCs w:val="20"/>
                <w:color w:val="auto"/>
              </w:rPr>
            </w:pPr>
            <w:r>
              <w:rPr>
                <w:rFonts w:ascii="Arial" w:cs="Arial" w:eastAsia="Arial" w:hAnsi="Arial"/>
                <w:sz w:val="18"/>
                <w:szCs w:val="18"/>
                <w:color w:val="323E48"/>
              </w:rPr>
              <w:t>$ 185.1</w:t>
            </w:r>
          </w:p>
        </w:tc>
        <w:tc>
          <w:tcPr>
            <w:tcW w:w="1260" w:type="dxa"/>
            <w:vAlign w:val="bottom"/>
            <w:tcBorders>
              <w:top w:val="single" w:sz="8" w:color="D7D1C0"/>
              <w:left w:val="single" w:sz="8" w:color="D6D1CA"/>
              <w:right w:val="single" w:sz="8" w:color="D6D1CA"/>
            </w:tcBorders>
            <w:vMerge w:val="restart"/>
          </w:tcPr>
          <w:p>
            <w:pPr>
              <w:jc w:val="right"/>
              <w:ind w:right="22"/>
              <w:spacing w:after="0"/>
              <w:rPr>
                <w:sz w:val="20"/>
                <w:szCs w:val="20"/>
                <w:color w:val="auto"/>
              </w:rPr>
            </w:pPr>
            <w:r>
              <w:rPr>
                <w:rFonts w:ascii="Arial" w:cs="Arial" w:eastAsia="Arial" w:hAnsi="Arial"/>
                <w:sz w:val="16"/>
                <w:szCs w:val="16"/>
                <w:color w:val="323E48"/>
              </w:rPr>
              <w:t>$ 219.3</w:t>
            </w:r>
          </w:p>
        </w:tc>
        <w:tc>
          <w:tcPr>
            <w:tcW w:w="1220" w:type="dxa"/>
            <w:vAlign w:val="bottom"/>
            <w:tcBorders>
              <w:top w:val="single" w:sz="8" w:color="D7D1C0"/>
            </w:tcBorders>
            <w:vMerge w:val="restart"/>
          </w:tcPr>
          <w:p>
            <w:pPr>
              <w:jc w:val="right"/>
              <w:ind w:right="22"/>
              <w:spacing w:after="0"/>
              <w:rPr>
                <w:sz w:val="20"/>
                <w:szCs w:val="20"/>
                <w:color w:val="auto"/>
              </w:rPr>
            </w:pPr>
            <w:r>
              <w:rPr>
                <w:rFonts w:ascii="Arial" w:cs="Arial" w:eastAsia="Arial" w:hAnsi="Arial"/>
                <w:sz w:val="16"/>
                <w:szCs w:val="16"/>
                <w:color w:val="323E48"/>
              </w:rPr>
              <w:t>$ 307.8</w:t>
            </w:r>
          </w:p>
        </w:tc>
        <w:tc>
          <w:tcPr>
            <w:tcW w:w="0" w:type="dxa"/>
            <w:vAlign w:val="bottom"/>
          </w:tcPr>
          <w:p>
            <w:pPr>
              <w:spacing w:after="0"/>
              <w:rPr>
                <w:sz w:val="1"/>
                <w:szCs w:val="1"/>
                <w:color w:val="auto"/>
              </w:rPr>
            </w:pPr>
          </w:p>
        </w:tc>
      </w:tr>
      <w:tr>
        <w:trPr>
          <w:trHeight w:val="141"/>
        </w:trPr>
        <w:tc>
          <w:tcPr>
            <w:tcW w:w="4920" w:type="dxa"/>
            <w:vAlign w:val="bottom"/>
            <w:vMerge w:val="restart"/>
          </w:tcPr>
          <w:p>
            <w:pPr>
              <w:ind w:left="100"/>
              <w:spacing w:after="0"/>
              <w:rPr>
                <w:sz w:val="20"/>
                <w:szCs w:val="20"/>
                <w:color w:val="auto"/>
              </w:rPr>
            </w:pPr>
            <w:r>
              <w:rPr>
                <w:rFonts w:ascii="Arial" w:cs="Arial" w:eastAsia="Arial" w:hAnsi="Arial"/>
                <w:sz w:val="16"/>
                <w:szCs w:val="16"/>
                <w:color w:val="323E48"/>
              </w:rPr>
              <w:t>on funds held for clients</w:t>
            </w:r>
          </w:p>
        </w:tc>
        <w:tc>
          <w:tcPr>
            <w:tcW w:w="20" w:type="dxa"/>
            <w:vAlign w:val="bottom"/>
            <w:shd w:val="clear" w:color="auto" w:fill="D7D1C0"/>
          </w:tcPr>
          <w:p>
            <w:pPr>
              <w:spacing w:after="0"/>
              <w:rPr>
                <w:sz w:val="12"/>
                <w:szCs w:val="12"/>
                <w:color w:val="auto"/>
              </w:rPr>
            </w:pPr>
          </w:p>
        </w:tc>
        <w:tc>
          <w:tcPr>
            <w:tcW w:w="1200" w:type="dxa"/>
            <w:vAlign w:val="bottom"/>
            <w:vMerge w:val="continue"/>
          </w:tcPr>
          <w:p>
            <w:pPr>
              <w:spacing w:after="0"/>
              <w:rPr>
                <w:sz w:val="12"/>
                <w:szCs w:val="12"/>
                <w:color w:val="auto"/>
              </w:rPr>
            </w:pPr>
          </w:p>
        </w:tc>
        <w:tc>
          <w:tcPr>
            <w:tcW w:w="20" w:type="dxa"/>
            <w:vAlign w:val="bottom"/>
            <w:shd w:val="clear" w:color="auto" w:fill="D7D1C0"/>
          </w:tcPr>
          <w:p>
            <w:pPr>
              <w:spacing w:after="0"/>
              <w:rPr>
                <w:sz w:val="12"/>
                <w:szCs w:val="12"/>
                <w:color w:val="auto"/>
              </w:rPr>
            </w:pPr>
          </w:p>
        </w:tc>
        <w:tc>
          <w:tcPr>
            <w:tcW w:w="1200" w:type="dxa"/>
            <w:vAlign w:val="bottom"/>
            <w:vMerge w:val="continue"/>
          </w:tcPr>
          <w:p>
            <w:pPr>
              <w:spacing w:after="0"/>
              <w:rPr>
                <w:sz w:val="12"/>
                <w:szCs w:val="12"/>
                <w:color w:val="auto"/>
              </w:rPr>
            </w:pPr>
          </w:p>
        </w:tc>
        <w:tc>
          <w:tcPr>
            <w:tcW w:w="1260" w:type="dxa"/>
            <w:vAlign w:val="bottom"/>
            <w:tcBorders>
              <w:left w:val="single" w:sz="8" w:color="D6D1CA"/>
              <w:right w:val="single" w:sz="8" w:color="D6D1CA"/>
            </w:tcBorders>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920" w:type="dxa"/>
            <w:vAlign w:val="bottom"/>
            <w:vMerge w:val="continue"/>
          </w:tcPr>
          <w:p>
            <w:pPr>
              <w:spacing w:after="0"/>
              <w:rPr>
                <w:sz w:val="8"/>
                <w:szCs w:val="8"/>
                <w:color w:val="auto"/>
              </w:rPr>
            </w:pPr>
          </w:p>
        </w:tc>
        <w:tc>
          <w:tcPr>
            <w:tcW w:w="20" w:type="dxa"/>
            <w:vAlign w:val="bottom"/>
            <w:tcBorders>
              <w:bottom w:val="single" w:sz="8" w:color="D7D1C0"/>
            </w:tcBorders>
            <w:shd w:val="clear" w:color="auto" w:fill="D7D1C0"/>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Borders>
              <w:bottom w:val="single" w:sz="8" w:color="D7D1C0"/>
            </w:tcBorders>
            <w:shd w:val="clear" w:color="auto" w:fill="D7D1C0"/>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tcBorders>
              <w:left w:val="single" w:sz="8" w:color="D6D1CA"/>
              <w:right w:val="single" w:sz="8" w:color="D6D1CA"/>
            </w:tcBorders>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0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00" w:type="dxa"/>
            <w:vAlign w:val="bottom"/>
            <w:shd w:val="clear" w:color="auto" w:fill="D7D1C0"/>
          </w:tcPr>
          <w:p>
            <w:pPr>
              <w:spacing w:after="0" w:line="20" w:lineRule="exact"/>
              <w:rPr>
                <w:sz w:val="1"/>
                <w:szCs w:val="1"/>
                <w:color w:val="auto"/>
              </w:rPr>
            </w:pPr>
          </w:p>
        </w:tc>
        <w:tc>
          <w:tcPr>
            <w:tcW w:w="1260" w:type="dxa"/>
            <w:vAlign w:val="bottom"/>
            <w:tcBorders>
              <w:left w:val="single" w:sz="8" w:color="D7D1C0"/>
              <w:right w:val="single" w:sz="8" w:color="D7D1C0"/>
            </w:tcBorders>
            <w:shd w:val="clear" w:color="auto" w:fill="D7D1C0"/>
          </w:tcPr>
          <w:p>
            <w:pPr>
              <w:spacing w:after="0" w:line="20" w:lineRule="exact"/>
              <w:rPr>
                <w:sz w:val="1"/>
                <w:szCs w:val="1"/>
                <w:color w:val="auto"/>
              </w:rPr>
            </w:pPr>
          </w:p>
        </w:tc>
        <w:tc>
          <w:tcPr>
            <w:tcW w:w="1220" w:type="dxa"/>
            <w:vAlign w:val="bottom"/>
            <w:shd w:val="clear" w:color="auto" w:fill="D7D1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ectPr>
          <w:pgSz w:w="11880" w:h="15475" w:orient="portrait"/>
          <w:cols w:equalWidth="0" w:num="1">
            <w:col w:w="9840"/>
          </w:cols>
          <w:pgMar w:left="1020" w:top="1115" w:right="1015" w:bottom="495" w:gutter="0" w:footer="0" w:header="0"/>
        </w:sectPr>
      </w:pPr>
    </w:p>
    <w:p>
      <w:pPr>
        <w:spacing w:after="0"/>
        <w:rPr>
          <w:sz w:val="20"/>
          <w:szCs w:val="20"/>
          <w:color w:val="auto"/>
        </w:rPr>
      </w:pPr>
      <w:r>
        <w:rPr>
          <w:rFonts w:ascii="Arial" w:cs="Arial" w:eastAsia="Arial" w:hAnsi="Arial"/>
          <w:sz w:val="16"/>
          <w:szCs w:val="16"/>
          <w:color w:val="756F73"/>
        </w:rPr>
        <w:t>Totals may not recalculate due to rounding.</w:t>
      </w:r>
    </w:p>
    <w:p>
      <w:pPr>
        <w:sectPr>
          <w:pgSz w:w="11880" w:h="15475" w:orient="portrait"/>
          <w:cols w:equalWidth="0" w:num="1">
            <w:col w:w="9840"/>
          </w:cols>
          <w:pgMar w:left="1020" w:top="1115" w:right="1015" w:bottom="495"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6">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
        <w:spacing w:after="0"/>
        <w:rPr>
          <w:sz w:val="20"/>
          <w:szCs w:val="20"/>
          <w:color w:val="auto"/>
        </w:rPr>
      </w:pPr>
      <w:r>
        <w:rPr>
          <w:rFonts w:ascii="Arial" w:cs="Arial" w:eastAsia="Arial" w:hAnsi="Arial"/>
          <w:sz w:val="37"/>
          <w:szCs w:val="37"/>
          <w:color w:val="323E48"/>
        </w:rPr>
        <w:t>Forward Together.</w:t>
      </w:r>
    </w:p>
    <w:p>
      <w:pPr>
        <w:sectPr>
          <w:pgSz w:w="11880" w:h="15475" w:orient="portrait"/>
          <w:cols w:equalWidth="0" w:num="1">
            <w:col w:w="8995"/>
          </w:cols>
          <w:pgMar w:left="1440" w:top="1440" w:right="1440" w:bottom="1440" w:gutter="0" w:footer="0" w:header="0"/>
        </w:sectPr>
      </w:pPr>
    </w:p>
    <w:p>
      <w:pPr>
        <w:spacing w:after="0" w:line="286"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323E48"/>
        </w:rPr>
        <w:t>1400 American Lane</w:t>
      </w:r>
    </w:p>
    <w:p>
      <w:pPr>
        <w:spacing w:after="0" w:line="24"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323E48"/>
        </w:rPr>
        <w:t>Schaumburg, IL 60173</w:t>
      </w:r>
    </w:p>
    <w:p>
      <w:pPr>
        <w:spacing w:after="0" w:line="287"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323E48"/>
        </w:rPr>
        <w:t>paylocity.com</w:t>
      </w:r>
    </w:p>
    <w:p>
      <w:pPr>
        <w:spacing w:after="0" w:line="287"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323E48"/>
        </w:rPr>
        <w:t>investors.paylocity.com</w:t>
      </w:r>
    </w:p>
    <w:sectPr>
      <w:pgSz w:w="11880" w:h="15475" w:orient="portrait"/>
      <w:cols w:equalWidth="0" w:num="1">
        <w:col w:w="8995"/>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lowerLetter"/>
      <w:start w:val="1"/>
    </w:lvl>
    <w:lvl w:ilvl="1">
      <w:lvlJc w:val="left"/>
      <w:lvlText w:val="(%2)"/>
      <w:numFmt w:val="decimal"/>
      <w:start w:val="1"/>
    </w:lvl>
  </w:abstractNum>
  <w:abstractNum w:abstractNumId="16">
    <w:nsid w:val="614FD4A1"/>
    <w:multiLevelType w:val="hybridMultilevel"/>
    <w:lvl w:ilvl="0">
      <w:lvlJc w:val="left"/>
      <w:lvlText w:val="(%1)"/>
      <w:numFmt w:val="decimal"/>
      <w:start w:val="2"/>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2"/>
    </w:lvl>
  </w:abstractNum>
  <w:abstractNum w:abstractNumId="20">
    <w:nsid w:val="5072367"/>
    <w:multiLevelType w:val="hybridMultilevel"/>
    <w:lvl w:ilvl="0">
      <w:lvlJc w:val="left"/>
      <w:lvlText w:val="(%1)"/>
      <w:numFmt w:val="lowerLetter"/>
      <w:start w:val="3"/>
    </w:lvl>
  </w:abstractNum>
  <w:abstractNum w:abstractNumId="21">
    <w:nsid w:val="3804823E"/>
    <w:multiLevelType w:val="hybridMultilevel"/>
    <w:lvl w:ilvl="0">
      <w:lvlJc w:val="left"/>
      <w:lvlText w:val="(%1)"/>
      <w:numFmt w:val="lowerLetter"/>
      <w:start w:val="4"/>
    </w:lvl>
  </w:abstractNum>
  <w:abstractNum w:abstractNumId="22">
    <w:nsid w:val="77465F01"/>
    <w:multiLevelType w:val="hybridMultilevel"/>
    <w:lvl w:ilvl="0">
      <w:lvlJc w:val="left"/>
      <w:lvlText w:val="(%1)"/>
      <w:numFmt w:val="lowerLetter"/>
      <w:start w:val="5"/>
    </w:lvl>
  </w:abstractNum>
  <w:abstractNum w:abstractNumId="23">
    <w:nsid w:val="7724C67E"/>
    <w:multiLevelType w:val="hybridMultilevel"/>
    <w:lvl w:ilvl="0">
      <w:lvlJc w:val="left"/>
      <w:lvlText w:val="(%1)"/>
      <w:numFmt w:val="lowerLetter"/>
      <w:start w:val="6"/>
    </w:lvl>
  </w:abstractNum>
  <w:abstractNum w:abstractNumId="24">
    <w:nsid w:val="5C482A97"/>
    <w:multiLevelType w:val="hybridMultilevel"/>
    <w:lvl w:ilvl="0">
      <w:lvlJc w:val="left"/>
      <w:lvlText w:val="(%1)"/>
      <w:numFmt w:val="lowerLetter"/>
      <w:start w:val="7"/>
    </w:lvl>
  </w:abstractNum>
  <w:abstractNum w:abstractNumId="25">
    <w:nsid w:val="2463B9EA"/>
    <w:multiLevelType w:val="hybridMultilevel"/>
    <w:lvl w:ilvl="0">
      <w:lvlJc w:val="left"/>
      <w:lvlText w:val="(%1)"/>
      <w:numFmt w:val="lowerLetter"/>
      <w:start w:val="8"/>
    </w:lvl>
  </w:abstractNum>
  <w:abstractNum w:abstractNumId="26">
    <w:nsid w:val="5E884ADC"/>
    <w:multiLevelType w:val="hybridMultilevel"/>
    <w:lvl w:ilvl="0">
      <w:lvlJc w:val="left"/>
      <w:lvlText w:val="(%1)"/>
      <w:numFmt w:val="lowerRoman"/>
      <w:start w:val="1"/>
    </w:lvl>
  </w:abstractNum>
  <w:abstractNum w:abstractNumId="27">
    <w:nsid w:val="51EAD36B"/>
    <w:multiLevelType w:val="hybridMultilevel"/>
    <w:lvl w:ilvl="0">
      <w:lvlJc w:val="left"/>
      <w:lvlText w:val="(%1)"/>
      <w:numFmt w:val="lowerLetter"/>
      <w:start w:val="10"/>
    </w:lvl>
  </w:abstractNum>
  <w:abstractNum w:abstractNumId="28">
    <w:nsid w:val="2D517796"/>
    <w:multiLevelType w:val="hybridMultilevel"/>
    <w:lvl w:ilvl="0">
      <w:lvlJc w:val="left"/>
      <w:lvlText w:val="(%1)"/>
      <w:numFmt w:val="lowerLetter"/>
      <w:start w:val="11"/>
    </w:lvl>
  </w:abstractNum>
  <w:abstractNum w:abstractNumId="29">
    <w:nsid w:val="580BD78F"/>
    <w:multiLevelType w:val="hybridMultilevel"/>
    <w:lvl w:ilvl="0">
      <w:lvlJc w:val="left"/>
      <w:lvlText w:val="(%1)"/>
      <w:numFmt w:val="lowerLetter"/>
      <w:start w:val="12"/>
    </w:lvl>
  </w:abstractNum>
  <w:abstractNum w:abstractNumId="30">
    <w:nsid w:val="153EA438"/>
    <w:multiLevelType w:val="hybridMultilevel"/>
    <w:lvl w:ilvl="0">
      <w:lvlJc w:val="left"/>
      <w:lvlText w:val="(%1)"/>
      <w:numFmt w:val="lowerLetter"/>
      <w:start w:val="13"/>
    </w:lvl>
  </w:abstractNum>
  <w:abstractNum w:abstractNumId="31">
    <w:nsid w:val="3855585C"/>
    <w:multiLevelType w:val="hybridMultilevel"/>
    <w:lvl w:ilvl="0">
      <w:lvlJc w:val="left"/>
      <w:lvlText w:val="(%1)"/>
      <w:numFmt w:val="lowerLetter"/>
      <w:start w:val="14"/>
    </w:lvl>
  </w:abstractNum>
  <w:abstractNum w:abstractNumId="32">
    <w:nsid w:val="70A64E2A"/>
    <w:multiLevelType w:val="hybridMultilevel"/>
    <w:lvl w:ilvl="0">
      <w:lvlJc w:val="left"/>
      <w:lvlText w:val="(%1)"/>
      <w:numFmt w:val="lowerLetter"/>
      <w:start w:val="15"/>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lowerLetter"/>
      <w:start w:val="16"/>
    </w:lvl>
  </w:abstractNum>
  <w:abstractNum w:abstractNumId="35">
    <w:nsid w:val="1D4ED43B"/>
    <w:multiLevelType w:val="hybridMultilevel"/>
    <w:lvl w:ilvl="0">
      <w:lvlJc w:val="left"/>
      <w:lvlText w:val="(%1)"/>
      <w:numFmt w:val="lowerLetter"/>
      <w:start w:val="17"/>
    </w:lvl>
  </w:abstractNum>
  <w:abstractNum w:abstractNumId="36">
    <w:nsid w:val="725A06FB"/>
    <w:multiLevelType w:val="hybridMultilevel"/>
    <w:lvl w:ilvl="0">
      <w:lvlJc w:val="left"/>
      <w:lvlText w:val="(%1)"/>
      <w:numFmt w:val="lowerLetter"/>
      <w:start w:val="18"/>
    </w:lvl>
  </w:abstractNum>
  <w:abstractNum w:abstractNumId="37">
    <w:nsid w:val="2CD89A32"/>
    <w:multiLevelType w:val="hybridMultilevel"/>
    <w:lvl w:ilvl="0">
      <w:lvlJc w:val="left"/>
      <w:lvlText w:val="(%1)"/>
      <w:numFmt w:val="lowerLetter"/>
      <w:start w:val="19"/>
    </w:lvl>
  </w:abstractNum>
  <w:abstractNum w:abstractNumId="38">
    <w:nsid w:val="57E4CCAF"/>
    <w:multiLevelType w:val="hybridMultilevel"/>
    <w:lvl w:ilvl="0">
      <w:lvlJc w:val="left"/>
      <w:lvlText w:val="(%1)"/>
      <w:numFmt w:val="lowerLetter"/>
      <w:start w:val="20"/>
    </w:lvl>
  </w:abstractNum>
  <w:abstractNum w:abstractNumId="39">
    <w:nsid w:val="7A6D8D3C"/>
    <w:multiLevelType w:val="hybridMultilevel"/>
    <w:lvl w:ilvl="0">
      <w:lvlJc w:val="left"/>
      <w:lvlText w:val="(%1)"/>
      <w:numFmt w:val="lowerLetter"/>
      <w:start w:val="21"/>
    </w:lvl>
  </w:abstractNum>
  <w:abstractNum w:abstractNumId="40">
    <w:nsid w:val="4B588F54"/>
    <w:multiLevelType w:val="hybridMultilevel"/>
    <w:lvl w:ilvl="0">
      <w:lvlJc w:val="left"/>
      <w:lvlText w:val="(%1)"/>
      <w:numFmt w:val="lowerRoman"/>
      <w:start w:val="5"/>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lowerLetter"/>
      <w:start w:val="5"/>
    </w:lvl>
  </w:abstractNum>
  <w:abstractNum w:abstractNumId="45">
    <w:nsid w:val="32FFF902"/>
    <w:multiLevelType w:val="hybridMultilevel"/>
    <w:lvl w:ilvl="0">
      <w:lvlJc w:val="left"/>
      <w:lvlText w:val="(%1)"/>
      <w:numFmt w:val="decimal"/>
      <w:start w:val="15"/>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2"/>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2"/>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2026-10-23T18:39:05Z</dcterms:created>
  <dcterms:modified xsi:type="dcterms:W3CDTF">2026-10-23T18:39:05Z</dcterms:modified>
</cp:coreProperties>
</file>