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Exchange Act of 1934</w:t>
      </w:r>
    </w:p>
    <w:p>
      <w:pPr>
        <w:pStyle w:val="TextBody"/>
        <w:bidi w:val="0"/>
        <w:spacing w:lineRule="auto" w:line="288" w:before="200" w:after="283"/>
        <w:jc w:val="center"/>
        <w:rPr/>
      </w:pPr>
      <w:r>
        <w:rPr>
          <w:rFonts w:ascii="Times New Roman;serif" w:hAnsi="Times New Roman;serif"/>
          <w:b w:val="false"/>
          <w:color w:val="000000"/>
          <w:sz w:val="20"/>
          <w:shd w:fill="FFFFFF" w:val="clear"/>
        </w:rPr>
        <w:t>Date of Report (Date of earliest event reported): </w:t>
      </w:r>
      <w:r>
        <w:rPr>
          <w:rFonts w:ascii="Times New Roman;serif" w:hAnsi="Times New Roman;serif"/>
          <w:b/>
          <w:color w:val="000000"/>
          <w:sz w:val="20"/>
          <w:shd w:fill="FFFFFF" w:val="clear"/>
        </w:rPr>
        <w:t>February 5, 2026</w:t>
      </w:r>
    </w:p>
    <w:p>
      <w:pPr>
        <w:pStyle w:val="TextBody"/>
        <w:bidi w:val="0"/>
        <w:spacing w:lineRule="auto" w:line="288" w:before="200" w:after="283"/>
        <w:jc w:val="center"/>
        <w:rPr/>
      </w:pPr>
      <w:r>
        <w:rPr>
          <w:rFonts w:ascii="Times New Roman;serif" w:hAnsi="Times New Roman;serif"/>
          <w:b/>
          <w:color w:val="000000"/>
          <w:sz w:val="36"/>
        </w:rPr>
        <w:t>PAYLOCITY</w:t>
      </w:r>
      <w:r>
        <w:rPr>
          <w:color w:val="000000"/>
          <w:shd w:fill="FFFFFF" w:val="clear"/>
        </w:rPr>
        <w:t xml:space="preserve"> </w:t>
      </w:r>
      <w:r>
        <w:rPr>
          <w:rFonts w:ascii="Times New Roman;serif" w:hAnsi="Times New Roman;serif"/>
          <w:b/>
          <w:color w:val="000000"/>
          <w:sz w:val="36"/>
          <w:shd w:fill="FFFFFF" w:val="clear"/>
        </w:rPr>
        <w:t>HOLDING CORPORATION</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7483" w:type="dxa"/>
        <w:jc w:val="left"/>
        <w:tblInd w:w="0" w:type="dxa"/>
        <w:tblLayout w:type="fixed"/>
        <w:tblCellMar>
          <w:top w:w="28" w:type="dxa"/>
          <w:left w:w="28" w:type="dxa"/>
          <w:bottom w:w="28" w:type="dxa"/>
          <w:right w:w="28" w:type="dxa"/>
        </w:tblCellMar>
      </w:tblPr>
      <w:tblGrid>
        <w:gridCol w:w="922"/>
        <w:gridCol w:w="810"/>
        <w:gridCol w:w="818"/>
        <w:gridCol w:w="762"/>
        <w:gridCol w:w="762"/>
        <w:gridCol w:w="770"/>
        <w:gridCol w:w="770"/>
        <w:gridCol w:w="770"/>
        <w:gridCol w:w="1099"/>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001-36348</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46-4066644</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w:t>
              <w:br/>
              <w:t>Number)</w:t>
            </w:r>
          </w:p>
        </w:tc>
      </w:tr>
    </w:tbl>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1400 American Lane</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Schaumburg, Illinois 60173</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 including zip code)</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(847) 463-3200</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or former address, if changed since last report)</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9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PCTY</w:t>
            </w:r>
          </w:p>
        </w:tc>
        <w:tc>
          <w:tcPr>
            <w:tcW w:w="3825"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 LLC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shd w:fill="FFFFFF" w:val="clear"/>
        </w:rPr>
        <w:t>Emerging growth company</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2.02 Results of Operations and Financial Condition.</w:t>
      </w:r>
    </w:p>
    <w:p>
      <w:pPr>
        <w:pStyle w:val="TextBody"/>
        <w:bidi w:val="0"/>
        <w:spacing w:lineRule="auto" w:line="288" w:before="200" w:after="240"/>
        <w:ind w:left="0" w:right="0" w:firstLine="720"/>
        <w:jc w:val="left"/>
        <w:rPr/>
      </w:pPr>
      <w:r>
        <w:rPr>
          <w:rFonts w:ascii="Times New Roman;serif" w:hAnsi="Times New Roman;serif"/>
          <w:b w:val="false"/>
          <w:color w:val="000000"/>
          <w:sz w:val="20"/>
          <w:shd w:fill="FFFFFF" w:val="clear"/>
        </w:rPr>
        <w:t>On February 5, 2026, Paylocity Holding Corporation (the “</w:t>
      </w:r>
      <w:r>
        <w:rPr>
          <w:rFonts w:ascii="Times New Roman;serif" w:hAnsi="Times New Roman;serif"/>
          <w:b/>
          <w:i/>
          <w:color w:val="000000"/>
          <w:sz w:val="20"/>
          <w:shd w:fill="FFFFFF" w:val="clear"/>
        </w:rPr>
        <w:t>Company</w:t>
      </w:r>
      <w:r>
        <w:rPr>
          <w:color w:val="000000"/>
          <w:shd w:fill="FFFFFF" w:val="clear"/>
        </w:rPr>
        <w:t>”</w:t>
      </w:r>
      <w:r>
        <w:rPr>
          <w:rFonts w:ascii="Times New Roman;serif" w:hAnsi="Times New Roman;serif"/>
          <w:b w:val="false"/>
          <w:color w:val="000000"/>
          <w:sz w:val="20"/>
          <w:shd w:fill="FFFFFF" w:val="clear"/>
        </w:rPr>
        <w:t>) issued a press release announcing financial results for the three and six month period ended December 31, 2025. The press release contains forward-looking statements regarding the Company and includes cautionary statements identifying important factors that could cause actual results to differ materially from those anticipated.</w:t>
      </w:r>
    </w:p>
    <w:p>
      <w:pPr>
        <w:pStyle w:val="TextBody"/>
        <w:bidi w:val="0"/>
        <w:spacing w:lineRule="auto" w:line="288" w:before="20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press release issued February 5, 2026 is furnished herewith as Exhibit 99.1. The information in this Item 2.02, including Exhibit 99.1, is being furnished and shall not be deemed filed for purposes of Section 18 of the Securities Exchange Act of 1934 or otherwise subject to the liability of that Section, nor shall such information be deemed to be incorporated by reference in any registration statement or other document filed under the Securities Act of 1933 or the Securities Exchange Act of 1934, except as otherwise stated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 Exhibits.</w:t>
      </w:r>
    </w:p>
    <w:tbl>
      <w:tblPr>
        <w:tblW w:w="799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2"/>
        <w:gridCol w:w="1922"/>
        <w:gridCol w:w="274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pPr>
            <w:hyperlink w:anchor="pcty-20260205xex991.htm">
              <w:r>
                <w:rPr>
                  <w:rStyle w:val="InternetLink"/>
                  <w:rFonts w:ascii="Times New Roman;serif" w:hAnsi="Times New Roman;serif"/>
                  <w:b w:val="false"/>
                  <w:color w:val="0000FF"/>
                  <w:sz w:val="20"/>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pPr>
            <w:hyperlink w:anchor="pcty-20260205xex991.htm">
              <w:r>
                <w:rPr>
                  <w:rStyle w:val="InternetLink"/>
                  <w:rFonts w:ascii="Times New Roman;serif" w:hAnsi="Times New Roman;serif"/>
                  <w:b w:val="false"/>
                  <w:color w:val="000080"/>
                  <w:sz w:val="20"/>
                  <w:u w:val="single"/>
                </w:rPr>
                <w:t xml:space="preserve">Press Release issued by Paylocity Holding Corporation dated </w:t>
              </w:r>
            </w:hyperlink>
            <w:hyperlink w:anchor="pcty-20260205xex991.htm">
              <w:r>
                <w:rPr>
                  <w:rStyle w:val="InternetLink"/>
                  <w:rFonts w:ascii="Times New Roman;serif" w:hAnsi="Times New Roman;serif"/>
                  <w:b w:val="false"/>
                  <w:color w:val="000080"/>
                  <w:sz w:val="20"/>
                  <w:u w:val="single"/>
                </w:rPr>
                <w:t>February</w:t>
              </w:r>
            </w:hyperlink>
            <w:hyperlink w:anchor="pcty-20260205xex991.htm">
              <w:r>
                <w:rPr>
                  <w:rStyle w:val="InternetLink"/>
                  <w:rFonts w:ascii="Times New Roman;serif" w:hAnsi="Times New Roman;serif"/>
                  <w:b w:val="false"/>
                  <w:color w:val="000080"/>
                  <w:sz w:val="20"/>
                  <w:u w:val="single"/>
                </w:rPr>
                <w:t xml:space="preserve"> </w:t>
              </w:r>
            </w:hyperlink>
            <w:hyperlink w:anchor="pcty-20260205xex991.htm">
              <w:r>
                <w:rPr>
                  <w:rStyle w:val="InternetLink"/>
                  <w:rFonts w:ascii="Times New Roman;serif" w:hAnsi="Times New Roman;serif"/>
                  <w:b w:val="false"/>
                  <w:color w:val="000080"/>
                  <w:sz w:val="20"/>
                  <w:u w:val="single"/>
                </w:rPr>
                <w:t>5</w:t>
              </w:r>
            </w:hyperlink>
            <w:hyperlink w:anchor="pcty-20260205xex991.htm">
              <w:r>
                <w:rPr>
                  <w:rStyle w:val="InternetLink"/>
                  <w:rFonts w:ascii="Times New Roman;serif" w:hAnsi="Times New Roman;serif"/>
                  <w:b w:val="false"/>
                  <w:color w:val="000080"/>
                  <w:sz w:val="20"/>
                  <w:u w:val="single"/>
                </w:rPr>
                <w:t>, 202</w:t>
              </w:r>
            </w:hyperlink>
            <w:hyperlink w:anchor="pcty-20260205xex991.htm">
              <w:r>
                <w:rPr>
                  <w:rStyle w:val="InternetLink"/>
                  <w:rFonts w:ascii="Times New Roman;serif" w:hAnsi="Times New Roman;serif"/>
                  <w:b w:val="false"/>
                  <w:color w:val="000080"/>
                  <w:sz w:val="20"/>
                  <w:u w:val="single"/>
                </w:rPr>
                <w:t>6</w:t>
              </w:r>
            </w:hyperlink>
            <w:hyperlink w:anchor="pcty-20260205xex991.htm">
              <w:r>
                <w:rPr>
                  <w:rStyle w:val="InternetLink"/>
                  <w:rFonts w:ascii="Times New Roman;serif" w:hAnsi="Times New Roman;serif"/>
                  <w:b w:val="false"/>
                  <w:color w:val="000080"/>
                  <w:sz w:val="20"/>
                  <w:u w:val="single"/>
                </w:rPr>
                <w:t>.</w:t>
              </w:r>
            </w:hyperlink>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as amended, the registrant has duly caused this report to be signed on its behalf by the undersigned hereunto duly authorized.</w:t>
      </w:r>
    </w:p>
    <w:tbl>
      <w:tblPr>
        <w:tblW w:w="5924" w:type="dxa"/>
        <w:jc w:val="left"/>
        <w:tblInd w:w="0" w:type="dxa"/>
        <w:tblLayout w:type="fixed"/>
        <w:tblCellMar>
          <w:top w:w="28" w:type="dxa"/>
          <w:left w:w="28" w:type="dxa"/>
          <w:bottom w:w="28" w:type="dxa"/>
          <w:right w:w="28" w:type="dxa"/>
        </w:tblCellMar>
      </w:tblPr>
      <w:tblGrid>
        <w:gridCol w:w="716"/>
        <w:gridCol w:w="630"/>
        <w:gridCol w:w="634"/>
        <w:gridCol w:w="134"/>
        <w:gridCol w:w="134"/>
        <w:gridCol w:w="136"/>
        <w:gridCol w:w="1037"/>
        <w:gridCol w:w="1037"/>
        <w:gridCol w:w="1466"/>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PAYLOCITY HOLDING CORPORATION</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5,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Glenn</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Glenn</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 </w:t>
      </w:r>
    </w:p>
    <w:p>
      <w:pPr>
        <w:pStyle w:val="TextBody"/>
        <w:bidi w:val="0"/>
        <w:spacing w:before="0" w:after="0"/>
        <w:jc w:val="right"/>
        <w:rPr/>
      </w:pPr>
      <w:r>
        <w:rPr/>
      </w:r>
    </w:p>
    <w:p>
      <w:pPr>
        <w:pStyle w:val="TextBody"/>
        <w:bidi w:val="0"/>
        <w:spacing w:before="0" w:after="0"/>
        <w:jc w:val="center"/>
        <w:rPr/>
      </w:pPr>
      <w:r>
        <w:rPr/>
        <w:drawing>
          <wp:inline distT="0" distB="0" distL="0" distR="0">
            <wp:extent cx="2447925" cy="7048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47925" cy="704850"/>
                    </a:xfrm>
                    <a:prstGeom prst="rect">
                      <a:avLst/>
                    </a:prstGeom>
                  </pic:spPr>
                </pic:pic>
              </a:graphicData>
            </a:graphic>
          </wp:inline>
        </w:drawing>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press release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Paylocity Announces Second Quarter Fiscal Year 2026 Financial Results</w:t>
      </w:r>
    </w:p>
    <w:p>
      <w:pPr>
        <w:pStyle w:val="TextBody"/>
        <w:bidi w:val="0"/>
        <w:spacing w:lineRule="auto" w:line="288" w:before="200" w:after="283"/>
        <w:ind w:left="0" w:right="0" w:hanging="540"/>
        <w:jc w:val="left"/>
        <w:rPr/>
      </w:pPr>
      <w:r>
        <w:rPr>
          <w:color w:val="000000"/>
        </w:rPr>
        <w:t>•</w:t>
      </w:r>
      <w:r>
        <w:rPr>
          <w:rFonts w:ascii="Times New Roman;serif" w:hAnsi="Times New Roman;serif"/>
          <w:b/>
          <w:color w:val="000000"/>
          <w:sz w:val="20"/>
        </w:rPr>
        <w:t>Q2 2026 Recurring &amp; Other Revenue of $387.0 million, up 11.3% year-over-year</w:t>
      </w:r>
    </w:p>
    <w:p>
      <w:pPr>
        <w:pStyle w:val="TextBody"/>
        <w:bidi w:val="0"/>
        <w:spacing w:lineRule="auto" w:line="288" w:before="0" w:after="0"/>
        <w:ind w:left="0" w:right="0" w:hanging="540"/>
        <w:jc w:val="left"/>
        <w:rPr/>
      </w:pPr>
      <w:r>
        <w:rPr>
          <w:color w:val="000000"/>
        </w:rPr>
        <w:t>•</w:t>
      </w:r>
      <w:r>
        <w:rPr>
          <w:rFonts w:ascii="Times New Roman;serif" w:hAnsi="Times New Roman;serif"/>
          <w:b/>
          <w:color w:val="000000"/>
          <w:sz w:val="20"/>
        </w:rPr>
        <w:t>Q2 2026 Total Revenue of $416.1 million, up 10.4% year-over-year</w:t>
      </w:r>
    </w:p>
    <w:p>
      <w:pPr>
        <w:pStyle w:val="TextBody"/>
        <w:bidi w:val="0"/>
        <w:spacing w:lineRule="auto" w:line="288" w:before="0" w:after="0"/>
        <w:ind w:left="0" w:right="0" w:hanging="540"/>
        <w:jc w:val="left"/>
        <w:rPr/>
      </w:pPr>
      <w:r>
        <w:rPr>
          <w:color w:val="000000"/>
        </w:rPr>
        <w:t>•</w:t>
      </w:r>
      <w:r>
        <w:rPr>
          <w:rFonts w:ascii="Times New Roman;serif" w:hAnsi="Times New Roman;serif"/>
          <w:b/>
          <w:color w:val="000000"/>
          <w:sz w:val="20"/>
        </w:rPr>
        <w:t>Continued growth in cash flows - trailing twelve months net cash provided by operating activities margin of 28.3% and free cash flow margin of 23.6%</w:t>
      </w:r>
    </w:p>
    <w:p>
      <w:pPr>
        <w:pStyle w:val="TextBody"/>
        <w:bidi w:val="0"/>
        <w:spacing w:lineRule="auto" w:line="288" w:before="0" w:after="0"/>
        <w:ind w:left="0" w:right="0" w:hanging="540"/>
        <w:jc w:val="left"/>
        <w:rPr/>
      </w:pPr>
      <w:r>
        <w:rPr>
          <w:color w:val="000000"/>
        </w:rPr>
        <w:t>•</w:t>
      </w:r>
      <w:r>
        <w:rPr>
          <w:rFonts w:ascii="Times New Roman;serif" w:hAnsi="Times New Roman;serif"/>
          <w:b/>
          <w:color w:val="000000"/>
          <w:sz w:val="20"/>
        </w:rPr>
        <w:t>Repurchased $100 million or 690,000 shares in Q2 2026; $600 million or 3.7 million shares repurchased since May 2024</w:t>
      </w:r>
    </w:p>
    <w:p>
      <w:pPr>
        <w:pStyle w:val="TextBody"/>
        <w:bidi w:val="0"/>
        <w:spacing w:lineRule="auto" w:line="288" w:before="200" w:after="283"/>
        <w:jc w:val="left"/>
        <w:rPr/>
      </w:pPr>
      <w:r>
        <w:rPr>
          <w:rFonts w:ascii="Times New Roman;serif" w:hAnsi="Times New Roman;serif"/>
          <w:b/>
          <w:color w:val="000000"/>
          <w:sz w:val="20"/>
        </w:rPr>
        <w:t>SCHAUMBURG, IL. – February 5, 2026 –</w:t>
      </w:r>
      <w:r>
        <w:rPr>
          <w:color w:val="000000"/>
        </w:rPr>
        <w:t> </w:t>
      </w:r>
      <w:r>
        <w:rPr>
          <w:rFonts w:ascii="Times New Roman;serif" w:hAnsi="Times New Roman;serif"/>
          <w:b w:val="false"/>
          <w:color w:val="000000"/>
          <w:sz w:val="20"/>
        </w:rPr>
        <w:t>Paylocity Holding Corporation (Nasdaq: PCTY), a leading provider of cloud-based HR, Finance, and IT solutions, today announced financial results for the second quarter of fiscal year 2026, which ended December 31,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The momentum seen in Q1 continued into the second quarter and contributed to a strong selling season performance and increased revenue and profitability guidance for fiscal 26. Our results continue to be driven by the combination of strong sales, operational execution, and product differentiation – including the addition of new platform capabilities like Benefits Guided Setup to support our clients and broker partners through open enrollment season. Additionally, as highlighted last quarter, we continue to invest in AI and broader automation efforts internally to drive greater efficiency and productivity across our business, as evidenced by our increasing free cash flow and adjusted EBITDA margins. I would also like to thank all of our Paylocity teams as they support our clients through our busiest time of year,” said Toby Williams, President and Chief Executive Officer of Paylocity.</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Second Quarter Fiscal 2026 Financial Highlights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Recurring &amp; other revenue was $387.0 million, an</w:t>
      </w:r>
      <w:r>
        <w:rPr>
          <w:color w:val="000000"/>
        </w:rPr>
        <w:t xml:space="preserve"> </w:t>
      </w:r>
      <w:r>
        <w:rPr>
          <w:rFonts w:ascii="Times New Roman;serif" w:hAnsi="Times New Roman;serif"/>
          <w:b w:val="false"/>
          <w:color w:val="000000"/>
          <w:sz w:val="20"/>
        </w:rPr>
        <w:t>increase of 11.3% from the second quarter of fiscal year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Total revenue was $416.1 million, an increase of 10.4% from the second quarter of fiscal year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GAAP operating income was $70.4 million and non-GAAP operating income was $119.1 million in the second quarter of fiscal year 2026 compared to GAAP operating income of $46.6 million and non-GAAP operating income of $101.1 million in the second quarter of fiscal year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Net Income: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GAAP net income was $50.2 million or $0.92 per share in the second quarter of fiscal year 2026 based on 54.8 million diluted weighted average common shares outstanding compared to $37.5 million or $0.66 per share in the second quarter of fiscal year 2025 based on 56.7 million diluted weighted average common shares outstanding.</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a non-GAAP measure, was $142.7 million in the second quarter of fiscal year 2026 compared to $126.2 million</w:t>
      </w:r>
      <w:r>
        <w:rPr>
          <w:color w:val="000000"/>
        </w:rPr>
        <w:t xml:space="preserve"> </w:t>
      </w:r>
      <w:r>
        <w:rPr>
          <w:rFonts w:ascii="Times New Roman;serif" w:hAnsi="Times New Roman;serif"/>
          <w:b w:val="false"/>
          <w:color w:val="000000"/>
          <w:sz w:val="20"/>
        </w:rPr>
        <w:t>in the second quarter of fiscal year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excluding interest income on funds held for clients, a non-GAAP measure, was $113.6 million in the second quarter of fiscal year 2026 as compared to $96.9 million in the second quarter of fiscal year 2025.</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Balance Sheet and Cash Flow:</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Cash and cash equivalents totaled $162.5 million as of December 31,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Long-term debt totaled $81.3 million as of December 31, 2025, representing borrowings under our credit facility to fund the acquisition of Airbase Inc. on October 1, 2024. This reflects approximately $81.3 million repaid on our outstanding balance during the first six months of fiscal year 2026.</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Net cash provided by operating activities for the first six months of fiscal year 2026 was $203.5 million compared to $145.7 million for the first six months of fiscal year 2025. Net cash from operating activities for the trailing twelve months ended December 31, 2025 was $476.0 million or 28.3% of total revenue as compared to $393.1 million or 26.2% of total revenue for the trailing twelve months ended December 31, 2024.</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Free cash flow, a non-GAAP measure, was $396.9 million or 23.6% of total revenue for the trailing twelve months ended December 31, 2025 compared to $315.1 million or 21.0% of total revenue for the trailing twelve months ended December 31, 2024.</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reconciliation of GAAP to non-GAAP financial measures has been provided in this press release in the accompanying tables. Additional information regarding these measures can be found below under the headings “Non-GAAP Financial Measures” and “Definitions of our Non-GAAP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Business Outlook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information available as of February 5, 2026, Paylocity is issuing guidance for the third quarter and full fiscal year 2026 as indicated below.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Third Quarter 2026:</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Recurring and other revenue is expected to be in the range of $457.5 million to $462.5 million, which represents approximately 9%-10% growth over fiscal year 2025 third quarter recurring and other revenue.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Total revenue is expected to be in the range of $487.0 million to $492.0 million, which represents approximately 7%-8% growth over fiscal year 2025 third quarter total revenue.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a non-GAAP measure, is expected to be in the range of $200.0 million to $204.0 million.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excluding interest income on funds held for clients, a non-GAAP measure, is expected to be in the range of $170.5 million to $174.5 million.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Fiscal Year 2026:</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Recurring and other revenue is expected to be in the range of $1.620 billion to $1.630 billion, which represents approximately 10%-11% growth over fiscal year 2025 recurring and other revenue.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Total revenue is expected to be in the range of $1.732 billion to $1.742 billion, which represents approximately 9% growth over fiscal year 2025 total revenue.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a non-GAAP measure, is expected to be in the range of $622.5 million to $630.5 million.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excluding interest income on funds held for clients, a non-GAAP measure, is expected to be in the range of $510.5 million to $518.5 million.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unable to reconcile the forward-looking non-GAAP measures set forth above to their directly comparable GAAP financial measures because the information which is needed to complete a reconciliation is unavailable at this time without unreasonable effort.</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Conference Call Details</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Paylocity will host a conference call to discuss its second quarter fiscal year 2026 results at 4:00 p.m. Central Time today (5:00 p.m. Eastern Time). A live audio webcast of the conference call along with detailed financial information can be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0"/>
        </w:rPr>
        <w:t xml:space="preserve">accessed through </w:t>
      </w:r>
      <w:r>
        <w:rPr>
          <w:rFonts w:ascii="Times New Roman;serif" w:hAnsi="Times New Roman;serif"/>
          <w:b w:val="false"/>
          <w:color w:val="000000"/>
          <w:sz w:val="20"/>
          <w:u w:val="single"/>
        </w:rPr>
        <w:t>https://investors.paylocity.com/events-and-presentations</w:t>
      </w:r>
      <w:r>
        <w:rPr>
          <w:color w:val="000000"/>
        </w:rPr>
        <w:t xml:space="preserve"> </w:t>
      </w:r>
      <w:r>
        <w:rPr>
          <w:rFonts w:ascii="Times New Roman;serif" w:hAnsi="Times New Roman;serif"/>
          <w:b w:val="false"/>
          <w:color w:val="000000"/>
          <w:sz w:val="20"/>
        </w:rPr>
        <w:t>where dial in details are provided. A replay of the call will be available and archived via webcast at</w:t>
      </w:r>
      <w:r>
        <w:rPr>
          <w:color w:val="000000"/>
          <w:u w:val="single"/>
        </w:rPr>
        <w:t xml:space="preserve"> </w:t>
      </w:r>
      <w:r>
        <w:rPr>
          <w:rFonts w:ascii="Times New Roman;serif" w:hAnsi="Times New Roman;serif"/>
          <w:b w:val="false"/>
          <w:color w:val="000000"/>
          <w:sz w:val="20"/>
          <w:u w:val="single"/>
        </w:rPr>
        <w:t>https://investors.paylocity.com/</w:t>
      </w:r>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About Paylocity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Headquartered in Schaumburg, IL, Paylocity is an award-winning provider of HR, finance, and IT software solutions through ONE unified platform. Founded in 1997 and publicly traded since 2014, Paylocity offers an intuitive, easy-to-use product suite that helps businesses automate and streamline HR and payroll processes, attract and retain talent, and build culture and connection with their employees. Known for its unique culture and consistently recognized as one of the best places to work, Paylocity accompanies its clients on the journey to create great workplaces and help all employees achieve their best. For more information, visit www.paylocity.com.</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Non-GAAP Financial Measures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uses certain non-GAAP financial measures when reporting and discussing its financial results, including the financial measures in this release that are designated as being “non-GAAP.” Management presents certain non-GAAP financial measures in this release because it considers them to be important supplemental measures of performance, as they provide investors with the company’s view of its financial performance. Management uses non-GAAP financial measures for planning purposes, including analysis of the company's performance against prior periods, the preparation of operating budgets and to determine appropriate levels of operating and capital investments. Management believes that these non-GAAP financial measures provide additional insight for analysts and investors in evaluating the company's financial and operational performance, including comparisons of current results to prior periods’ results by excluding items the company does not believe reflect fundamental business performance and are not representative or indicative of its results of operations. Non-GAAP financial measures have limitations as an analytical tool and other companies may define their non-GAAP financial measures differently than we do. Investors are encouraged to review the reconciliation of the non-GAAP measures to their most directly comparable GAAP measures provided in the accompanying tables to this release, as well as the definitions of those non-GAAP measures following such tables.</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Safe Harbor/Forward Looking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that involve substantial risks and uncertainties. All statements, other than statements of historical facts, included herein regarding Paylocity’s future operations, future financial position and performance, anticipated results of operations, prospects, plans and objectives of management are forward-looking statements. The words “anticipate,” “believe,” “estimate,” “expect,” “intend,” “may,” “plan,” “will,” “would,” “seek” and similar expressions (or the negative of these terms) are intended to identify forward-looking statements, although not all forward-looking statements contain these identifying words. These forward-looking statements include statements about management's estimates regarding future revenues and financial performance, and other statements about management’s beliefs, intentions or goals and are expressed in good faith and believed to be reasonable at the time such statements are made. Paylocity may not actually achieve the expectations disclosed in the forward-looking statements, and you should not place undue reliance on such statements. These forward-looking statements involve risks and uncertainties, many of which are beyond Paylocity’s control, that could cause actual results or events to differ materially from the expectations disclosed in the forward-looking statements. Factors that could cause actual results or events to differ materially from what is presented include, but are not limited to, the general economic conditions in regions in which Paylocity does business, changes in interest rates, business disruptions, reductions in employment and increases in business failures that have occurred or may occur in the future; Paylocity’s ability to leverage AI Assist and other forms of artificial intelligence and machine learning in its technology, which may be constrained by current and future laws, regulations, interpretive positions or standards governing new and evolving technologies and ethical considerations that could restrict or impose burdensome and costly requirements on its ability to continue to leverage data in innovative ways; Paylocity’s ability to retain existing clients and to attract new clients to enter into subscriptions for its services; the challenges associated with a growing company’s ability to effectively service clients in a dynamic and competitive market; challenges associated with expanding and evolving a sales organization to effectively address new geographies and products and services; challenges related to cybersecurity threats and evolving cybersecurity regulations; Paylocity’s reliance on and ability to expand its referral network of third parties; difficulties associated with accurately forecasting revenue and appropriately planning expenses; challenges with managing growth effectively; risks related to acquisitions and investments in other businesses and technologies; risks related to regulatory, legislative and judicial uncertainty in Paylocity’s markets; Paylocity’s ability to protect and defend its intellectual property and its use of open source software in its products; the risk that Paylocity’s security measures are compromised or a threat actor gains unauthorized access to customer data; unexpected events in the market for Paylocity’s solutions; changes in the competitive environment in Paylocity’s industry and the markets in which it operates; adverse changes in general economic or market conditions; changes in the employment rates of Paylocity’s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clients and the resultant impact on revenue; the possibility that Paylocity may be adversely affected by other economic, business, and/or competitive factors; and other risks and potential factors that could affect Paylocity’s business and financial results that are identified in Paylocity’s Annual Report on Form 10-K filed with the Securities and Exchange Commission (the “SEC”) on August 6, 2025, as well as any revisions or supplements to the information in subsequent reports filed or furnished to the SEC. These forward-looking statements represent Paylocity’s expectations as of the date of this press release. Subsequent events may cause these expectations to change, and unless legally required, Paylocity disclaims any obligations to update or alter these forward-looking statements in the future, whether as a result of new information, future events or otherwise.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PAYLOCITY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2781"/>
        <w:gridCol w:w="2257"/>
        <w:gridCol w:w="2201"/>
        <w:gridCol w:w="211"/>
        <w:gridCol w:w="976"/>
        <w:gridCol w:w="109"/>
        <w:gridCol w:w="109"/>
        <w:gridCol w:w="109"/>
        <w:gridCol w:w="109"/>
        <w:gridCol w:w="211"/>
        <w:gridCol w:w="976"/>
        <w:gridCol w:w="156"/>
      </w:tblGrid>
      <w:tr>
        <w:trPr/>
        <w:tc>
          <w:tcPr>
            <w:tcW w:w="2781"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 before funds held for clients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held for clients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5,510,227 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5,893,928 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contract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w:t>
              <w:noBreakHyphen/>
              <w:t>term prepaid expenses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6,972,784 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 before client fund obligations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fund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5,499,182 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5,678,054 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5,874,469 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5,000 authorized, no shares issued and outstanding at June 30, 2025 and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155,000 shares authorized at June 30, 2025 and December 31, 2025; 55,366 shares issued and outstanding at June 30, 2025 and 53,873 shares issued and outstanding at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1,098,315 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6,972,784 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PAYLOCITY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Operations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656"/>
        <w:gridCol w:w="1246"/>
        <w:gridCol w:w="12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6"/>
      </w:tblGrid>
      <w:tr>
        <w:trPr/>
        <w:tc>
          <w:tcPr>
            <w:tcW w:w="16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and other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funds held for clients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employer payroll taxes related to stock releases and option exercises for each of the three and six months ended December 31 are included in the above line items:</w:t>
      </w:r>
    </w:p>
    <w:tbl>
      <w:tblPr>
        <w:tblW w:w="10205" w:type="dxa"/>
        <w:jc w:val="left"/>
        <w:tblInd w:w="0" w:type="dxa"/>
        <w:tblLayout w:type="fixed"/>
        <w:tblCellMar>
          <w:top w:w="28" w:type="dxa"/>
          <w:left w:w="28" w:type="dxa"/>
          <w:bottom w:w="28" w:type="dxa"/>
          <w:right w:w="28" w:type="dxa"/>
        </w:tblCellMar>
      </w:tblPr>
      <w:tblGrid>
        <w:gridCol w:w="1816"/>
        <w:gridCol w:w="1382"/>
        <w:gridCol w:w="137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6"/>
      </w:tblGrid>
      <w:tr>
        <w:trPr/>
        <w:tc>
          <w:tcPr>
            <w:tcW w:w="181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and employer payroll taxes related to stock releases and option exercises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83,108 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PAYLOCITY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786"/>
        <w:gridCol w:w="2337"/>
        <w:gridCol w:w="2356"/>
        <w:gridCol w:w="196"/>
        <w:gridCol w:w="871"/>
        <w:gridCol w:w="109"/>
        <w:gridCol w:w="109"/>
        <w:gridCol w:w="109"/>
        <w:gridCol w:w="109"/>
        <w:gridCol w:w="196"/>
        <w:gridCol w:w="871"/>
        <w:gridCol w:w="156"/>
      </w:tblGrid>
      <w:tr>
        <w:trPr/>
        <w:tc>
          <w:tcPr>
            <w:tcW w:w="2786"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December 31,</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expense (benefit)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Net accretion of discounts on available-for-sale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available-for-sale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and maturities of available-for-sale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businesses, net of cash and funds held for clients acquired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client fund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2,804,340 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credit facility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credit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purchase plan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2,403,676 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funds held for clients' cash and cash equivalents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2,579,643 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funds held for clients' cash and cash equivalents—beginning of period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2,482,526 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funds held for clients' cash and cash equivalents—end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3,525,884 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5,062,169 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Non-Cash Investing and Financing Activities</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and capitalized internal-use software, accrued but not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assumed for acquisitions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45,968 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cash, cash equivalents and funds held for clients' cash and cash equivalents to the Consolidated Balance Sheets</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Funds held for clients' cash and cash equivalents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4,899,674 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funds held for clients' cash and cash equivalents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3,525,884 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5,062,169 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Paylocity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 </w:t>
      </w:r>
    </w:p>
    <w:tbl>
      <w:tblPr>
        <w:tblW w:w="10205" w:type="dxa"/>
        <w:jc w:val="left"/>
        <w:tblInd w:w="0" w:type="dxa"/>
        <w:tblLayout w:type="fixed"/>
        <w:tblCellMar>
          <w:top w:w="28" w:type="dxa"/>
          <w:left w:w="28" w:type="dxa"/>
          <w:bottom w:w="28" w:type="dxa"/>
          <w:right w:w="28" w:type="dxa"/>
        </w:tblCellMar>
      </w:tblPr>
      <w:tblGrid>
        <w:gridCol w:w="1505"/>
        <w:gridCol w:w="1323"/>
        <w:gridCol w:w="132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6"/>
      </w:tblGrid>
      <w:tr>
        <w:trPr/>
        <w:tc>
          <w:tcPr>
            <w:tcW w:w="150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from Gross profit to Adjusted gross profit: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internal-use software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certain acquired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employer payroll taxes related to stock releases and option exercises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05"/>
        <w:gridCol w:w="1323"/>
        <w:gridCol w:w="132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6"/>
      </w:tblGrid>
      <w:tr>
        <w:trPr/>
        <w:tc>
          <w:tcPr>
            <w:tcW w:w="150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from Operating income to Non-GAAP Operating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employer payroll taxes related to stock releases and option exercises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43"/>
        <w:gridCol w:w="1357"/>
        <w:gridCol w:w="1363"/>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5"/>
      </w:tblGrid>
      <w:tr>
        <w:trPr/>
        <w:tc>
          <w:tcPr>
            <w:tcW w:w="154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from Net income to Non-GAAP Net income: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employer payroll taxes related to stock releases and option exercises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 on adjustments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55"/>
        <w:gridCol w:w="1352"/>
        <w:gridCol w:w="1356"/>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5"/>
      </w:tblGrid>
      <w:tr>
        <w:trPr/>
        <w:tc>
          <w:tcPr>
            <w:tcW w:w="155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Calculation of Non-GAAP Net income per share: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number of common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05"/>
        <w:gridCol w:w="1323"/>
        <w:gridCol w:w="132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6"/>
      </w:tblGrid>
      <w:tr>
        <w:trPr/>
        <w:tc>
          <w:tcPr>
            <w:tcW w:w="150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from Net income to Adjusted EBITDA and Adjusted EBITDA excluding interest income on funds held for clients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employer payroll taxes related to stock releases and option exercises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funds held for clients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excluding interest income on funds held for clients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196,075 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230,672 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81"/>
        <w:gridCol w:w="1390"/>
        <w:gridCol w:w="1397"/>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155"/>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Non-GAAP sales and marketing:</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 expense and employer payroll taxes related to stock releases and option exercises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items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sales and marketing</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81"/>
        <w:gridCol w:w="1390"/>
        <w:gridCol w:w="1396"/>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156"/>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Non-GAAP total research and development: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Capitalized internal-use software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 expense and employer payroll taxes related to stock releases and option exercises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items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total research and development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83"/>
        <w:gridCol w:w="1390"/>
        <w:gridCol w:w="1394"/>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156"/>
      </w:tblGrid>
      <w:tr>
        <w:trPr/>
        <w:tc>
          <w:tcPr>
            <w:tcW w:w="15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Non-GAAP general and administrative: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 expense and employer payroll taxes related to stock releases and option exercises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Amortization of certain acquired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items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general and administrative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663"/>
        <w:gridCol w:w="1462"/>
        <w:gridCol w:w="14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63"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Trailing</w:t>
              <w:br/>
              <w:t xml:space="preserve">Twelve Months Ended </w:t>
              <w:br/>
              <w:t>December 31,</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Free cash flow, Free cash flow excluding interest income on funds held for clients and Adjusted free cash flow excluding interest income on funds held for clients: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income on funds held for clients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(126,106)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(122,771)</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excluding interest income on funds held for clients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other items (4)</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 excluding interest income on funds held for clients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Represents acquisition-related costs and severance cost adjustments related to certain roles that have been eliminated. We exclude one-off severance costs that we incur as part of the normal course of our business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(2) Represents acquisition and transaction-related costs and severance costs related to certain roles that have been eliminated. We exclude one-off severance costs that we incur as part of the normal course of our business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(3) Includes the income tax effect on non-GAAP net income adjustments related to stock-based compensation expense and employer payroll taxes related to stock releases and option exercises, amortization of acquired intangibles and other items, which include acquisition and transaction-related costs and severance costs related to certain roles that have been eliminated. We exclude one-off severance costs that we incur as part of the normal course of our business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(4) Represents cash paid for acquisition and transaction-related costs and severance costs related to certain roles that have been eliminated. </w:t>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Definitions of our Non-GAAP Measures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Adjusted EBITDA, Adjusted EBITDA Margin, Adjusted EBITDA Excluding Interest Income on Funds Held for Clients, and Adjusted EBITDA Excluding Interest Income on Funds Held for Clients Margin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calculated as net income before interest expense, income tax expense, and depreciation and amortization expense, adjusted to eliminate stock-based compensation expense and employer payroll taxes related to stock releases and option exercises and other items as described above in this release. Adjusted EBITDA margin is calculated as Adjusted EBITDA divided by total revenues.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excluding interest income on funds held for clients is calculated in the same manner as Adjusted EBITDA and is further adjusted to eliminate interest income on funds held for clients. Adjusted EBITDA excluding interest income on funds held for clients margin is Adjusted EBITDA excluding interest income on funds held for clients divided by recurring and other revenue.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Adjusted Gross Profit and Adjusted Gross Profit Margin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gross profit is adjusted to eliminate stock-based compensation expense and employer payroll taxes related to stock releases and option exercises, the amortization of capitalized internal-use software costs and certain acquired intangibles and other items as described above in this release.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gross profit margin is calculated as adjusted gross profit as described in the preceding sentence divided by total revenues.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Non-GAAP Operating Income, Non-GAAP Net Income, and Non-GAAP Income Per Share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Non-GAAP operating income is adjusted to eliminate stock-based compensation expense and employer payroll taxes related to stock releases and option exercises, the amortization of acquired intangibles and other items as described above in this release.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Non-GAAP net income and non-GAAP net income per share are adjusted to eliminate stock-based compensation expense and employer payroll taxes related to stock releases and option exercises, the amortization of acquired intangibles and other items as described above in this release, including the income tax effect on these items.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Non-GAAP Sales and Marketing Expense, Non-GAAP Sales and Marketing Expense Margin, Non-GAAP Total Research and Development, Non-GAAP Total Research and Development Margin, Non-GAAP General and Administrative Expense, and Non-GAAP General and Administrative Expense Margin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Non-GAAP sales and marketing expense is adjusted to eliminate stock-based compensation expense and employer payroll taxes related to stock releases and option exercises and other items as described above in this release. Non-GAAP sales and marketing margin is calculated by dividing non-GAAP sales and marketing by total revenues.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Non-GAAP total research and development is adjusted for capitalized internal-use software costs paid and to eliminate stock-based compensation expense and employer payroll taxes related to stock releases and option exercises and other items as described above in this release. Non-GAAP total research and development margin is calculated by dividing non-GAAP total research and development by total revenues.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Non-GAAP general and administrative expense is adjusted to eliminate stock-based compensation expense and employer payroll taxes related to stock releases and option exercises, the amortization of certain acquired intangibles and other items as described above in this release. Non-GAAP general and administrative margin is calculated by dividing non-GAAP general and administrative expense by total revenues.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Free Cash Flow, Free Cash Flow Margin, Free Cash Flow Excluding Interest on Funds Held for Clients, Free Cash Flow Excluding Interest on Funds Held for Clients Margin, Adjusted Free Cash Flow Excluding Interest Income on Funds Held for Clients and Adjusted Free Cash Flow Excluding Interest Income on Funds Held for Clients Margin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Free cash flow is defined as net cash provided by operating activities less capitalized internal-use software costs and purchases of property and equipment. Free cash flow margin is calculated by dividing free cash flow by total revenues.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Free cash flow excluding interest income on funds held for clients is defined in the same manner as free cash flow but also excludes interest income on funds held for clients. Free cash flow margin excluding interest income on funds held for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clients is calculated by dividing free cash flow excluding interest income on funds held for clients by recurring and other revenue.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 excluding interest income on funds held for clients is defined in the same manner as free cash flow excluding interest income on funds held for clients plus cash paid for other items as described above in this release. Adjusted free cash flow margin excluding interest income on funds held for clients is calculated by dividing adjusted free cash flow excluding interest income on funds held for clients by recurring and other revenue.</w:t>
      </w:r>
    </w:p>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5171</Words>
  <Characters>29795</Characters>
  <CharactersWithSpaces>34415</CharactersWithSpaces>
  <Paragraphs>975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