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p>
      <w:pPr>
        <w:spacing w:after="0" w:line="118" w:lineRule="exact"/>
        <w:rPr>
          <w:sz w:val="24"/>
          <w:szCs w:val="24"/>
          <w:color w:val="auto"/>
        </w:rPr>
      </w:pPr>
    </w:p>
    <w:p>
      <w:pPr>
        <w:ind w:left="340"/>
        <w:spacing w:after="0"/>
        <w:rPr>
          <w:sz w:val="20"/>
          <w:szCs w:val="20"/>
          <w:color w:val="auto"/>
        </w:rPr>
      </w:pPr>
      <w:r>
        <w:rPr>
          <w:rFonts w:ascii="Wingdings" w:cs="Wingdings" w:eastAsia="Wingdings" w:hAnsi="Wingdings"/>
          <w:sz w:val="14"/>
          <w:szCs w:val="14"/>
          <w:b w:val="1"/>
          <w:bCs w:val="1"/>
          <w:color w:val="auto"/>
          <w:highlight w:val="black"/>
        </w:rPr>
        <w:t xml:space="preserve">x </w:t>
      </w: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2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For the fiscal year ended June 30, 2024</w:t>
      </w:r>
    </w:p>
    <w:p>
      <w:pPr>
        <w:spacing w:after="0" w:line="123"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23" w:lineRule="exact"/>
        <w:rPr>
          <w:sz w:val="24"/>
          <w:szCs w:val="24"/>
          <w:color w:val="auto"/>
        </w:rPr>
      </w:pPr>
    </w:p>
    <w:p>
      <w:pPr>
        <w:ind w:left="340"/>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428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001-36348</w:t>
      </w:r>
    </w:p>
    <w:p>
      <w:pPr>
        <w:spacing w:after="0" w:line="2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PAYLOCITY HOLDING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p>
      <w:pPr>
        <w:spacing w:after="0" w:line="162" w:lineRule="exact"/>
        <w:rPr>
          <w:sz w:val="24"/>
          <w:szCs w:val="24"/>
          <w:color w:val="auto"/>
        </w:rPr>
      </w:pPr>
    </w:p>
    <w:tbl>
      <w:tblPr>
        <w:tblLayout w:type="fixed"/>
        <w:tblInd w:w="82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740" w:type="dxa"/>
            <w:vAlign w:val="bottom"/>
            <w:gridSpan w:val="2"/>
          </w:tcPr>
          <w:p>
            <w:pPr>
              <w:jc w:val="center"/>
              <w:ind w:right="982"/>
              <w:spacing w:after="0"/>
              <w:rPr>
                <w:sz w:val="20"/>
                <w:szCs w:val="20"/>
                <w:color w:val="auto"/>
              </w:rPr>
            </w:pPr>
            <w:r>
              <w:rPr>
                <w:rFonts w:ascii="Times New Roman" w:cs="Times New Roman" w:eastAsia="Times New Roman" w:hAnsi="Times New Roman"/>
                <w:sz w:val="14"/>
                <w:szCs w:val="14"/>
                <w:color w:val="auto"/>
              </w:rPr>
              <w:t>46-4066644</w:t>
            </w:r>
          </w:p>
        </w:tc>
        <w:tc>
          <w:tcPr>
            <w:tcW w:w="20" w:type="dxa"/>
            <w:vAlign w:val="bottom"/>
          </w:tcPr>
          <w:p>
            <w:pPr>
              <w:spacing w:after="0"/>
              <w:rPr>
                <w:sz w:val="16"/>
                <w:szCs w:val="16"/>
                <w:color w:val="auto"/>
              </w:rPr>
            </w:pPr>
          </w:p>
        </w:tc>
      </w:tr>
      <w:tr>
        <w:trPr>
          <w:trHeight w:val="203"/>
        </w:trPr>
        <w:tc>
          <w:tcPr>
            <w:tcW w:w="580" w:type="dxa"/>
            <w:vAlign w:val="bottom"/>
          </w:tcPr>
          <w:p>
            <w:pPr>
              <w:spacing w:after="0"/>
              <w:rPr>
                <w:sz w:val="17"/>
                <w:szCs w:val="17"/>
                <w:color w:val="auto"/>
              </w:rPr>
            </w:pPr>
          </w:p>
        </w:tc>
        <w:tc>
          <w:tcPr>
            <w:tcW w:w="2340" w:type="dxa"/>
            <w:vAlign w:val="bottom"/>
            <w:gridSpan w:val="2"/>
          </w:tcPr>
          <w:p>
            <w:pPr>
              <w:jc w:val="center"/>
              <w:ind w:left="373"/>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6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580" w:type="dxa"/>
            <w:vAlign w:val="bottom"/>
          </w:tcPr>
          <w:p>
            <w:pPr>
              <w:spacing w:after="0"/>
              <w:rPr>
                <w:sz w:val="16"/>
                <w:szCs w:val="16"/>
                <w:color w:val="auto"/>
              </w:rPr>
            </w:pPr>
          </w:p>
        </w:tc>
        <w:tc>
          <w:tcPr>
            <w:tcW w:w="2340" w:type="dxa"/>
            <w:vAlign w:val="bottom"/>
            <w:gridSpan w:val="2"/>
          </w:tcPr>
          <w:p>
            <w:pPr>
              <w:jc w:val="center"/>
              <w:ind w:left="373"/>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76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377"/>
        </w:trPr>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1400 American Lane</w:t>
            </w:r>
          </w:p>
        </w:tc>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8"/>
        </w:trPr>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Schaumburg, Illinois 60173</w:t>
            </w:r>
          </w:p>
        </w:tc>
        <w:tc>
          <w:tcPr>
            <w:tcW w:w="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3"/>
        </w:trPr>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60" w:type="dxa"/>
            <w:vAlign w:val="bottom"/>
            <w:gridSpan w:val="3"/>
          </w:tcPr>
          <w:p>
            <w:pPr>
              <w:jc w:val="right"/>
              <w:ind w:right="1460"/>
              <w:spacing w:after="0"/>
              <w:rPr>
                <w:sz w:val="20"/>
                <w:szCs w:val="20"/>
                <w:color w:val="auto"/>
              </w:rPr>
            </w:pPr>
            <w:r>
              <w:rPr>
                <w:rFonts w:ascii="Times New Roman" w:cs="Times New Roman" w:eastAsia="Times New Roman" w:hAnsi="Times New Roman"/>
                <w:sz w:val="16"/>
                <w:szCs w:val="16"/>
                <w:b w:val="1"/>
                <w:bCs w:val="1"/>
                <w:color w:val="auto"/>
              </w:rPr>
              <w:t>(847) 463-3200</w:t>
            </w:r>
          </w:p>
        </w:tc>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6"/>
        </w:trPr>
        <w:tc>
          <w:tcPr>
            <w:tcW w:w="5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Title of each class</w:t>
            </w:r>
          </w:p>
        </w:tc>
        <w:tc>
          <w:tcPr>
            <w:tcW w:w="1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1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7"/>
              </w:rPr>
              <w:t>Name of Exchange on which registered</w:t>
            </w:r>
          </w:p>
        </w:tc>
      </w:tr>
      <w:tr>
        <w:trPr>
          <w:trHeight w:val="20"/>
        </w:trPr>
        <w:tc>
          <w:tcPr>
            <w:tcW w:w="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920" w:type="dxa"/>
            <w:vAlign w:val="bottom"/>
            <w:gridSpan w:val="3"/>
          </w:tcPr>
          <w:p>
            <w:pPr>
              <w:jc w:val="center"/>
              <w:ind w:right="808"/>
              <w:spacing w:after="0"/>
              <w:rPr>
                <w:sz w:val="20"/>
                <w:szCs w:val="20"/>
                <w:color w:val="auto"/>
              </w:rPr>
            </w:pPr>
            <w:r>
              <w:rPr>
                <w:rFonts w:ascii="Times New Roman" w:cs="Times New Roman" w:eastAsia="Times New Roman" w:hAnsi="Times New Roman"/>
                <w:sz w:val="12"/>
                <w:szCs w:val="12"/>
                <w:color w:val="auto"/>
                <w:w w:val="98"/>
              </w:rPr>
              <w:t>Common Stock, par value $0.001 per share</w:t>
            </w:r>
          </w:p>
        </w:tc>
        <w:tc>
          <w:tcPr>
            <w:tcW w:w="1400" w:type="dxa"/>
            <w:vAlign w:val="bottom"/>
          </w:tcPr>
          <w:p>
            <w:pPr>
              <w:spacing w:after="0"/>
              <w:rPr>
                <w:sz w:val="16"/>
                <w:szCs w:val="16"/>
                <w:color w:val="auto"/>
              </w:rPr>
            </w:pPr>
          </w:p>
        </w:tc>
        <w:tc>
          <w:tcPr>
            <w:tcW w:w="2460" w:type="dxa"/>
            <w:vAlign w:val="bottom"/>
            <w:gridSpan w:val="2"/>
          </w:tcPr>
          <w:p>
            <w:pPr>
              <w:jc w:val="center"/>
              <w:ind w:right="1560"/>
              <w:spacing w:after="0"/>
              <w:rPr>
                <w:sz w:val="20"/>
                <w:szCs w:val="20"/>
                <w:color w:val="auto"/>
              </w:rPr>
            </w:pPr>
            <w:r>
              <w:rPr>
                <w:rFonts w:ascii="Times New Roman" w:cs="Times New Roman" w:eastAsia="Times New Roman" w:hAnsi="Times New Roman"/>
                <w:sz w:val="12"/>
                <w:szCs w:val="12"/>
                <w:color w:val="auto"/>
                <w:w w:val="97"/>
              </w:rPr>
              <w:t>PCTY</w:t>
            </w:r>
          </w:p>
        </w:tc>
        <w:tc>
          <w:tcPr>
            <w:tcW w:w="2760" w:type="dxa"/>
            <w:vAlign w:val="bottom"/>
            <w:gridSpan w:val="3"/>
          </w:tcPr>
          <w:p>
            <w:pPr>
              <w:ind w:left="780"/>
              <w:spacing w:after="0"/>
              <w:rPr>
                <w:sz w:val="20"/>
                <w:szCs w:val="20"/>
                <w:color w:val="auto"/>
              </w:rPr>
            </w:pPr>
            <w:r>
              <w:rPr>
                <w:rFonts w:ascii="Times New Roman" w:cs="Times New Roman" w:eastAsia="Times New Roman" w:hAnsi="Times New Roman"/>
                <w:sz w:val="12"/>
                <w:szCs w:val="12"/>
                <w:color w:val="auto"/>
                <w:w w:val="96"/>
              </w:rPr>
              <w:t>The NASDAQ Global Select Market LLC</w:t>
            </w:r>
          </w:p>
        </w:tc>
      </w:tr>
      <w:tr>
        <w:trPr>
          <w:trHeight w:val="387"/>
        </w:trPr>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8"/>
        </w:trPr>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60" w:type="dxa"/>
            <w:vAlign w:val="bottom"/>
            <w:gridSpan w:val="2"/>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None</w:t>
            </w:r>
          </w:p>
        </w:tc>
        <w:tc>
          <w:tcPr>
            <w:tcW w:w="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tc>
        <w:tc>
          <w:tcPr>
            <w:tcW w:w="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92" w:lineRule="exact"/>
        <w:rPr>
          <w:sz w:val="24"/>
          <w:szCs w:val="24"/>
          <w:color w:val="auto"/>
        </w:rPr>
      </w:pPr>
    </w:p>
    <w:p>
      <w:pPr>
        <w:ind w:right="4020"/>
        <w:spacing w:after="0" w:line="433" w:lineRule="auto"/>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 w:lineRule="exact"/>
        <w:rPr>
          <w:sz w:val="24"/>
          <w:szCs w:val="24"/>
          <w:color w:val="auto"/>
        </w:rPr>
      </w:pPr>
    </w:p>
    <w:p>
      <w:pPr>
        <w:ind w:right="200"/>
        <w:spacing w:after="0" w:line="299"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60" w:lineRule="exact"/>
        <w:rPr>
          <w:sz w:val="24"/>
          <w:szCs w:val="24"/>
          <w:color w:val="auto"/>
        </w:rPr>
      </w:pPr>
    </w:p>
    <w:p>
      <w:pPr>
        <w:ind w:right="160"/>
        <w:spacing w:after="0" w:line="299"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60" w:lineRule="exact"/>
        <w:rPr>
          <w:sz w:val="24"/>
          <w:szCs w:val="24"/>
          <w:color w:val="auto"/>
        </w:rPr>
      </w:pPr>
    </w:p>
    <w:p>
      <w:pPr>
        <w:ind w:right="140"/>
        <w:spacing w:after="0" w:line="29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74"/>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060" w:type="dxa"/>
            <w:vAlign w:val="bottom"/>
          </w:tcPr>
          <w:p>
            <w:pPr>
              <w:ind w:left="380"/>
              <w:spacing w:after="0"/>
              <w:rPr>
                <w:sz w:val="20"/>
                <w:szCs w:val="20"/>
                <w:color w:val="auto"/>
              </w:rPr>
            </w:pPr>
            <w:r>
              <w:rPr>
                <w:rFonts w:ascii="Wingdings" w:cs="Wingdings" w:eastAsia="Wingdings" w:hAnsi="Wingdings"/>
                <w:sz w:val="13"/>
                <w:szCs w:val="13"/>
                <w:b w:val="1"/>
                <w:bCs w:val="1"/>
                <w:color w:val="auto"/>
              </w:rPr>
              <w:t>x</w:t>
            </w:r>
          </w:p>
        </w:tc>
        <w:tc>
          <w:tcPr>
            <w:tcW w:w="5220" w:type="dxa"/>
            <w:vAlign w:val="bottom"/>
          </w:tcPr>
          <w:p>
            <w:pPr>
              <w:ind w:left="2540"/>
              <w:spacing w:after="0"/>
              <w:rPr>
                <w:sz w:val="20"/>
                <w:szCs w:val="20"/>
                <w:color w:val="auto"/>
              </w:rPr>
            </w:pPr>
            <w:r>
              <w:rPr>
                <w:rFonts w:ascii="Times New Roman" w:cs="Times New Roman" w:eastAsia="Times New Roman" w:hAnsi="Times New Roman"/>
                <w:sz w:val="13"/>
                <w:szCs w:val="13"/>
                <w:color w:val="auto"/>
              </w:rPr>
              <w:t>Accelerated filer</w:t>
            </w:r>
          </w:p>
        </w:tc>
        <w:tc>
          <w:tcPr>
            <w:tcW w:w="1340" w:type="dxa"/>
            <w:vAlign w:val="bottom"/>
          </w:tcPr>
          <w:p>
            <w:pPr>
              <w:ind w:left="1220"/>
              <w:spacing w:after="0"/>
              <w:rPr>
                <w:sz w:val="20"/>
                <w:szCs w:val="20"/>
                <w:color w:val="auto"/>
              </w:rPr>
            </w:pPr>
            <w:r>
              <w:rPr>
                <w:rFonts w:ascii="Wingdings" w:cs="Wingdings" w:eastAsia="Wingdings" w:hAnsi="Wingdings"/>
                <w:sz w:val="13"/>
                <w:szCs w:val="13"/>
                <w:b w:val="1"/>
                <w:bCs w:val="1"/>
                <w:color w:val="auto"/>
                <w:w w:val="85"/>
              </w:rPr>
              <w:t>o</w:t>
            </w:r>
          </w:p>
        </w:tc>
      </w:tr>
      <w:tr>
        <w:trPr>
          <w:trHeight w:val="256"/>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060" w:type="dxa"/>
            <w:vAlign w:val="bottom"/>
          </w:tcPr>
          <w:p>
            <w:pPr>
              <w:ind w:left="380"/>
              <w:spacing w:after="0"/>
              <w:rPr>
                <w:sz w:val="20"/>
                <w:szCs w:val="20"/>
                <w:color w:val="auto"/>
              </w:rPr>
            </w:pPr>
            <w:r>
              <w:rPr>
                <w:rFonts w:ascii="Wingdings" w:cs="Wingdings" w:eastAsia="Wingdings" w:hAnsi="Wingdings"/>
                <w:sz w:val="13"/>
                <w:szCs w:val="13"/>
                <w:b w:val="1"/>
                <w:bCs w:val="1"/>
                <w:color w:val="auto"/>
              </w:rPr>
              <w:t>o</w:t>
            </w:r>
          </w:p>
        </w:tc>
        <w:tc>
          <w:tcPr>
            <w:tcW w:w="5220" w:type="dxa"/>
            <w:vAlign w:val="bottom"/>
          </w:tcPr>
          <w:p>
            <w:pPr>
              <w:ind w:left="25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340" w:type="dxa"/>
            <w:vAlign w:val="bottom"/>
          </w:tcPr>
          <w:p>
            <w:pPr>
              <w:ind w:left="1220"/>
              <w:spacing w:after="0"/>
              <w:rPr>
                <w:sz w:val="20"/>
                <w:szCs w:val="20"/>
                <w:color w:val="auto"/>
              </w:rPr>
            </w:pPr>
            <w:r>
              <w:rPr>
                <w:rFonts w:ascii="Wingdings" w:cs="Wingdings" w:eastAsia="Wingdings" w:hAnsi="Wingdings"/>
                <w:sz w:val="13"/>
                <w:szCs w:val="13"/>
                <w:b w:val="1"/>
                <w:bCs w:val="1"/>
                <w:color w:val="auto"/>
                <w:w w:val="85"/>
              </w:rPr>
              <w:t>o</w:t>
            </w:r>
          </w:p>
        </w:tc>
      </w:tr>
      <w:tr>
        <w:trPr>
          <w:trHeight w:val="257"/>
        </w:trPr>
        <w:tc>
          <w:tcPr>
            <w:tcW w:w="158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5220" w:type="dxa"/>
            <w:vAlign w:val="bottom"/>
          </w:tcPr>
          <w:p>
            <w:pPr>
              <w:ind w:left="2540"/>
              <w:spacing w:after="0"/>
              <w:rPr>
                <w:sz w:val="20"/>
                <w:szCs w:val="20"/>
                <w:color w:val="auto"/>
              </w:rPr>
            </w:pPr>
            <w:r>
              <w:rPr>
                <w:rFonts w:ascii="Times New Roman" w:cs="Times New Roman" w:eastAsia="Times New Roman" w:hAnsi="Times New Roman"/>
                <w:sz w:val="13"/>
                <w:szCs w:val="13"/>
                <w:color w:val="auto"/>
              </w:rPr>
              <w:t>Emerging growth company</w:t>
            </w:r>
          </w:p>
        </w:tc>
        <w:tc>
          <w:tcPr>
            <w:tcW w:w="1340" w:type="dxa"/>
            <w:vAlign w:val="bottom"/>
          </w:tcPr>
          <w:p>
            <w:pPr>
              <w:ind w:left="1220"/>
              <w:spacing w:after="0"/>
              <w:rPr>
                <w:sz w:val="20"/>
                <w:szCs w:val="20"/>
                <w:color w:val="auto"/>
              </w:rPr>
            </w:pPr>
            <w:r>
              <w:rPr>
                <w:rFonts w:ascii="Wingdings" w:cs="Wingdings" w:eastAsia="Wingdings" w:hAnsi="Wingdings"/>
                <w:sz w:val="13"/>
                <w:szCs w:val="13"/>
                <w:b w:val="1"/>
                <w:bCs w:val="1"/>
                <w:color w:val="auto"/>
                <w:w w:val="85"/>
              </w:rPr>
              <w:t>o</w:t>
            </w:r>
          </w:p>
        </w:tc>
      </w:tr>
    </w:tbl>
    <w:p>
      <w:pPr>
        <w:spacing w:after="0" w:line="204" w:lineRule="exact"/>
        <w:rPr>
          <w:sz w:val="24"/>
          <w:szCs w:val="24"/>
          <w:color w:val="auto"/>
        </w:rPr>
      </w:pPr>
    </w:p>
    <w:p>
      <w:pPr>
        <w:ind w:right="160"/>
        <w:spacing w:after="0" w:line="299"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60" w:lineRule="exact"/>
        <w:rPr>
          <w:sz w:val="24"/>
          <w:szCs w:val="24"/>
          <w:color w:val="auto"/>
        </w:rPr>
      </w:pPr>
    </w:p>
    <w:p>
      <w:pPr>
        <w:spacing w:after="0" w:line="299"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x</w:t>
      </w:r>
    </w:p>
    <w:p>
      <w:pPr>
        <w:spacing w:after="0" w:line="60" w:lineRule="exact"/>
        <w:rPr>
          <w:sz w:val="24"/>
          <w:szCs w:val="24"/>
          <w:color w:val="auto"/>
        </w:rPr>
      </w:pPr>
    </w:p>
    <w:p>
      <w:pPr>
        <w:ind w:right="200"/>
        <w:spacing w:after="0" w:line="299"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60" w:lineRule="exact"/>
        <w:rPr>
          <w:sz w:val="24"/>
          <w:szCs w:val="24"/>
          <w:color w:val="auto"/>
        </w:rPr>
      </w:pPr>
    </w:p>
    <w:p>
      <w:pPr>
        <w:ind w:right="120"/>
        <w:spacing w:after="0" w:line="299" w:lineRule="auto"/>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 w:cs="Wingdings" w:eastAsia="Wingdings" w:hAnsi="Wingdings"/>
          <w:sz w:val="13"/>
          <w:szCs w:val="13"/>
          <w:b w:val="1"/>
          <w:bCs w:val="1"/>
          <w:color w:val="auto"/>
        </w:rPr>
        <w:t>o</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21" w:lineRule="exact"/>
        <w:rPr>
          <w:sz w:val="24"/>
          <w:szCs w:val="24"/>
          <w:color w:val="auto"/>
        </w:rPr>
      </w:pPr>
    </w:p>
    <w:p>
      <w:pPr>
        <w:ind w:right="140"/>
        <w:spacing w:after="0" w:line="299" w:lineRule="auto"/>
        <w:rPr>
          <w:sz w:val="20"/>
          <w:szCs w:val="20"/>
          <w:color w:val="auto"/>
        </w:rPr>
      </w:pPr>
      <w:r>
        <w:rPr>
          <w:rFonts w:ascii="Times New Roman" w:cs="Times New Roman" w:eastAsia="Times New Roman" w:hAnsi="Times New Roman"/>
          <w:sz w:val="13"/>
          <w:szCs w:val="13"/>
          <w:color w:val="auto"/>
        </w:rPr>
        <w:t>The aggregate market value of voting stock held by non-affiliates of the registrant as of December 31, 2023, the last day of registrant’s most recently completed second fiscal quarter, was $7.3 billion (based on the closing price for shares of the registrant’s common stock as reported by the NASDAQ Global Select Market for the last business day prior to that date).</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July 26, 2024, there were 55,567,199 shares of the registrant’s common stock issued and outstanding.</w:t>
      </w:r>
    </w:p>
    <w:p>
      <w:pPr>
        <w:spacing w:after="0" w:line="11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25" w:lineRule="exact"/>
        <w:rPr>
          <w:sz w:val="24"/>
          <w:szCs w:val="24"/>
          <w:color w:val="auto"/>
        </w:rPr>
      </w:pPr>
    </w:p>
    <w:p>
      <w:pPr>
        <w:ind w:right="600"/>
        <w:spacing w:after="0" w:line="299" w:lineRule="auto"/>
        <w:rPr>
          <w:sz w:val="20"/>
          <w:szCs w:val="20"/>
          <w:color w:val="auto"/>
        </w:rPr>
      </w:pPr>
      <w:r>
        <w:rPr>
          <w:rFonts w:ascii="Times New Roman" w:cs="Times New Roman" w:eastAsia="Times New Roman" w:hAnsi="Times New Roman"/>
          <w:sz w:val="13"/>
          <w:szCs w:val="13"/>
          <w:color w:val="auto"/>
        </w:rPr>
        <w:t>The information required by Part III of this Report, to the extent not set forth herein, is incorporated herein by reference from the Proxy Statement relating to the registrant’s 2025 annual meeting of stockholders, which shall be filed with the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744855</wp:posOffset>
            </wp:positionV>
            <wp:extent cx="33655" cy="10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10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744855</wp:posOffset>
            </wp:positionV>
            <wp:extent cx="34290" cy="10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10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762"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20" w:type="dxa"/>
            <w:vAlign w:val="bottom"/>
            <w:gridSpan w:val="12"/>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PAYLOCITY HOLDING CORPORATION</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gridSpan w:val="9"/>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00" w:type="dxa"/>
            <w:vAlign w:val="bottom"/>
            <w:gridSpan w:val="10"/>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For the Year Ended June 30, 2024</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40" w:type="dxa"/>
            <w:vAlign w:val="bottom"/>
            <w:gridSpan w:val="9"/>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540" w:type="dxa"/>
            <w:vAlign w:val="bottom"/>
            <w:gridSpan w:val="5"/>
            <w:vMerge w:val="restart"/>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600" w:type="dxa"/>
            <w:vAlign w:val="bottom"/>
            <w:tcBorders>
              <w:bottom w:val="single" w:sz="8" w:color="0000FF"/>
            </w:tcBorders>
            <w:gridSpan w:val="2"/>
            <w:vMerge w:val="continue"/>
          </w:tcPr>
          <w:p>
            <w:pPr>
              <w:spacing w:after="0"/>
              <w:rPr>
                <w:sz w:val="17"/>
                <w:szCs w:val="17"/>
                <w:color w:val="auto"/>
              </w:rPr>
            </w:pPr>
          </w:p>
        </w:tc>
        <w:tc>
          <w:tcPr>
            <w:tcW w:w="540" w:type="dxa"/>
            <w:vAlign w:val="bottom"/>
            <w:gridSpan w:val="5"/>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620" w:type="dxa"/>
            <w:vAlign w:val="bottom"/>
            <w:gridSpan w:val="6"/>
          </w:tcPr>
          <w:p>
            <w:pPr>
              <w:spacing w:after="0"/>
              <w:rPr>
                <w:sz w:val="24"/>
                <w:szCs w:val="24"/>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620" w:type="dxa"/>
            <w:vAlign w:val="bottom"/>
            <w:gridSpan w:val="2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7"/>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480" w:type="dxa"/>
            <w:vAlign w:val="bottom"/>
            <w:gridSpan w:val="4"/>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480" w:type="dxa"/>
            <w:vAlign w:val="bottom"/>
            <w:gridSpan w:val="4"/>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7"/>
        </w:trPr>
        <w:tc>
          <w:tcPr>
            <w:tcW w:w="6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480" w:type="dxa"/>
            <w:vAlign w:val="bottom"/>
            <w:gridSpan w:val="4"/>
          </w:tcPr>
          <w:p>
            <w:pPr>
              <w:spacing w:after="0"/>
              <w:rPr>
                <w:sz w:val="24"/>
                <w:szCs w:val="24"/>
                <w:color w:val="auto"/>
              </w:rPr>
            </w:pP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22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7"/>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40" w:type="dxa"/>
            <w:vAlign w:val="bottom"/>
            <w:tcBorders>
              <w:top w:val="single" w:sz="8" w:color="0000FF"/>
            </w:tcBorders>
            <w:gridSpan w:val="2"/>
          </w:tcPr>
          <w:p>
            <w:pPr>
              <w:spacing w:after="0"/>
              <w:rPr>
                <w:sz w:val="24"/>
                <w:szCs w:val="24"/>
                <w:color w:val="auto"/>
              </w:rPr>
            </w:pPr>
          </w:p>
        </w:tc>
        <w:tc>
          <w:tcPr>
            <w:tcW w:w="480" w:type="dxa"/>
            <w:vAlign w:val="bottom"/>
            <w:gridSpan w:val="4"/>
          </w:tcPr>
          <w:p>
            <w:pPr>
              <w:spacing w:after="0"/>
              <w:rPr>
                <w:sz w:val="24"/>
                <w:szCs w:val="24"/>
                <w:color w:val="auto"/>
              </w:rPr>
            </w:pP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260" w:type="dxa"/>
            <w:vAlign w:val="bottom"/>
            <w:gridSpan w:val="18"/>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80" w:type="dxa"/>
            <w:vAlign w:val="bottom"/>
            <w:tcBorders>
              <w:bottom w:val="single" w:sz="8" w:color="0000FF"/>
            </w:tcBorders>
          </w:tcPr>
          <w:p>
            <w:pPr>
              <w:spacing w:after="0"/>
              <w:rPr>
                <w:sz w:val="24"/>
                <w:szCs w:val="24"/>
                <w:color w:val="auto"/>
              </w:rPr>
            </w:pPr>
          </w:p>
        </w:tc>
        <w:tc>
          <w:tcPr>
            <w:tcW w:w="540" w:type="dxa"/>
            <w:vAlign w:val="bottom"/>
            <w:gridSpan w:val="5"/>
          </w:tcPr>
          <w:p>
            <w:pPr>
              <w:spacing w:after="0"/>
              <w:rPr>
                <w:sz w:val="24"/>
                <w:szCs w:val="24"/>
                <w:color w:val="auto"/>
              </w:rPr>
            </w:pP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92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620" w:type="dxa"/>
            <w:vAlign w:val="bottom"/>
            <w:gridSpan w:val="6"/>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620" w:type="dxa"/>
            <w:vAlign w:val="bottom"/>
            <w:gridSpan w:val="6"/>
          </w:tcPr>
          <w:p>
            <w:pPr>
              <w:spacing w:after="0"/>
              <w:rPr>
                <w:sz w:val="24"/>
                <w:szCs w:val="24"/>
                <w:color w:val="auto"/>
              </w:rPr>
            </w:pPr>
          </w:p>
        </w:tc>
        <w:tc>
          <w:tcPr>
            <w:tcW w:w="80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620" w:type="dxa"/>
            <w:vAlign w:val="bottom"/>
            <w:gridSpan w:val="6"/>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7.</w:t>
            </w:r>
          </w:p>
        </w:tc>
        <w:tc>
          <w:tcPr>
            <w:tcW w:w="620" w:type="dxa"/>
            <w:vAlign w:val="bottom"/>
            <w:gridSpan w:val="6"/>
          </w:tcPr>
          <w:p>
            <w:pPr>
              <w:spacing w:after="0"/>
              <w:rPr>
                <w:sz w:val="24"/>
                <w:szCs w:val="24"/>
                <w:color w:val="auto"/>
              </w:rPr>
            </w:pP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0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7"/>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7A.</w:t>
            </w:r>
          </w:p>
        </w:tc>
        <w:tc>
          <w:tcPr>
            <w:tcW w:w="480" w:type="dxa"/>
            <w:vAlign w:val="bottom"/>
            <w:gridSpan w:val="4"/>
          </w:tcPr>
          <w:p>
            <w:pPr>
              <w:spacing w:after="0"/>
              <w:rPr>
                <w:sz w:val="24"/>
                <w:szCs w:val="24"/>
                <w:color w:val="auto"/>
              </w:rPr>
            </w:pP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00" w:type="dxa"/>
            <w:vAlign w:val="bottom"/>
            <w:gridSpan w:val="7"/>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7"/>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540" w:type="dxa"/>
            <w:vAlign w:val="bottom"/>
            <w:gridSpan w:val="5"/>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9.</w:t>
            </w:r>
          </w:p>
        </w:tc>
        <w:tc>
          <w:tcPr>
            <w:tcW w:w="80" w:type="dxa"/>
            <w:vAlign w:val="bottom"/>
          </w:tcPr>
          <w:p>
            <w:pPr>
              <w:spacing w:after="0"/>
              <w:rPr>
                <w:sz w:val="24"/>
                <w:szCs w:val="24"/>
                <w:color w:val="auto"/>
              </w:rPr>
            </w:pPr>
          </w:p>
        </w:tc>
        <w:tc>
          <w:tcPr>
            <w:tcW w:w="540" w:type="dxa"/>
            <w:vAlign w:val="bottom"/>
            <w:gridSpan w:val="5"/>
          </w:tcPr>
          <w:p>
            <w:pPr>
              <w:spacing w:after="0"/>
              <w:rPr>
                <w:sz w:val="24"/>
                <w:szCs w:val="24"/>
                <w:color w:val="auto"/>
              </w:rPr>
            </w:pPr>
          </w:p>
        </w:tc>
        <w:tc>
          <w:tcPr>
            <w:tcW w:w="6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78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7"/>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9A.</w:t>
            </w:r>
          </w:p>
        </w:tc>
        <w:tc>
          <w:tcPr>
            <w:tcW w:w="480" w:type="dxa"/>
            <w:vAlign w:val="bottom"/>
            <w:gridSpan w:val="4"/>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7"/>
        </w:trPr>
        <w:tc>
          <w:tcPr>
            <w:tcW w:w="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480" w:type="dxa"/>
            <w:vAlign w:val="bottom"/>
            <w:gridSpan w:val="4"/>
          </w:tcPr>
          <w:p>
            <w:pPr>
              <w:spacing w:after="0"/>
              <w:rPr>
                <w:sz w:val="24"/>
                <w:szCs w:val="24"/>
                <w:color w:val="auto"/>
              </w:rPr>
            </w:pP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4"/>
                <w:szCs w:val="24"/>
                <w:color w:val="auto"/>
              </w:rPr>
            </w:pPr>
          </w:p>
        </w:tc>
        <w:tc>
          <w:tcPr>
            <w:tcW w:w="7500" w:type="dxa"/>
            <w:vAlign w:val="bottom"/>
            <w:gridSpan w:val="1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63"/>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480" w:type="dxa"/>
            <w:vAlign w:val="bottom"/>
            <w:gridSpan w:val="4"/>
          </w:tcPr>
          <w:p>
            <w:pPr>
              <w:spacing w:after="0"/>
              <w:rPr>
                <w:sz w:val="22"/>
                <w:szCs w:val="22"/>
                <w:color w:val="auto"/>
              </w:rPr>
            </w:pPr>
          </w:p>
        </w:tc>
        <w:tc>
          <w:tcPr>
            <w:tcW w:w="49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360" w:type="dxa"/>
            <w:vAlign w:val="bottom"/>
            <w:gridSpan w:val="6"/>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560"/>
        </w:trPr>
        <w:tc>
          <w:tcPr>
            <w:tcW w:w="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10.</w:t>
            </w: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7"/>
        </w:trPr>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540" w:type="dxa"/>
            <w:vAlign w:val="bottom"/>
            <w:gridSpan w:val="5"/>
          </w:tcPr>
          <w:p>
            <w:pPr>
              <w:spacing w:after="0"/>
              <w:rPr>
                <w:sz w:val="24"/>
                <w:szCs w:val="24"/>
                <w:color w:val="auto"/>
              </w:rPr>
            </w:pPr>
          </w:p>
        </w:tc>
        <w:tc>
          <w:tcPr>
            <w:tcW w:w="41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160" w:type="dxa"/>
            <w:vAlign w:val="bottom"/>
            <w:gridSpan w:val="8"/>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12.</w:t>
            </w:r>
          </w:p>
        </w:tc>
        <w:tc>
          <w:tcPr>
            <w:tcW w:w="420" w:type="dxa"/>
            <w:vAlign w:val="bottom"/>
            <w:gridSpan w:val="2"/>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7"/>
        </w:trPr>
        <w:tc>
          <w:tcPr>
            <w:tcW w:w="7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13.</w:t>
            </w:r>
          </w:p>
        </w:tc>
        <w:tc>
          <w:tcPr>
            <w:tcW w:w="420" w:type="dxa"/>
            <w:vAlign w:val="bottom"/>
            <w:gridSpan w:val="2"/>
          </w:tcPr>
          <w:p>
            <w:pPr>
              <w:spacing w:after="0"/>
              <w:rPr>
                <w:sz w:val="24"/>
                <w:szCs w:val="24"/>
                <w:color w:val="auto"/>
              </w:rPr>
            </w:pPr>
          </w:p>
        </w:tc>
        <w:tc>
          <w:tcPr>
            <w:tcW w:w="72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98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14.</w:t>
            </w: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15.</w:t>
            </w:r>
          </w:p>
        </w:tc>
        <w:tc>
          <w:tcPr>
            <w:tcW w:w="420" w:type="dxa"/>
            <w:vAlign w:val="bottom"/>
            <w:gridSpan w:val="2"/>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10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16.</w:t>
            </w: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7"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Except for the historical financial information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All statements, other than statements of historical fact, are statements that could be deemed forward-looking statements, including, but not limited to, statements regarding our future financial position, business strategy and plans and objectives of management for future operations. When used in this Annual Report, the words “believe,” “may,” “could,” “will,” “estimate,” “continue,” “intend,” “expect,” “anticipate,” “plan,” “project” and similar expressions are intended to identify forward-looking statements.</w:t>
      </w:r>
    </w:p>
    <w:p>
      <w:pPr>
        <w:spacing w:after="0" w:line="18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report, and in particular, the risks discussed under Part 1, Item 1A: “Risk Factors” and those discussed in other documents we file with the Securities and Exchange Commission. Except as required by law, we do not intend to update these forward-looking statements publicly or to update the reasons actual results could differ materially from those anticipated in these forward-looking statements, even if new information becomes available in the future.</w:t>
      </w:r>
    </w:p>
    <w:p>
      <w:pPr>
        <w:spacing w:after="0" w:line="185" w:lineRule="exact"/>
        <w:rPr>
          <w:sz w:val="20"/>
          <w:szCs w:val="20"/>
          <w:color w:val="auto"/>
        </w:rPr>
      </w:pPr>
    </w:p>
    <w:p>
      <w:pPr>
        <w:jc w:val="both"/>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 light of these risks, uncertainties and assumptions, the forward-looking events and circumstances discussed in this report and in the documents incorporated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are a leading cloud-based provider of human capital management, or HCM, and payroll software solutions that deliver a comprehensive platform for the modern workforce. </w:t>
      </w:r>
      <w:r>
        <w:rPr>
          <w:rFonts w:ascii="Times New Roman" w:cs="Times New Roman" w:eastAsia="Times New Roman" w:hAnsi="Times New Roman"/>
          <w:sz w:val="18"/>
          <w:szCs w:val="18"/>
          <w:color w:val="333333"/>
        </w:rPr>
        <w:t>Our HCM and payroll platform offers an intuitive, easy-to-use product suite that helps businesses attract and retain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talent, build culture and connection with their employees, and streamline and automate HR and payroll processes. </w:t>
      </w:r>
      <w:r>
        <w:rPr>
          <w:rFonts w:ascii="Times New Roman" w:cs="Times New Roman" w:eastAsia="Times New Roman" w:hAnsi="Times New Roman"/>
          <w:sz w:val="18"/>
          <w:szCs w:val="18"/>
          <w:color w:val="000000"/>
        </w:rPr>
        <w:t>Excluding clients acquired through</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acquisitions, as of June 30, 2024, we provided our software-as-a-service, or SaaS, solutions to approximately 39,050 clients across the U.S., which on average had over 150 employees.</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Effective management of human capital is a core function in all organizations and requires a significant commitment of resources. </w:t>
      </w:r>
      <w:r>
        <w:rPr>
          <w:rFonts w:ascii="Times New Roman" w:cs="Times New Roman" w:eastAsia="Times New Roman" w:hAnsi="Times New Roman"/>
          <w:sz w:val="18"/>
          <w:szCs w:val="18"/>
          <w:color w:val="333333"/>
        </w:rPr>
        <w:t>Organizations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are faced with an ever-changing employment landscape, including numerous federal, state and local regulations across multiple jurisdictions, the complexity of increasingly geographically dispersed employees, and managing hybrid workplaces. At the same time, employees’ expectations are rising, and organizations need to prioritize communication, connection, and collaboration among their employees to differentiate how they attract and retain talent and build a culture of loyalty. </w:t>
      </w:r>
      <w:r>
        <w:rPr>
          <w:rFonts w:ascii="Times New Roman" w:cs="Times New Roman" w:eastAsia="Times New Roman" w:hAnsi="Times New Roman"/>
          <w:sz w:val="18"/>
          <w:szCs w:val="18"/>
          <w:color w:val="000000"/>
        </w:rPr>
        <w:t>Many companies also are operating without the infrastructure, expertise or personnel to implement or support large and</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complex systems in today’s dynamic environment. Existing solutions offered by third-party payroll service providers can have limited capabilities and configurability while other enterprise-focused software vendors can be prohibitively expensive and time-consuming to implement and manage. We believe that modern organizations are better served by SaaS solutions designed to meet their unique needs, delivering fast time to value, and providing their employees with the most engaging experience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HCM and payroll software solutions provide the following key benefits to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171450</wp:posOffset>
            </wp:positionV>
            <wp:extent cx="4526280" cy="3317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26280" cy="331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right="20" w:hanging="328"/>
        <w:spacing w:after="0" w:line="26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Single Platform with Flexible Data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333333"/>
        </w:rPr>
        <w:t>The foundation of our platform is a single employee system of record that supports the complete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333333"/>
        </w:rPr>
        <w:t>lifecycle, while ensuring efficiency and compliance: Recruiting &amp; Onboarding, Payroll, Time &amp; Labor, HR, Benefits, Learning, and Performance &amp; Compensation. Our platform centralizes payroll and HCM data, minimizing inconsistent and incomplete information that can be produced when using multiple databases.</w:t>
      </w:r>
    </w:p>
    <w:p>
      <w:pPr>
        <w:spacing w:after="0" w:line="176" w:lineRule="exact"/>
        <w:rPr>
          <w:rFonts w:ascii="Times New Roman" w:cs="Times New Roman" w:eastAsia="Times New Roman" w:hAnsi="Times New Roman"/>
          <w:sz w:val="18"/>
          <w:szCs w:val="18"/>
          <w:color w:val="auto"/>
        </w:rPr>
      </w:pPr>
    </w:p>
    <w:p>
      <w:pPr>
        <w:ind w:left="660" w:right="200" w:hanging="328"/>
        <w:spacing w:after="0" w:line="262" w:lineRule="auto"/>
        <w:tabs>
          <w:tab w:leader="none" w:pos="655" w:val="left"/>
        </w:tabs>
        <w:numPr>
          <w:ilvl w:val="0"/>
          <w:numId w:val="1"/>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b w:val="1"/>
          <w:bCs w:val="1"/>
          <w:color w:val="auto"/>
        </w:rPr>
        <w:t xml:space="preserve">Employee Experience </w:t>
      </w:r>
      <w:r>
        <w:rPr>
          <w:rFonts w:ascii="Times New Roman" w:cs="Times New Roman" w:eastAsia="Times New Roman" w:hAnsi="Times New Roman"/>
          <w:sz w:val="18"/>
          <w:szCs w:val="18"/>
          <w:color w:val="auto"/>
        </w:rPr>
        <w:t>–We embed employee-focused features like native video, social collaboration, recognition and rewards, chat, and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throughout the platform that help employees feel connected to their work whether they are hybrid, remote, on-the-go, or do not have corporate email addresses. Our platform provides tools to communicate, connect to organizations and peers, and focus on career development and growth, which drives engagement, fosters connection across the organization and prioritizes flexibility and well-being for the employees.</w:t>
      </w:r>
    </w:p>
    <w:p>
      <w:pPr>
        <w:spacing w:after="0" w:line="176" w:lineRule="exact"/>
        <w:rPr>
          <w:rFonts w:ascii="Times New Roman" w:cs="Times New Roman" w:eastAsia="Times New Roman" w:hAnsi="Times New Roman"/>
          <w:sz w:val="18"/>
          <w:szCs w:val="18"/>
          <w:color w:val="333333"/>
        </w:rPr>
      </w:pPr>
    </w:p>
    <w:p>
      <w:pPr>
        <w:ind w:left="660" w:right="120" w:hanging="328"/>
        <w:spacing w:after="0" w:line="26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Insights, Recommendations &amp; AI </w:t>
      </w:r>
      <w:r>
        <w:rPr>
          <w:rFonts w:ascii="Times New Roman" w:cs="Times New Roman" w:eastAsia="Times New Roman" w:hAnsi="Times New Roman"/>
          <w:sz w:val="18"/>
          <w:szCs w:val="18"/>
          <w:color w:val="auto"/>
        </w:rPr>
        <w:t>– Our clients have access to their data for reporting and compliance needs, but we also provide actionable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insights powered by artificial intelligence (“AI”) based on best practices across our client base. Clients can use interactive dashboards to interpret data, get prescriptive recommendations tailored to improving efficiency and building a healthier workforce and use AI-assisted tools to automate day-to-day tasks.</w:t>
      </w:r>
    </w:p>
    <w:p>
      <w:pPr>
        <w:spacing w:after="0" w:line="176" w:lineRule="exact"/>
        <w:rPr>
          <w:rFonts w:ascii="Times New Roman" w:cs="Times New Roman" w:eastAsia="Times New Roman" w:hAnsi="Times New Roman"/>
          <w:sz w:val="18"/>
          <w:szCs w:val="18"/>
          <w:color w:val="auto"/>
        </w:rPr>
      </w:pPr>
    </w:p>
    <w:p>
      <w:pPr>
        <w:ind w:left="660" w:right="680" w:hanging="328"/>
        <w:spacing w:after="0" w:line="28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Leading Customer Service </w:t>
      </w:r>
      <w:r>
        <w:rPr>
          <w:rFonts w:ascii="Times New Roman" w:cs="Times New Roman" w:eastAsia="Times New Roman" w:hAnsi="Times New Roman"/>
          <w:sz w:val="18"/>
          <w:szCs w:val="18"/>
          <w:color w:val="auto"/>
        </w:rPr>
        <w:t>- We supplement our comprehensive software solutions with an integrated implementation and client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 all of which are designed to meet the needs of our clients and prospects.</w:t>
      </w:r>
    </w:p>
    <w:p>
      <w:pPr>
        <w:spacing w:after="0" w:line="154" w:lineRule="exact"/>
        <w:rPr>
          <w:rFonts w:ascii="Times New Roman" w:cs="Times New Roman" w:eastAsia="Times New Roman" w:hAnsi="Times New Roman"/>
          <w:sz w:val="18"/>
          <w:szCs w:val="18"/>
          <w:color w:val="auto"/>
        </w:rPr>
      </w:pPr>
    </w:p>
    <w:p>
      <w:pPr>
        <w:ind w:left="660" w:hanging="328"/>
        <w:spacing w:after="0" w:line="26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Seamless Integration with Extensive Ecosystem of Partners</w:t>
      </w:r>
      <w:r>
        <w:rPr>
          <w:rFonts w:ascii="Times New Roman" w:cs="Times New Roman" w:eastAsia="Times New Roman" w:hAnsi="Times New Roman"/>
          <w:sz w:val="18"/>
          <w:szCs w:val="18"/>
          <w:color w:val="auto"/>
        </w:rPr>
        <w:t>. Our software solutions offer our clients automated data integration with hundreds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third-party partner systems in our Integration Marketplace, such as 401(k), benefits and insurance provider systems. This integration reduces the complexity and risk of error of manual data transfers and saves time for our clients and their employees. We integrate data with these related systems through a secure connection, which significantly decreases the risk of unauthorized third-party access and other security breaches.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We market and sell our products through our direct sales force. We generate sales leads through a variety of focused marketing initiatives and from our extensive referral network of 401(k) advisors, benefits administrators, insurance brokers, third-party administrators and HR consultants. We derive revenue from a client based on the solutions purchased by the client, the number of client employees and the amount, type and timing of services provided with respect to those client employees. Our annual revenue retention rate was greater than 92% in each of the fiscal years 2022, 2023 and 2024. Our total revenues increased from $852.7 million in fiscal 2022 to $1,174.6 million in fiscal 2023, representing a 38% year-over-year increase, and to $1,402.5 million in fiscal 2024, representing a 19% year-over-year increase. We believe our recurring revenue model and high annual revenue retention rates provide significant visibility into our future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intend to strengthen and extend our position as a leading provider of cloud-based HCM and payroll software solutions. Key elements of our strategy include the following:</w:t>
      </w:r>
    </w:p>
    <w:p>
      <w:pPr>
        <w:spacing w:after="0" w:line="160" w:lineRule="exact"/>
        <w:rPr>
          <w:sz w:val="20"/>
          <w:szCs w:val="20"/>
          <w:color w:val="auto"/>
        </w:rPr>
      </w:pPr>
    </w:p>
    <w:p>
      <w:pPr>
        <w:ind w:left="660" w:right="40" w:hanging="328"/>
        <w:spacing w:after="0" w:line="258"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Extend Technological Leadership</w:t>
      </w:r>
      <w:r>
        <w:rPr>
          <w:rFonts w:ascii="Times New Roman" w:cs="Times New Roman" w:eastAsia="Times New Roman" w:hAnsi="Times New Roman"/>
          <w:sz w:val="18"/>
          <w:szCs w:val="18"/>
          <w:color w:val="auto"/>
        </w:rPr>
        <w:t>. We believe that our organically developed cloud-based software solutions, combined with our unified database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architecture, enhances the experience and usability of our products, providing what we believe to be a competitive advantage over alternative solutions. Our modern, intuitive user interface utilizes features found in many popular consumer application experiences, enabling users to use our solutions with limited training. We plan to continue our technology innovation, as we have done with our mobile applications, social features and analytics capabilities.</w:t>
      </w:r>
    </w:p>
    <w:p>
      <w:pPr>
        <w:spacing w:after="0" w:line="183"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 Our Client Base</w:t>
      </w:r>
      <w:r>
        <w:rPr>
          <w:rFonts w:ascii="Times New Roman" w:cs="Times New Roman" w:eastAsia="Times New Roman" w:hAnsi="Times New Roman"/>
          <w:sz w:val="18"/>
          <w:szCs w:val="18"/>
          <w:color w:val="auto"/>
        </w:rPr>
        <w:t>. We believe that our current client base represents only a small portion of the organizations that could benefit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Our clients typically have between 10 to 5,000 employees. While we provide our HCM and payroll software solutions to approximately 39,050 clients across the U.S. (excluding clients acquired through acquisitions) as of June 30, 2024, there are approximately 1.3 million businesses with 10 to 5,000 employees in the U.S., employing approximately 69 million people, according to the U.S. Census Bureau in 2021. We estimate that if clients were to buy our entire suite of existing solutions at list prices, they would spend approximately $550 per employee annually. We believe our realized target addressable market is approximately $19.5 billion as clients, on average, purchase 50% or more of our suite of solutions. As we continue to expand our product offerings, we believe that we have an opportunity to increase the amounts clients spend on HCM solutions per employee and to expand our addressable market. As we expand our client base and number of employees, we will also grow our sales organization.</w:t>
      </w:r>
    </w:p>
    <w:p>
      <w:pPr>
        <w:spacing w:after="0" w:line="188" w:lineRule="exact"/>
        <w:rPr>
          <w:rFonts w:ascii="Times New Roman" w:cs="Times New Roman" w:eastAsia="Times New Roman" w:hAnsi="Times New Roman"/>
          <w:sz w:val="18"/>
          <w:szCs w:val="18"/>
          <w:color w:val="auto"/>
        </w:rPr>
      </w:pPr>
    </w:p>
    <w:p>
      <w:pPr>
        <w:ind w:left="660" w:right="240" w:hanging="328"/>
        <w:spacing w:after="0" w:line="267"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Expand Our Product Offerings</w:t>
      </w:r>
      <w:r>
        <w:rPr>
          <w:rFonts w:ascii="Times New Roman" w:cs="Times New Roman" w:eastAsia="Times New Roman" w:hAnsi="Times New Roman"/>
          <w:sz w:val="18"/>
          <w:szCs w:val="18"/>
          <w:color w:val="auto"/>
        </w:rPr>
        <w:t>. We believe a significant part of our leadership position is the result of our investment and innovation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offerings. We plan to continue to invest in product development efforts that will allow us to offer a broader selection of products to new and existing clients.</w:t>
      </w:r>
    </w:p>
    <w:p>
      <w:pPr>
        <w:spacing w:after="0" w:line="173" w:lineRule="exact"/>
        <w:rPr>
          <w:rFonts w:ascii="Times New Roman" w:cs="Times New Roman" w:eastAsia="Times New Roman" w:hAnsi="Times New Roman"/>
          <w:sz w:val="18"/>
          <w:szCs w:val="18"/>
          <w:i w:val="1"/>
          <w:iCs w:val="1"/>
          <w:color w:val="auto"/>
        </w:rPr>
      </w:pPr>
    </w:p>
    <w:p>
      <w:pPr>
        <w:ind w:left="660" w:hanging="328"/>
        <w:spacing w:after="0" w:line="257"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Develop Our Referral Network</w:t>
      </w:r>
      <w:r>
        <w:rPr>
          <w:rFonts w:ascii="Times New Roman" w:cs="Times New Roman" w:eastAsia="Times New Roman" w:hAnsi="Times New Roman"/>
          <w:sz w:val="18"/>
          <w:szCs w:val="18"/>
          <w:color w:val="auto"/>
        </w:rPr>
        <w:t>. We have developed a strong network of referral participants, such as 401(k) advisors,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administrators, insurance brokers, third-party administrators and HR consultants that recommend our solutions and provide referrals. We believe that our platform’s automated data integration with hundreds of related third-party partner systems is valuable to our referral participants, as they are able to access payroll and HR data through a single system which decreases complexity and cost and complements their own product offerings. We plan to increase integration with third-party providers and expand our referral network to grow our client base and lower our client acquisition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333333"/>
        </w:rPr>
        <w:t>HCM and payroll software solutions</w:t>
      </w:r>
      <w:r>
        <w:rPr>
          <w:rFonts w:ascii="Times New Roman" w:cs="Times New Roman" w:eastAsia="Times New Roman" w:hAnsi="Times New Roman"/>
          <w:sz w:val="18"/>
          <w:szCs w:val="18"/>
          <w:color w:val="auto"/>
        </w:rPr>
        <w:t xml:space="preserve"> deliver a unified platform for the modern workplace. </w:t>
      </w:r>
      <w:r>
        <w:rPr>
          <w:rFonts w:ascii="Times New Roman" w:cs="Times New Roman" w:eastAsia="Times New Roman" w:hAnsi="Times New Roman"/>
          <w:sz w:val="18"/>
          <w:szCs w:val="18"/>
          <w:color w:val="333333"/>
        </w:rPr>
        <w:t>We offer an intuitive, easy-to-use product suite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helps businesses attract and retain talent, build culture and connection with their employees and streamline and automate HR and payroll processes. </w:t>
      </w:r>
      <w:r>
        <w:rPr>
          <w:rFonts w:ascii="Times New Roman" w:cs="Times New Roman" w:eastAsia="Times New Roman" w:hAnsi="Times New Roman"/>
          <w:sz w:val="18"/>
          <w:szCs w:val="18"/>
          <w:color w:val="000000"/>
        </w:rPr>
        <w:t>Our</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product suite includes the following categories: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Payroll</w:t>
      </w:r>
    </w:p>
    <w:p>
      <w:pPr>
        <w:spacing w:after="0" w:line="225" w:lineRule="exact"/>
        <w:rPr>
          <w:sz w:val="20"/>
          <w:szCs w:val="20"/>
          <w:color w:val="auto"/>
        </w:rPr>
      </w:pPr>
    </w:p>
    <w:p>
      <w:pPr>
        <w:ind w:left="660" w:right="100"/>
        <w:spacing w:after="0" w:line="257" w:lineRule="auto"/>
        <w:rPr>
          <w:sz w:val="20"/>
          <w:szCs w:val="20"/>
          <w:color w:val="auto"/>
        </w:rPr>
      </w:pPr>
      <w:r>
        <w:rPr>
          <w:rFonts w:ascii="Times New Roman" w:cs="Times New Roman" w:eastAsia="Times New Roman" w:hAnsi="Times New Roman"/>
          <w:sz w:val="18"/>
          <w:szCs w:val="18"/>
          <w:i w:val="1"/>
          <w:iCs w:val="1"/>
          <w:color w:val="auto"/>
        </w:rPr>
        <w:t>Payroll and Tax Service</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Payroll and Tax Services solution is designed to simplify payroll, automate processes and manage complex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requirements within one system. Our payroll solution leverages data from our Time &amp; Labor and Human Resource solutions to accurately calculate wages, deductions and withholdings, without the need for manual reentry. Clients work with our experts to configure general ledger integrations, accruals and complex reports to enable data-driven decision making. Our integration capabilities also automatically transfer 401(k) information, retirement plans and benefit files to third-party providers. Through our Tax Services solutions, we accurately prepare and file the necessary tax withholdings and filing documents for local, state and federal jurisdictions.</w:t>
      </w:r>
    </w:p>
    <w:p>
      <w:pPr>
        <w:spacing w:after="0" w:line="184" w:lineRule="exact"/>
        <w:rPr>
          <w:sz w:val="20"/>
          <w:szCs w:val="20"/>
          <w:color w:val="auto"/>
        </w:rPr>
      </w:pPr>
    </w:p>
    <w:p>
      <w:pPr>
        <w:jc w:val="both"/>
        <w:ind w:left="66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Global Payroll – </w:t>
      </w:r>
      <w:r>
        <w:rPr>
          <w:rFonts w:ascii="Times New Roman" w:cs="Times New Roman" w:eastAsia="Times New Roman" w:hAnsi="Times New Roman"/>
          <w:sz w:val="18"/>
          <w:szCs w:val="18"/>
          <w:color w:val="auto"/>
        </w:rPr>
        <w:t>Our cloud-based global payroll solution enables U.S.-based companies to manage payroll for employees outside the U.S. in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complex local and country-specific requirements across over 100 countries. It also provides consolidated reporting capabilities to efficiently manage a global employee base with real-time access to payroll data.</w:t>
      </w:r>
    </w:p>
    <w:p>
      <w:pPr>
        <w:spacing w:after="0" w:line="173" w:lineRule="exact"/>
        <w:rPr>
          <w:sz w:val="20"/>
          <w:szCs w:val="20"/>
          <w:color w:val="auto"/>
        </w:rPr>
      </w:pPr>
    </w:p>
    <w:p>
      <w:pPr>
        <w:jc w:val="both"/>
        <w:ind w:left="660" w:righ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Expense Management </w:t>
      </w:r>
      <w:r>
        <w:rPr>
          <w:rFonts w:ascii="Times New Roman" w:cs="Times New Roman" w:eastAsia="Times New Roman" w:hAnsi="Times New Roman"/>
          <w:sz w:val="18"/>
          <w:szCs w:val="18"/>
          <w:color w:val="auto"/>
        </w:rPr>
        <w:t>– Our Expense Management solution enables mobile app capture of receipts and imports transactions from credit cards,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reducing manual entry errors and minimizing employee and approver paperwork, while also eliminating spreadsheets, calculators and manual approvals through automated workflows that route approved expenses for payroll reimbursement.</w:t>
      </w:r>
    </w:p>
    <w:p>
      <w:pPr>
        <w:spacing w:after="0" w:line="173" w:lineRule="exact"/>
        <w:rPr>
          <w:sz w:val="20"/>
          <w:szCs w:val="20"/>
          <w:color w:val="auto"/>
        </w:rPr>
      </w:pPr>
    </w:p>
    <w:p>
      <w:pPr>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On Demand Payment </w:t>
      </w:r>
      <w:r>
        <w:rPr>
          <w:rFonts w:ascii="Times New Roman" w:cs="Times New Roman" w:eastAsia="Times New Roman" w:hAnsi="Times New Roman"/>
          <w:sz w:val="18"/>
          <w:szCs w:val="18"/>
          <w:color w:val="auto"/>
        </w:rPr>
        <w:t>– On Demand Payment provides employees with visibility into their earned wages in between pay cycles based on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hours worked and offers financial flexibility to employees through access to a portion of their earned wages before their scheduled payday without impacting the client’s standard payroll process.</w:t>
      </w:r>
    </w:p>
    <w:p>
      <w:pPr>
        <w:spacing w:after="0" w:line="173" w:lineRule="exact"/>
        <w:rPr>
          <w:sz w:val="20"/>
          <w:szCs w:val="20"/>
          <w:color w:val="auto"/>
        </w:rPr>
      </w:pPr>
    </w:p>
    <w:p>
      <w:pPr>
        <w:ind w:left="660" w:right="7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Garnishments </w:t>
      </w:r>
      <w:r>
        <w:rPr>
          <w:rFonts w:ascii="Times New Roman" w:cs="Times New Roman" w:eastAsia="Times New Roman" w:hAnsi="Times New Roman"/>
          <w:sz w:val="18"/>
          <w:szCs w:val="18"/>
          <w:color w:val="auto"/>
        </w:rPr>
        <w:t>– Our Garnishments solution provides the calculation, setup and maintenance of historical deduction records and performs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calculation validation against state and federal legislation to mitigate compliance risk and prevent costly penalties and errors.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Human Resources</w:t>
      </w:r>
    </w:p>
    <w:p>
      <w:pPr>
        <w:spacing w:after="0" w:line="227" w:lineRule="exact"/>
        <w:rPr>
          <w:sz w:val="20"/>
          <w:szCs w:val="20"/>
          <w:color w:val="auto"/>
        </w:rPr>
      </w:pPr>
    </w:p>
    <w:p>
      <w:pPr>
        <w:jc w:val="both"/>
        <w:ind w:left="660" w:righ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Human Resources </w:t>
      </w:r>
      <w:r>
        <w:rPr>
          <w:rFonts w:ascii="Times New Roman" w:cs="Times New Roman" w:eastAsia="Times New Roman" w:hAnsi="Times New Roman"/>
          <w:sz w:val="18"/>
          <w:szCs w:val="18"/>
          <w:color w:val="auto"/>
        </w:rPr>
        <w:t>– Human Resources solutions streamline processes using modern, mobile-enabled tools that help save time by automating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tasks and providing data-driven reporting. Clients can track headcount and status for positions, manage position and manager changes, manage compliance tracking and reporting and employee data and documents in one central location.</w:t>
      </w:r>
    </w:p>
    <w:p>
      <w:pPr>
        <w:spacing w:after="0" w:line="173" w:lineRule="exact"/>
        <w:rPr>
          <w:sz w:val="20"/>
          <w:szCs w:val="20"/>
          <w:color w:val="auto"/>
        </w:rPr>
      </w:pPr>
    </w:p>
    <w:p>
      <w:pPr>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Self-Service </w:t>
      </w:r>
      <w:r>
        <w:rPr>
          <w:rFonts w:ascii="Times New Roman" w:cs="Times New Roman" w:eastAsia="Times New Roman" w:hAnsi="Times New Roman"/>
          <w:sz w:val="18"/>
          <w:szCs w:val="18"/>
          <w:color w:val="auto"/>
        </w:rPr>
        <w:t>– Our Employee Self-Service module provides employees with access to their information 24/7, which allows them to view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checks, request time off, clock in and out, update personal data and collaborate with teammates. Employees can also enroll in benefits, view coverage, access Learning Management System training or view course completion status on-the-go via our mobile app.</w:t>
      </w:r>
    </w:p>
    <w:p>
      <w:pPr>
        <w:spacing w:after="0" w:line="173"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Workflows &amp; Documents </w:t>
      </w:r>
      <w:r>
        <w:rPr>
          <w:rFonts w:ascii="Times New Roman" w:cs="Times New Roman" w:eastAsia="Times New Roman" w:hAnsi="Times New Roman"/>
          <w:sz w:val="18"/>
          <w:szCs w:val="18"/>
          <w:color w:val="auto"/>
        </w:rPr>
        <w:t>– Workflows, the process automation engine embedded throughout the Paylocity platform, uses triggers and if/then logic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allow clients to automate manual processes, improving efficiency and data accuracy. Paylocity offers both out-of-the-box workflow templates, and allows clients to create their own based on business needs. Documents serves as a central location to securely store personal employee files such as offer letters and performance reviews to help clients stay compliant and organized by replacing manual processes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and paper files. HR professionals can search electronic documents and easily upload, store and download documents while managing access with our role-based permission settings.</w:t>
      </w:r>
    </w:p>
    <w:p>
      <w:pPr>
        <w:spacing w:after="0" w:line="160" w:lineRule="exact"/>
        <w:rPr>
          <w:sz w:val="20"/>
          <w:szCs w:val="20"/>
          <w:color w:val="auto"/>
        </w:rPr>
      </w:pPr>
    </w:p>
    <w:p>
      <w:pPr>
        <w:ind w:left="660" w:righ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HR Compliance Dashboard </w:t>
      </w:r>
      <w:r>
        <w:rPr>
          <w:rFonts w:ascii="Times New Roman" w:cs="Times New Roman" w:eastAsia="Times New Roman" w:hAnsi="Times New Roman"/>
          <w:sz w:val="18"/>
          <w:szCs w:val="18"/>
          <w:color w:val="auto"/>
        </w:rPr>
        <w:t>– With our HR Compliance Dashboard, clients save time and money by staying up to date with new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related to topics such as employment verification, Equal Employment Opportunity and compensation.</w:t>
      </w:r>
    </w:p>
    <w:p>
      <w:pPr>
        <w:spacing w:after="0" w:line="158" w:lineRule="exact"/>
        <w:rPr>
          <w:sz w:val="20"/>
          <w:szCs w:val="20"/>
          <w:color w:val="auto"/>
        </w:rPr>
      </w:pPr>
    </w:p>
    <w:p>
      <w:pPr>
        <w:ind w:left="660"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HR Edge </w:t>
      </w:r>
      <w:r>
        <w:rPr>
          <w:rFonts w:ascii="Times New Roman" w:cs="Times New Roman" w:eastAsia="Times New Roman" w:hAnsi="Times New Roman"/>
          <w:sz w:val="18"/>
          <w:szCs w:val="18"/>
          <w:color w:val="auto"/>
        </w:rPr>
        <w:t>– HR Edge supports human resource leaders’ navigation through complex compliance requirements, social issues and HR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can also access a comprehensive library of detailed articles, guides and other resources to make informed decisions on compliance topics such as healthcare reform, wages and hours regulations, employee leave, state laws, discrimination and more.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Time &amp; Labor</w:t>
      </w:r>
    </w:p>
    <w:p>
      <w:pPr>
        <w:spacing w:after="0" w:line="227" w:lineRule="exact"/>
        <w:rPr>
          <w:sz w:val="20"/>
          <w:szCs w:val="20"/>
          <w:color w:val="auto"/>
        </w:rPr>
      </w:pPr>
    </w:p>
    <w:p>
      <w:pPr>
        <w:ind w:left="660"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Time and Attendance </w:t>
      </w:r>
      <w:r>
        <w:rPr>
          <w:rFonts w:ascii="Times New Roman" w:cs="Times New Roman" w:eastAsia="Times New Roman" w:hAnsi="Times New Roman"/>
          <w:sz w:val="18"/>
          <w:szCs w:val="18"/>
          <w:color w:val="auto"/>
        </w:rPr>
        <w:t>– Our Time and Attendance solution accurately tracks time and attendance data, eliminating the need for manual tracking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accruals and reducing administrative tasks. Employees can request and manage time off, edit timecards and manage schedule changes. A customizable supervisor dashboard provides at-a-glance visibility to missed punches, pending time off requests, attendance exceptions and more.</w:t>
      </w:r>
    </w:p>
    <w:p>
      <w:pPr>
        <w:spacing w:after="0" w:line="173" w:lineRule="exact"/>
        <w:rPr>
          <w:sz w:val="20"/>
          <w:szCs w:val="20"/>
          <w:color w:val="auto"/>
        </w:rPr>
      </w:pPr>
    </w:p>
    <w:p>
      <w:pPr>
        <w:ind w:left="66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Scheduling </w:t>
      </w:r>
      <w:r>
        <w:rPr>
          <w:rFonts w:ascii="Times New Roman" w:cs="Times New Roman" w:eastAsia="Times New Roman" w:hAnsi="Times New Roman"/>
          <w:sz w:val="18"/>
          <w:szCs w:val="18"/>
          <w:color w:val="auto"/>
        </w:rPr>
        <w:t>– Clients can automate schedule tracking by creating and adjusting work schedules as needed, including leveraging templates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 policies based on duration, time between shifts and availability without having to manually correct payroll data. Managers and employees can easily manage their schedules from our mobile app to ensure the appropriate shift coverage.</w:t>
      </w:r>
    </w:p>
    <w:p>
      <w:pPr>
        <w:spacing w:after="0" w:line="173" w:lineRule="exact"/>
        <w:rPr>
          <w:sz w:val="20"/>
          <w:szCs w:val="20"/>
          <w:color w:val="auto"/>
        </w:rPr>
      </w:pPr>
    </w:p>
    <w:p>
      <w:pPr>
        <w:ind w:left="660" w:righ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Time Collection </w:t>
      </w:r>
      <w:r>
        <w:rPr>
          <w:rFonts w:ascii="Times New Roman" w:cs="Times New Roman" w:eastAsia="Times New Roman" w:hAnsi="Times New Roman"/>
          <w:sz w:val="18"/>
          <w:szCs w:val="18"/>
          <w:color w:val="auto"/>
        </w:rPr>
        <w:t>– Our wide variety of time collection devices include kiosks, state-of-the-art time clocks, and mobile and web applications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unique needs of different companies while enabling employees to clock in wherever business is conducted. Advanced features include specifying geographic parameters for mobile punch-in, requiring employees to punch in with a photo, answering attestation prompts and other health and safety checks.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Talent</w:t>
      </w:r>
    </w:p>
    <w:p>
      <w:pPr>
        <w:spacing w:after="0" w:line="227"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Recruiting </w:t>
      </w:r>
      <w:r>
        <w:rPr>
          <w:rFonts w:ascii="Times New Roman" w:cs="Times New Roman" w:eastAsia="Times New Roman" w:hAnsi="Times New Roman"/>
          <w:sz w:val="18"/>
          <w:szCs w:val="18"/>
          <w:color w:val="auto"/>
        </w:rPr>
        <w:t>– Recruiting helps clients find the right candidates by offering intuitive tools to streamline talent acquisition processes from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creation to candidate acceptance. HR professionals can customize job applications and reach more candidates by automatically posting to online job portals and enabling candidates to apply via QR code or text message. To promote an inclusive culture, clients can activate masking of certain candidate details to promote recruiting without bias, while still collecting all essential details, including diversity information. Additionally, our solution provides clients with the ability to auto-fill and simplify background checks, maintain and track personal and confidential data, and have real-time access to candidate information to enable timely staffing decisions. Scheduling is simple with Outlook and Google Calendar integrations, and recruiters can communicate with modern candidates in the ways they expect, including email and text messaging from right within our platform.</w:t>
      </w:r>
    </w:p>
    <w:p>
      <w:pPr>
        <w:spacing w:after="0" w:line="185"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Onboarding </w:t>
      </w:r>
      <w:r>
        <w:rPr>
          <w:rFonts w:ascii="Times New Roman" w:cs="Times New Roman" w:eastAsia="Times New Roman" w:hAnsi="Times New Roman"/>
          <w:sz w:val="18"/>
          <w:szCs w:val="18"/>
          <w:color w:val="auto"/>
        </w:rPr>
        <w:t>– Onboarding enables new employees to complete all pre-hire tasks through digital data collection to gather important personal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confidential information and documentation right through our platform. Clients can streamline processes such as handbook acknowledgment, tax withholding forms, I-9 document verification, E-Verify and many others. Additionally, new hires feel an instant connection to their team and employer with welcome notes from leaders, introductory videos, company culture information and company policies.</w:t>
      </w:r>
    </w:p>
    <w:p>
      <w:pPr>
        <w:spacing w:after="0" w:line="180" w:lineRule="exact"/>
        <w:rPr>
          <w:sz w:val="20"/>
          <w:szCs w:val="20"/>
          <w:color w:val="auto"/>
        </w:rPr>
      </w:pPr>
    </w:p>
    <w:p>
      <w:pPr>
        <w:jc w:val="both"/>
        <w:ind w:left="660" w:righ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 Pay </w:t>
      </w:r>
      <w:r>
        <w:rPr>
          <w:rFonts w:ascii="Times New Roman" w:cs="Times New Roman" w:eastAsia="Times New Roman" w:hAnsi="Times New Roman"/>
          <w:sz w:val="18"/>
          <w:szCs w:val="18"/>
          <w:color w:val="auto"/>
        </w:rPr>
        <w:t>– Market Pay provides real time insights for HR, leaders and managers making it easy for them to understand their local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trends, and make data-driven decisions about employee compensation so they can pay employees fairly, stay ahead of competitors to attract and retain top talent, and remain compliant with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Learning </w:t>
      </w:r>
      <w:r>
        <w:rPr>
          <w:rFonts w:ascii="Times New Roman" w:cs="Times New Roman" w:eastAsia="Times New Roman" w:hAnsi="Times New Roman"/>
          <w:sz w:val="18"/>
          <w:szCs w:val="18"/>
          <w:color w:val="auto"/>
        </w:rPr>
        <w:t>– Our Learning tools allow clients to easily assign courses tailored to training their employees on new skills, policies,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topics with a variety of course delivery methods including on-demand and webinars, all of which are available via our mobile app. Our clients can create a variety of content for their employees including via a Sharable Content Object Reference Model (SCORM), embedded video and various document types. The client’s custom content is supplemented by a library of standard trainings provided by Paylocity to help in areas like anti-harassment, new hire, workplace safety, diversity in recruiting and many more. Clients can also empower their employees to create trainings so that internal subject matter experts can share their expertise with colleagues. Our Learning tools also offer numerous diversity, equity, inclusion and accessibility courses to help ensure employees are educated to support a diverse workforce.</w:t>
      </w:r>
    </w:p>
    <w:p>
      <w:pPr>
        <w:spacing w:after="0" w:line="183" w:lineRule="exact"/>
        <w:rPr>
          <w:sz w:val="20"/>
          <w:szCs w:val="20"/>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Performance </w:t>
      </w:r>
      <w:r>
        <w:rPr>
          <w:rFonts w:ascii="Times New Roman" w:cs="Times New Roman" w:eastAsia="Times New Roman" w:hAnsi="Times New Roman"/>
          <w:sz w:val="18"/>
          <w:szCs w:val="18"/>
          <w:color w:val="auto"/>
        </w:rPr>
        <w:t>– Our Performance tools enable transparent, two-way communication, allowing teams to have ongoing performance conversations.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ability to manage employee review cycles at the center of the performance management solution, employees can also manage goals and track their career development. Our tools help facilitate ongoing, goals-driven conversations using Journals, giving employees a record of their tasks, goals and accomplishments. Additionally, our clients can prepare succession planning assessments across their employee population by using our 9-box tool that provides context to employees’ performance and the ability to visualize the distribution of their workforce.</w:t>
      </w:r>
    </w:p>
    <w:p>
      <w:pPr>
        <w:spacing w:after="0" w:line="183"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 Our Compensation tools help clients ensure alignment between organizational goals, budgets and participant eligibility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efficient process that reduces manual effort and paper-based budgeting activities. Our customized dashboards provide visibility to individual performance and compensation history at custom permission levels and the full value of an employee’s compensation and benefits. Clients can create employee-facing Total Rewards Statements in bulk to demonstrate the full compensation an employee receives—including not just pay, but also benefits, time off, and more.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Benefits</w:t>
      </w:r>
    </w:p>
    <w:p>
      <w:pPr>
        <w:spacing w:after="0" w:line="227" w:lineRule="exact"/>
        <w:rPr>
          <w:sz w:val="20"/>
          <w:szCs w:val="20"/>
          <w:color w:val="auto"/>
        </w:rPr>
      </w:pPr>
    </w:p>
    <w:p>
      <w:pPr>
        <w:ind w:left="660"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Benefit Enrollment &amp; Updates </w:t>
      </w:r>
      <w:r>
        <w:rPr>
          <w:rFonts w:ascii="Times New Roman" w:cs="Times New Roman" w:eastAsia="Times New Roman" w:hAnsi="Times New Roman"/>
          <w:sz w:val="18"/>
          <w:szCs w:val="18"/>
          <w:color w:val="auto"/>
        </w:rPr>
        <w:t>– Clients can plan and administer competitive benefits packages in one place while offering a smooth, mobile-friendly enrollment and management experience for employees with our tool. Benefit administrators can add enrollment rules, manage benefit offerings for different employee groups, customize user plan limits, and view plan documentation, among other features. Employees can manage their own elections in Employee Self Service or via the mobile app, access open enrollment, account balances and more. Clients can also use embedded experiences like notifications and training to help employees easily stay apprised of important dates and understand the benefit options available to them.</w:t>
      </w:r>
    </w:p>
    <w:p>
      <w:pPr>
        <w:spacing w:after="0" w:line="182"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Third-Party Administrative (TPA) Solutions </w:t>
      </w:r>
      <w:r>
        <w:rPr>
          <w:rFonts w:ascii="Times New Roman" w:cs="Times New Roman" w:eastAsia="Times New Roman" w:hAnsi="Times New Roman"/>
          <w:sz w:val="18"/>
          <w:szCs w:val="18"/>
          <w:color w:val="auto"/>
        </w:rPr>
        <w:t>– Our TPA solutions are designed to modernize the administration of HSA, FSA,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Arrangement (HRA), Transportation Management Account (TMA) and Premium Only Plan (POP) benefits by providing users with a single, unified access point for payroll, HR, and benefits administration. Our TPA solutions include mobile and web access, allowing users to view transaction details and account balances while having the ability to submit claims from our integrated employee portal. These solutions also ease the administration of COBRA coverage and retiree billing.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Experiences</w:t>
      </w:r>
    </w:p>
    <w:p>
      <w:pPr>
        <w:spacing w:after="0" w:line="227" w:lineRule="exact"/>
        <w:rPr>
          <w:sz w:val="20"/>
          <w:szCs w:val="20"/>
          <w:color w:val="auto"/>
        </w:rPr>
      </w:pPr>
    </w:p>
    <w:p>
      <w:pPr>
        <w:ind w:left="660"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Community </w:t>
      </w:r>
      <w:r>
        <w:rPr>
          <w:rFonts w:ascii="Times New Roman" w:cs="Times New Roman" w:eastAsia="Times New Roman" w:hAnsi="Times New Roman"/>
          <w:sz w:val="18"/>
          <w:szCs w:val="18"/>
          <w:color w:val="auto"/>
        </w:rPr>
        <w:t>– Community is an integrated part of our platform that streamlines communication and fosters a culture of engagement not possible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broadcast emails, antiquated intranets or break room bulletin boards. It empowers clients to engage all employees—even those that are remote, on-the-go or do not have corporate email, which is more critical than ever in the new hybrid world of work. With Community, clients can optimize “broadcast” communications with a company feed that streamlines announcements into a single location. Announcements can be managed, sent and tracked with an intuitive dashboard. Clients can support their employees at scale with Ask an Expert groups where employees can pose questions to designated group experts who manage questions from a dashboard. Community also offers premium capabilities such as one-to-one and one-to many chat functionality to improve real-time communication; the ability to upload, create, edit, and share files; the automatic creation of team groups for supervisors and direct reports; updated user profiles allowing employees to list interests, team members, education, skills or hobbies and enhanced directory and search capability to easily find, follow and engage with co-workers.</w:t>
      </w:r>
    </w:p>
    <w:p>
      <w:pPr>
        <w:spacing w:after="0" w:line="188" w:lineRule="exact"/>
        <w:rPr>
          <w:sz w:val="20"/>
          <w:szCs w:val="20"/>
          <w:color w:val="auto"/>
        </w:rPr>
      </w:pPr>
    </w:p>
    <w:p>
      <w:pPr>
        <w:ind w:left="66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Video </w:t>
      </w:r>
      <w:r>
        <w:rPr>
          <w:rFonts w:ascii="Times New Roman" w:cs="Times New Roman" w:eastAsia="Times New Roman" w:hAnsi="Times New Roman"/>
          <w:sz w:val="18"/>
          <w:szCs w:val="18"/>
          <w:color w:val="auto"/>
        </w:rPr>
        <w:t>– Video provides clients the ability to record, upload and embed videos across our HCM platform to increase collaboration, morale,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 and productivity. Clients can embed videos seamlessly into tasks that are critical to their business such as leadership announcements, job postings, onboarding, performance journals, surveys and more.</w:t>
      </w:r>
    </w:p>
    <w:p>
      <w:pPr>
        <w:spacing w:after="0" w:line="173" w:lineRule="exact"/>
        <w:rPr>
          <w:sz w:val="20"/>
          <w:szCs w:val="20"/>
          <w:color w:val="auto"/>
        </w:rPr>
      </w:pPr>
    </w:p>
    <w:p>
      <w:pPr>
        <w:ind w:left="660"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Voice </w:t>
      </w:r>
      <w:r>
        <w:rPr>
          <w:rFonts w:ascii="Times New Roman" w:cs="Times New Roman" w:eastAsia="Times New Roman" w:hAnsi="Times New Roman"/>
          <w:sz w:val="18"/>
          <w:szCs w:val="18"/>
          <w:color w:val="auto"/>
        </w:rPr>
        <w:t>– Employee Voice helps clients automatically and continuously collect feedback that is indicative of employee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retention. It also includes the tools to share relevant insights with leadership and managers and create action plans to drive accountability.</w:t>
      </w:r>
    </w:p>
    <w:p>
      <w:pPr>
        <w:spacing w:after="0" w:line="158" w:lineRule="exact"/>
        <w:rPr>
          <w:sz w:val="20"/>
          <w:szCs w:val="20"/>
          <w:color w:val="auto"/>
        </w:rPr>
      </w:pPr>
    </w:p>
    <w:p>
      <w:pPr>
        <w:ind w:left="660"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Recognition &amp; Rewards </w:t>
      </w:r>
      <w:r>
        <w:rPr>
          <w:rFonts w:ascii="Times New Roman" w:cs="Times New Roman" w:eastAsia="Times New Roman" w:hAnsi="Times New Roman"/>
          <w:sz w:val="18"/>
          <w:szCs w:val="18"/>
          <w:color w:val="auto"/>
        </w:rPr>
        <w:t>– Recognition &amp; Rewards allows clients to drive engagement and retention via a frictionless experience embedded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our platform. Giving and receiving recognition is simple and offers both automation (such as recognition for common moments that matters like birthdays or anniversaries) and customization (such as rewards programs with cash redemption).</w:t>
      </w:r>
    </w:p>
    <w:p>
      <w:pPr>
        <w:spacing w:after="0" w:line="173"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Modern Workforce Index </w:t>
      </w:r>
      <w:r>
        <w:rPr>
          <w:rFonts w:ascii="Times New Roman" w:cs="Times New Roman" w:eastAsia="Times New Roman" w:hAnsi="Times New Roman"/>
          <w:sz w:val="18"/>
          <w:szCs w:val="18"/>
          <w:color w:val="auto"/>
        </w:rPr>
        <w:t>– Leveraging data from more than 39,050 clients, our patent-pending Modern Workforce Index (MWI) puts sophisticated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 into an HR intelligence dashboard that gives clients insight into employee sentiment, performance metrics, and engagement. With MWI, clients can identify gaps and get smart, actionable recommendations on how to improve their organization’s health by increasing employee productivity and reducing turnover.</w:t>
      </w:r>
    </w:p>
    <w:p>
      <w:pPr>
        <w:spacing w:after="0" w:line="180" w:lineRule="exact"/>
        <w:rPr>
          <w:sz w:val="20"/>
          <w:szCs w:val="20"/>
          <w:color w:val="auto"/>
        </w:rPr>
      </w:pPr>
    </w:p>
    <w:p>
      <w:pPr>
        <w:ind w:left="660"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Data Insights </w:t>
      </w:r>
      <w:r>
        <w:rPr>
          <w:rFonts w:ascii="Times New Roman" w:cs="Times New Roman" w:eastAsia="Times New Roman" w:hAnsi="Times New Roman"/>
          <w:sz w:val="18"/>
          <w:szCs w:val="18"/>
          <w:color w:val="auto"/>
        </w:rPr>
        <w:t>– With our Data Insights solution, our clients can evaluate the health of their organizations with actionable insights in areas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headcount, turnover, labor costs and composition of their employee populations so they can customize, fund and deploy strategies to support diverse employees and identify needs of underrepresented groups.</w:t>
      </w:r>
    </w:p>
    <w:p>
      <w:pPr>
        <w:spacing w:after="0" w:line="173"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 Clients can build and customize reports within our platform. We also offer hundreds of standard reports that clients can use as is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 to suit their needs. New reports are added regularly in response to regulatory changes, compliance updates and client feedback.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 Support Teams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supplement our comprehensive software platform with an integrated implementation and client service organization with deep subject matter expertise. Our core operation consists of various specialists, including implementation teams, account managers, payroll processing and tax service teams. Delivering a positive experience and a high level of support is an essential element of our ability to sell our solutions and retain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Implementation and Training Services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clients are typically either migrating to our platform from a competitive solution or are adopting their first online HCM and payroll solution. These organizations often have limited internal resources and rely on us to implement their HCM and payroll solutions. We typically implement our product suite within one to eight weeks, depending on the size and complexity of the client. Each client is guided through the implementation process by our knowledgeable consultants for all implementation matters. We believe our ability to rapidly implement our solutions is principally due to the combination of our emphasis on engagement with the client, our standardized methodology, our cloud-based architecture and our highly configurable, easy-to-use products.</w:t>
      </w:r>
    </w:p>
    <w:p>
      <w:pPr>
        <w:spacing w:after="0" w:line="187" w:lineRule="exact"/>
        <w:rPr>
          <w:sz w:val="20"/>
          <w:szCs w:val="20"/>
          <w:color w:val="auto"/>
        </w:rPr>
      </w:pPr>
    </w:p>
    <w:p>
      <w:pPr>
        <w:ind w:right="200" w:firstLine="648"/>
        <w:spacing w:after="0" w:line="312" w:lineRule="auto"/>
        <w:rPr>
          <w:sz w:val="20"/>
          <w:szCs w:val="20"/>
          <w:color w:val="auto"/>
        </w:rPr>
      </w:pPr>
      <w:r>
        <w:rPr>
          <w:rFonts w:ascii="Times New Roman" w:cs="Times New Roman" w:eastAsia="Times New Roman" w:hAnsi="Times New Roman"/>
          <w:sz w:val="17"/>
          <w:szCs w:val="17"/>
          <w:color w:val="auto"/>
        </w:rPr>
        <w:t>We offer clients the opportunity to utilize on-demand or in-class training designed to provide them with general knowledge on our solutions. We also host an annual conference for our clients to allow them to learn about new products and features and to provide feedback and learn best practices.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Client Service</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Our client service model is designed to serve and support the needs of our clients and to build loyalty by developing strong relationships with them. We strive to achieve high revenue retention, in part, by delivering high-quality service. Our revenue retention was greater than 92% in each of fiscal 2022, 2023 and 2024. Each client is assigned an account management team that serves as the central point of contact for any questions or support needs. We believe this approach enhances client service by providing them with knowledgeable resources who understand their businesses, respond quickly, and are accountable for the overall client experience. Account managers are supplemented by teams with deep technical and subject matter expertise who help to expediently and effectively address client needs. We also proactively solicit client feedback through ongoing surveys from which we receive actionable feedback that we use to enhance our client service processes. We have also built an online knowledge repository for clients that provides industry content and Paylocity product and service information.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and Regulatory Services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software contains a rules engine designed to make accurate federal, state, and local tax calculations that is continually updated to support all pertinent legislative changes across U.S. jurisdictions with the support of our tax compliance professionals. Our tax service teams provide a variety of solutions to clients, including processing payroll tax deposits, preparing and filing quarterly and annual employment tax returns and amendments and resolving client employment tax notices. Our tax filing and compliance departments perform multiple audits to ensure that clients remit timely and accurate tax payments. In addition, a series of audit routines are run to ensure that quarterly tax filings are accurate and submitted on a timely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Excluding clients acquired through acquisitions, as of June 30, 2024, we provided our HCM and payroll software solutions to approximately 39,050 clients, across the U.S. The rate at which we add clients is variable period-to-period and is also seasonal, as many clients switch solutions during the first calendar quarter of the year. Clients include for-profit and non-profit organizations across industries including business services, financial services, healthcare, manufacturing, restaurants, retail, technology and others. For each of the three years ended June 30, 2022, 2023 and 2024, no client accounted for more than 1% of our revenues.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market and sell our products and services through our direct sales force. Our direct sales force includes sales representatives who have defined geographic territories throughout the U.S. We seek to hire experienced sales representatives wherever they are located and believe we have room to grow the number of sales representatives in each of our territories.</w:t>
      </w:r>
    </w:p>
    <w:p>
      <w:pPr>
        <w:spacing w:after="0" w:line="176"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The sales cycle begins with a sales lead generated by the sales representative, through our third-party referral network, a client referral, our telemarketing team, our external website, marketing lead generation strategies or other territory-based activities. We support our sales force with a marketing program that includes seminars and webinars, email marketing, social media marketing, broker events and web marketing.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Referral Network</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a core element of our business strategy, we have developed a referral network of third-party service providers, including 401(k) advisors, benefits administrators, insurance brokers, third-party administrators and HR consultants, that recommend our solutions and provide referrals. Our referral network has become an increasingly important component of our sales process, and in fiscal 2024, more than 25% of our new client revenue originated by referrals from participants in our referral network.</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believe participants in our referral network refer potential clients to us because of the strength of our products and services, the value we provide our referral partners through our broker portal, the fact that we do not provide services that compete with our referral networks, and because we offer third parties the ability to integrate their systems with our platform. Unlike other HCM and payroll solution providers who also provide retirement plans, health insurance and other products and services competitive with the offerings of the participants in our referral network, we focus only on our core business of providing HCM and payroll solutions. In some cases, we have formalized relationships in which we are a recommended vendor of these participants. In other cases, the relationships are informal. We typically do not compensate these participants for referrals.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Marketplace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developed a partner ecosystem of third-party systems, such as 401(k), benefits and insurance provider systems, with whom we provide automated data integration for their clients. These third-party providers require certain financial, payroll and other employee demographic information from their clients to efficiently provide their respective services. After securing authorization from the client, we exchange data with these providers. In turn, these third-party providers supply data to us, which allows us to deliver comprehensive HR and benefit management services to our clients. We believe our partnerships with these third parties are an important part of their service offerings. We have also developed our solutions to integrate with a variety of other systems used by our clients, such as accounting, point of sale, banking, expense management, recruiting, background screening and skills assessment solutions.</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Paylocity’s automated data integration reduces the complexity and risk of error of manual data transfers and saves clients and employees time. Direct and automated data transmission improves the accuracy of data and facilitates data collection in partners’ systems. Having automated data integration with a HCM and payroll provider differentiates partners’ product offerings, strengthening their competitive positioning in their own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offer our solutions on a cloud-based platform that leverages a unified architecture and a common code base that we organically developed.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Clients do not need to install our software in their data centers and can access our solutions through any mobile device or web browser with Internet access.</w:t>
      </w:r>
    </w:p>
    <w:p>
      <w:pPr>
        <w:spacing w:after="0" w:line="205" w:lineRule="exact"/>
        <w:rPr>
          <w:sz w:val="20"/>
          <w:szCs w:val="20"/>
          <w:color w:val="auto"/>
        </w:rPr>
      </w:pPr>
    </w:p>
    <w:p>
      <w:pPr>
        <w:ind w:left="1300" w:right="20" w:hanging="320"/>
        <w:spacing w:after="0" w:line="315" w:lineRule="auto"/>
        <w:tabs>
          <w:tab w:leader="none" w:pos="12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Multi-Tenant Architecture. </w:t>
      </w:r>
      <w:r>
        <w:rPr>
          <w:rFonts w:ascii="Times New Roman" w:cs="Times New Roman" w:eastAsia="Times New Roman" w:hAnsi="Times New Roman"/>
          <w:sz w:val="17"/>
          <w:szCs w:val="17"/>
          <w:color w:val="auto"/>
        </w:rPr>
        <w:t>Our software solutions were designed with a multi-tenant architecture. This architecture gives us an advantage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over many disparate traditional systems, which are less flexible and require longer and more costly development and upgrade cycles.</w:t>
      </w:r>
    </w:p>
    <w:p>
      <w:pPr>
        <w:spacing w:after="0" w:line="134" w:lineRule="exact"/>
        <w:rPr>
          <w:rFonts w:ascii="Times New Roman" w:cs="Times New Roman" w:eastAsia="Times New Roman" w:hAnsi="Times New Roman"/>
          <w:sz w:val="17"/>
          <w:szCs w:val="17"/>
          <w:color w:val="auto"/>
        </w:rPr>
      </w:pPr>
    </w:p>
    <w:p>
      <w:pPr>
        <w:ind w:left="1300" w:hanging="320"/>
        <w:spacing w:after="0" w:line="281" w:lineRule="auto"/>
        <w:tabs>
          <w:tab w:leader="none" w:pos="12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Mobile Focused. </w:t>
      </w:r>
      <w:r>
        <w:rPr>
          <w:rFonts w:ascii="Times New Roman" w:cs="Times New Roman" w:eastAsia="Times New Roman" w:hAnsi="Times New Roman"/>
          <w:sz w:val="17"/>
          <w:szCs w:val="17"/>
          <w:color w:val="auto"/>
        </w:rPr>
        <w:t>We employ mobile-centric principles in our solution design and development. We believe that the increasing mobility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heightens the importance of access to our solutions through mobile devices, including smart phones and tablets. Our mobile experience provides our clients and their employees with access to our solutions through nearly any device having Internet access. We bring the flexibility of a secure, cloud-based solution to users without the need to access a traditional desktop or laptop computer.</w:t>
      </w:r>
    </w:p>
    <w:p>
      <w:pPr>
        <w:spacing w:after="0" w:line="164" w:lineRule="exact"/>
        <w:rPr>
          <w:rFonts w:ascii="Times New Roman" w:cs="Times New Roman" w:eastAsia="Times New Roman" w:hAnsi="Times New Roman"/>
          <w:sz w:val="17"/>
          <w:szCs w:val="17"/>
          <w:color w:val="auto"/>
        </w:rPr>
      </w:pPr>
    </w:p>
    <w:p>
      <w:pPr>
        <w:ind w:left="1300" w:right="20" w:hanging="320"/>
        <w:spacing w:after="0" w:line="258"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We maintain comprehensive security programs designed to ensure the security and integrity of client and employee data, protect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security threats or data breaches and prevent unauthorized access. We regulate and limit all access to servers and networks at our data centers. Our systems are monitored for irregular or suspicious activity, and we have dedicated internal staff perform security assessments for each release. Our systems undergo regular penetration testing and source code reviews by an independent third-party security firm.</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We use multiple cloud hosting and third-party data center providers to host our solutions, including data centers in Franklin Park, Illinois and Kenosha, Wisconsin (for backup and disaster recovery). We supply the hardware infrastructure and are responsible for the ongoing maintenance of our equipment at all data center locations.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right="600" w:firstLine="648"/>
        <w:spacing w:after="0" w:line="266" w:lineRule="auto"/>
        <w:rPr>
          <w:sz w:val="20"/>
          <w:szCs w:val="20"/>
          <w:color w:val="auto"/>
        </w:rPr>
      </w:pPr>
      <w:r>
        <w:rPr>
          <w:rFonts w:ascii="Times New Roman" w:cs="Times New Roman" w:eastAsia="Times New Roman" w:hAnsi="Times New Roman"/>
          <w:sz w:val="18"/>
          <w:szCs w:val="18"/>
          <w:color w:val="auto"/>
        </w:rPr>
        <w:t>The market for HCM and payroll solutions is both fragmented and highly competitive. Our competitors vary for each of our solutions and primarily include payroll and HR service and software providers, such as Automatic Data Processing, Inc., Dayforce, Inc., Paychex, Inc., Paycom Software, Inc., Paycor, Inc., Ultimate Kronos Group and other local and regional providers.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principal factors on which we compete in our market include the following:</w:t>
      </w:r>
    </w:p>
    <w:p>
      <w:pPr>
        <w:spacing w:after="0" w:line="225"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Solutions built to connect with today’s modern workforce;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HCM and payroll product suite on a single platform;</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product functionality;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Configurability and ease of use of our solutions;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 mobile, intuitive and consumer-oriented user experience;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of a cloud-based technology platform;</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innovate and respond to client needs rapidly;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Domain expertise in HCM and payroll;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implementation and client service;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implementation;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web-based payroll processing;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 wide variety of complementary third-party service providers.</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believe that we compete favorably on these factors and our ability to remain competitive will largely depend on the success of our continued investment in sales and marketing, research and development and implementation and client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invest heavily in research and development to continuously introduce new modules, technologies, features and functionality. We are organized in small product-centric teams that utilize an agile development methodology. We focus our efforts on developing new modules and core technologies and on further enhancing the usability, functionality, reliability, performance and flexibility of existing modules.</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costs, including research and development costs that were capitalized, were $145.1 million, $219.6 million and $253.9 million for the years ended June 30, 2022, 2023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success is dependent, in part, on our ability to protect our proprietary technology and other intellectual property rights. We rely on a combination of trade secrets, copyrights and trademarks, as well as contractual protections to establish and protect our intellectual property rights. We require our employees, consultants and other third parties to enter into confidentiality and proprietary rights agreements and control access to software, documentation and other proprietary information. Although we rely on laws respecting intellectual property rights, including trade secret, copyright and trademark laws, as well as contractual protections to establish and protect our intellectual property rights, we believe that factors such as the technological and creative skills of our personnel, creation of new modules, features and functionality and frequent enhancements to our modules are the most essential means to establishing and maintaining our technology leadership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a provider of HCM and payroll solutions, our systems contain a significant amount of sensitive data related to clients, employees of our clients, business partners and our employees. Data privacy is a significant risk for organizations globally, including those in the United States. The global regulatory landscape for data privacy is rapidly evolving and is likely to remain so for the foreseeable future. Many national, state and local government bodies have adopted or are considering adopting laws and regulations related to the collection, use and disclosure of personal information. In the United States, these include rules and regulations promulgated under the authority of the Federal Trade Commission, the Health Insurance Portability and Accountability Act of 1996 (“HIPAA”), state breach notification laws, and state privacy laws, such as the California Consumer Privacy Act of 2018 (“CCPA”), as amended by the California Privacy Rights Act of 2020 (“CPRA”) and the Illinois Biometric Information Privacy Act (“BIPA”). Further, because some of our clients have international operations and employees, the European Union General Data Protection Regulation (“GDPR”) and other foreign data privacy laws may impact our processing of certain client and employee information.</w:t>
      </w:r>
    </w:p>
    <w:p>
      <w:pPr>
        <w:spacing w:after="0" w:line="18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Many of our solutions are designed to assist clients with their compliance with certain U.S. federal, state and local laws and regulations that apply to them. Consequently, our products and services may be subject to increasing and/or changing regulatory requirements, including changes in tax, benefit and other laws. As these requirements proliferate, we may be required to modify our products and services to comply. These changing regulatory requirements might also reduce or eliminate the need for some of our products and services, hinder our development of new products and services, or adversely affect the functionality and acceptance of our solution. This could in turn impose additional costs upon us to comply, modify, or further develop our products and services. Additionally, it could also make introduction of new products and services more costly or time-consuming than we currently anticipate, or even prevent their introduction. For example, the adoption of new money transmitter or money services business statutes in jurisdictions, or changes in regulators’ interpretation of existing state and federal money transmitter or money services business statutes or regulations, could require us to register or obtain licenses, or limit our business activities until we are appropriately licensed.</w:t>
      </w:r>
    </w:p>
    <w:p>
      <w:pPr>
        <w:spacing w:after="0" w:line="18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ability to comply with and address the continuously evolving requirements and regulations applicable to our business depends on a variety of factors, including the functionality and design of our solutions and the way our clients and their employees utilize them. We have implemented operating policies and procedures to protect the accuracy, privacy and security of our clients’ and their employees’ information. Additionally, we voluntarily undergo periodic audits and examinations and maintain certain certifications to demonstrate our commitment to regulatory compliance.</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does not provide an exhaustive list of the laws and regulations governing or impacting our business. See the discussion contained in the “Risk Factors” section in Part I, Item 1A of this Annual Report on Form 10-K for information regarding changes in laws and regulations that could have a materially adverse effect on our business, operating results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a leading provider of cloud-based HCM and payroll software solutions, we are committed to delivering the most modern suite of solutions that drive employee engagement and a more connected culture for both our clients and our employees. Our senior executive team, together with our board of directors, drives our human capital strategy, which includes key initiatives related to our employees and company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our human capital initiatives, we encourage investors and other users of this Annual Report on Form 10-K to visit our Corporate Social Responsibility website at https://www.paylocity.com/who-we-are/about-us/corporate-responsibility/. The information contained on this website is not incorporated by reference into this Annual Report on Form 10-K.</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our workforce consisted of approximately 6,400 employees, substantially all of whom were employed on a full-time basis in the United States.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Culture &amp; Engagement</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At Paylocity, we strive to be an organization where every employee has a voice, feels welcomed and is empowered to do their best work. Our core values drive our culture – we believe in earning it every day, that growth fuels opportunity, thinking next generation, living the reputation, and being unbeatable together. Our core values serve as the foundation from which we create an engaging culture for our employees, how we train and develop our teams and how we identify the right talent for our organization. Our approach to drive a strong culture and employee engagement has been validated externally as Paylocity has been named Forbes 2024 Best Employers for Diversity, Forbes 2024 America’s Best Large Employers, Newsweek America’s Greatest Workplace for Diversity 2024, Built In Best Places to Work 2024 and was also Great Place To Work certified on multiple occasions.</w:t>
      </w:r>
    </w:p>
    <w:p>
      <w:pPr>
        <w:spacing w:after="0" w:line="18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support a number of employee resource groups (“ERGs”) including PCTY Equality, which focuses on fostering a positive work environment and providing support for employees and allies of the LGBTQIA+ community; PCTY OneWorld group, which fosters an inclusive work environment and provides support for our employees of diverse ethnic backgrounds; PCTY Sheroes, which supports and celebrates women; PCTY Sustainability, whereby our employees support initiatives to operate our business and facilities to conserve energy, water and raw materials; and PCTY Mental Health, which promotes a psychologically safe and healthy workplace where employees bring their whole selves to work and their mental well-being is supported. Each of these groups is organized to give employees the chance to build community and connections, voice their ideas and perspectives, personally develop and grow, and shape our culture to make a difference at work and in our local communities.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Inclusion and Accessibility</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Dedication to diversity, equity, inclusion and accessibility (“DEIA”) is foundational to our culture. Led by our Chief Diversity Officer and Diversity Leadership Council, we remain committed to increasing the representation of minority groups within our organization, including in leadership roles, and we focus on these goals within our talent acquisition and employee development efforts. Our focus includes attracting diverse candidates to our organization while also investing in professional development and mentorship programs focused on underrepresented employee groups.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approximately 50% of our employees identified as female and approximately 47% of manager roles and above were held by females. For our U.S. employees, approximately 34% of our employees included underrepresented minorities and approximately 26% of our manager roles and above were held by underrepresented minorities as of June 30, 2024. The following table provides the ethnicity breakdown of our U.S. employees as of June 30,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640" w:type="dxa"/>
            <w:vAlign w:val="bottom"/>
            <w:tcBorders>
              <w:bottom w:val="single" w:sz="8" w:color="auto"/>
            </w:tcBorders>
          </w:tcPr>
          <w:p>
            <w:pPr>
              <w:ind w:left="4480"/>
              <w:spacing w:after="0"/>
              <w:rPr>
                <w:sz w:val="20"/>
                <w:szCs w:val="20"/>
                <w:color w:val="auto"/>
              </w:rPr>
            </w:pPr>
            <w:r>
              <w:rPr>
                <w:rFonts w:ascii="Times New Roman" w:cs="Times New Roman" w:eastAsia="Times New Roman" w:hAnsi="Times New Roman"/>
                <w:sz w:val="18"/>
                <w:szCs w:val="18"/>
                <w:b w:val="1"/>
                <w:bCs w:val="1"/>
                <w:color w:val="auto"/>
              </w:rPr>
              <w:t>Ethnicity</w:t>
            </w:r>
          </w:p>
        </w:tc>
        <w:tc>
          <w:tcPr>
            <w:tcW w:w="100" w:type="dxa"/>
            <w:vAlign w:val="bottom"/>
            <w:tcBorders>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U.S. Employees</w:t>
            </w:r>
          </w:p>
        </w:tc>
      </w:tr>
      <w:tr>
        <w:trPr>
          <w:trHeight w:val="269"/>
        </w:trPr>
        <w:tc>
          <w:tcPr>
            <w:tcW w:w="9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American Indian or Alaskan Native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50"/>
        </w:trPr>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Asian &amp; Indian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63"/>
        </w:trPr>
        <w:tc>
          <w:tcPr>
            <w:tcW w:w="9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 Or African American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50"/>
        </w:trPr>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Hispanic &amp; Latinx</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63"/>
        </w:trPr>
        <w:tc>
          <w:tcPr>
            <w:tcW w:w="9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Multiracial</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50"/>
        </w:trPr>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63"/>
        </w:trPr>
        <w:tc>
          <w:tcPr>
            <w:tcW w:w="9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White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50"/>
        </w:trPr>
        <w:tc>
          <w:tcPr>
            <w:tcW w:w="9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Undisclosed*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5"/>
        </w:trPr>
        <w:tc>
          <w:tcPr>
            <w:tcW w:w="9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Overall</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Individuals preferred to not disclose an ethnicity</w:t>
      </w:r>
    </w:p>
    <w:p>
      <w:pPr>
        <w:spacing w:after="0" w:line="225"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strive to cultivate the most inclusive workplace culture possible by removing barriers to opportunities in hiring, pay, development and promotion. Our DEIA focus includes programs like our Women in Leadership initiative, quarterly education speaker keynotes, annual DEIA Leadership conference and leadership development programs focusing on inclusive and intentional leadership. Additionally, our employee self-identification functionality allows employees to self-identify in areas such as disability, race, ethnicity, gender, gender identity, veteran status, sexual orientation, and personal pronouns. This data provides an accurate view of our diverse workforce so we can better customize, fund, and initiate specialized programming, accommodations and strategies.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Learning &amp; Development</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committed to creating industry leading talent development and leadership programs that support the professional growth of our employees. We were named a 2024 BEST Awards organization by the Association for Talent Development. We offer professional development courses to all employees including topics like preparing for an interview, building a career path, as well as leadership topics like delegation and leading a hybrid team. Through our internally developed Learning tool with Video, we enable employees to share knowledge through self-recorded sessions, which complements our library consisting of hundreds of internal courses.</w:t>
      </w:r>
    </w:p>
    <w:p>
      <w:pPr>
        <w:spacing w:after="0" w:line="18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continue to invest in our employees by providing development opportunities through various training programs such as our new professional development program that prepares our operations team members for the next level of their career by providing role-specific training and skills needed to progress and our sales training program that equips our sales force to succeed in an increasingly competitive landscape. We also offer leadership programs that give newly hired or first-time people leaders foundational leadership skills, including how to coach employee performance, document performance conversation, handle situations involving HR employment law and other leadership skills crucial to their specific function. These development programs, combined with our strong culture, increasingly results in our employees stepping into larger roles within the organization.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&amp; Compensation</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focus diligently on attracting a diverse pool of talented candidates that can help us achieve our short and long-term goals as an organization. Our philosophy of “talent anywhere” focuses on identifying the right individuals for our business, regardless of where they are located geographically. For Paylocity, the right talent is someone who embodies our values, has an innate curiosity to learn and grow with our business, and has a diverse perspective on how best to accomplish our goals. We have embraced flexible working arrangements which we believe are essential to enable our employees to work in the environment that best suits their needs.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compensation approach is centered around a philosophy that allows us to compete for and retain the right talent to grow our organization, while being consistent and equitable. Our total rewards program includes competitive pay, a restricted stock program that covers nearly half of our employee base, an employee stock purchase program, the ability to receive a portion of earned wages before the end of the payroll cycle through our On-Demand Payment product, market competitive retirement benefits, paid time off and many other benefits. We partner with best-in-class organizations to ensure that we utilize the most current data to serve as a foundation of our compensation strategy.</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are also committed to supporting the health and well-being of our employees and offer a multitude of resources to assist in these efforts. In addition to traditional benefit offerings, we provide all employees with innovative perks and benefits, such as flexible work schedules, paid parental leave, adoption assistance, employer-paid short term disability, health advocacy services, paid time off to volunteer, tuition reimbursement, the ability to consolidate and refinance federal and private student loans, interest free employee loans and many others. We are also very proud to offer a benefits package that aligns with the Standards of Care published by the World Professional Association for Transgender Health.</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PCTY Gives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Giving back to our local communities takes many forms at Paylocity. Through PCTY Gives, we mobilize our technology, people and resources across the country through in-kind donations, our Elevate Your Passions (“EYP”) Grant Program, Volunteers in Action paid time-off, signature program funding, corporate sponsored volunteerism and many other initiatives. To support our employees and their communities, each quarter we donate to qualified 501(c)(3) charities nominated by our employees through the EYP program. In addition to local charities, Paylocity partners with national organizations such as Big Brothers Big Sisters of America, American Red Cross, National Alliance on Mental Illness and Feeding America. To support the children of Paylocity employees, the Peter J. McGrail Scholarship program, named after our late CFO, provides higher education tuition assistance for selected participants.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Internet address is www.paylocity.com and our investor relations website is located at http://investors.paylocity.com. We make available free of charge on our investor relations website under the heading “Financials”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SEC maintains an Internet site, www.sec.gov, that includes filings of and information about issuers that file electronically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growth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Annual Report on Form 10-K, including our consolidated financial statements and related notes.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have fluctuated in the past and may continue to fluctuate due to a variety of factors, many of which are outside of our control.</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quarterly operating results, including our revenues, operating income, and cash flow, have fluctuated and may continue to fluctuate in the future due to a variety of factors, many of which are outside of our control. Additionally, our number of new clients typically increases more during our third fiscal quarter ending March 31 than during the rest of our fiscal year, primarily because many new clients prefer to start using our human capital management, or HCM, and payroll solutions at the beginning of a calendar year. Client funds and year-end activities are also traditionally higher during our third fiscal quarter. As a result, our total revenue and expenses have historically grown disproportionately during our third fiscal quarter as compared to other quarters. Accordingly, quarter-to-quarter comparisons of our operations are not necessarily meaningful and such comparisons should not be relied upon as indications of future performance.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addition to other risk factors listed within this “Risk Factors” section of this Annual Report on Form 10-K, some other important factors that may cause fluctuations in our quarterly operating results include the following:</w:t>
      </w:r>
    </w:p>
    <w:p>
      <w:pPr>
        <w:spacing w:after="0" w:line="162" w:lineRule="exact"/>
        <w:rPr>
          <w:sz w:val="20"/>
          <w:szCs w:val="20"/>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our clients’ employees;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renewal rates;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products achieve or maintain market acceptance;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budgets and procurement policies;</w:t>
      </w:r>
    </w:p>
    <w:p>
      <w:pPr>
        <w:spacing w:after="0" w:line="225" w:lineRule="exact"/>
        <w:rPr>
          <w:rFonts w:ascii="Times New Roman" w:cs="Times New Roman" w:eastAsia="Times New Roman" w:hAnsi="Times New Roman"/>
          <w:sz w:val="18"/>
          <w:szCs w:val="18"/>
          <w:color w:val="auto"/>
        </w:rPr>
      </w:pPr>
    </w:p>
    <w:p>
      <w:pPr>
        <w:ind w:left="1300" w:right="640" w:hanging="320"/>
        <w:spacing w:after="0" w:line="282"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investment in research and development activities and whether such investments are capitalized or expensed as incurred;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public health issues, natural disasters or other catastrophic events;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including changes in interest rates and inflationary pressures;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legal expenses, including litigation and settlement costs.</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Moreover, a significant portion of our operating expenses are related to compensation and other items which are relatively fixed in the short-term, and we plan expenditures based in part on our expectations regarding future needs and opportunities. Changes in our business or revenue shortfalls could decrease our gross and operating margins and could negatively impact our operating results from period to period.</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market for our solutions is characterized by rapid technological advancements, including but not limited to artificial intelligence (“AI”) and machine learning,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or development of entirely new technologies to replace existing offerings could limit the demand for our existing or future solutions and undermine our current market position. New technologies that involve AI or machine learning or that are created using AI or machine learning may emerge that are able to deliver HCM solutions at lower prices, more efficiently or more conveniently than our solutions, which could adversely impact our ability to compete. Additionally, if new technologies used in our products fail to operate as expected, our business may be negatively impacted.</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in substantial part on our continuing ability to provide products and services that organizations will find superior to our competitors’ offerings and will continue to use. We intend to continue to invest significant resources in research and development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revenue and operating results may suffer.</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manage our growth effectively could increase our expenses, decrease our revenue, and prevent us from implementing our business strategy and sustaining our revenue growth rates.</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have experienced revenue and client base growth and intend to pursue continued growth as part of our business strategy. However, the growth in our number of clients puts significant demands on our business, requires increased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We must also expand and develop our network of third-party service providers, including 401(k) advisors, benefits administrators, insurance brokers, third-party administrators and HR consultants, which represent a significant source of referrals of potential clients for our products and implementation services. Failure to effectively manage our growth could adversely impact our business and results of operations. We could also suffer operational mistakes, a loss of business opportunities and employee losses. If our management is unable to effectively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manage our growth, our expenses might increase more than expected, our revenue could decline or might grow more slowly than expected, and we might be unable to implement our business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highly competitive, and if we do not compete effectively, our operating results could be adversely affected.</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market for HCM and payroll solutions is fragmented, highly competitive and rapidly changing. Our competitors vary for each of our solutions and primarily include payroll and HR service and software providers, such as Automatic Data Processing, Inc., Dayforce, Inc., Paychex, Inc., Paycom Software, Inc., Paycor, Inc., Ultimate Kronos Group and other local and regional providers.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Several of our competitors are larger and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which may include price concessions, delayed payment terms, or other terms and conditions that are more enticing to potential clients. As a result, our competitors may be able to develop products and services better received by our markets or may be able to respond more quickly and effectively than we can to new or changing opportunities, technologies such as AI or machine learning, regulations, or client requirements.</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factors, current or potential clients might accept competitive offerings in lieu of purchasing our offerings. We expect competition to continue for these reasons, and such competition could negatively impact our sales, profitability or market share.</w:t>
      </w:r>
    </w:p>
    <w:p>
      <w:pPr>
        <w:spacing w:after="0" w:line="18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technical operations infrastructure, including operation of our data centers, our existing clients may experience service outages and our new clients may experience delays in the deployment of our modules.</w:t>
      </w:r>
    </w:p>
    <w:p>
      <w:pPr>
        <w:spacing w:after="0" w:line="15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have experienced significant growth in the number of users, transactions and data that our operations infrastructure supports. We seek to maintain sufficient excess capacity in our data centers and other operations infrastructure to meet the needs of our clients. We also seek to maintain excess capacity to support new client deployments and the expansion of existing client deployments. In addition, we need to properly manage our technological operations infrastructure in order to support version control, changes in hardware and software parameters and the evolution of our modules. We have in the past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and adversely affect our reputation.</w:t>
      </w:r>
    </w:p>
    <w:p>
      <w:pPr>
        <w:spacing w:after="0" w:line="188"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In addition, our ability to deliver our cloud-based modules depends on the development and maintenance of Internet infrastructure by third parties. This includes maintenance of a reliable network backbone with the necessary speed, data capacity, bandwidth capacity, and security. We may experience future interruptions and delays in services and availability from time to time. Any interruption may affect the availability, accuracy, or timeliness in our services and could damage our reputation, cause our clients to terminate their use of our software, require us to indemnify our clients against certain losses due to our own errors and prevent us from gaining additional business from current or future clients. In the event of a catastrophic event with respect to one or more of our systems, we may experience an extended period of system unavailability, which could negatively impact our relationship with clients.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operate without interruption, both we and our clients must guard against:</w:t>
      </w:r>
    </w:p>
    <w:p>
      <w:pPr>
        <w:spacing w:after="0" w:line="225" w:lineRule="exact"/>
        <w:rPr>
          <w:sz w:val="20"/>
          <w:szCs w:val="20"/>
          <w:color w:val="auto"/>
        </w:rPr>
      </w:pPr>
    </w:p>
    <w:p>
      <w:pPr>
        <w:ind w:left="5540" w:right="1940" w:hanging="4560"/>
        <w:spacing w:after="0" w:line="970" w:lineRule="auto"/>
        <w:tabs>
          <w:tab w:leader="none" w:pos="13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from fire, power loss, natural disasters, pandemics and other force majeure events outside our control;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failures;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and hardware errors, failures and crashes;</w:t>
      </w:r>
    </w:p>
    <w:p>
      <w:pPr>
        <w:spacing w:after="0" w:line="225"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computer viruses, hacking, worms, malware, ransomware, denial-of-service attacks and similar disruptive problems;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interruptions.</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use multiple cloud hosting and third-party data center providers to host our solutions, including data centers in Franklin Park, Illinois and Kenosha, Wisconsin (for backup and disaster recovery). We also may decide to employ additional offsite data centers in the future to accommodate growth. Problems faced by our data center locations (such as a hardware or other supply chain disruption),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In addition, our data center providers may be unable to keep up with our growing needs for capacity, may implement changes in service levels, may not renew these agreements on commercially reasonable terms, or may be acquired. We may be required to transfer our servers and other infrastructure to new data center facilities, and we may incur costs and experience service interruption in doing so. Interruptions in our services might reduce our revenues, subject us to potential liability or other expenses and adversely affect our reputation.</w:t>
      </w:r>
    </w:p>
    <w:p>
      <w:pPr>
        <w:spacing w:after="0" w:line="184"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pay client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75" w:lineRule="exact"/>
        <w:rPr>
          <w:sz w:val="20"/>
          <w:szCs w:val="20"/>
          <w:color w:val="auto"/>
        </w:rPr>
      </w:pPr>
    </w:p>
    <w:p>
      <w:pPr>
        <w:jc w:val="both"/>
        <w:ind w:right="260" w:firstLine="648"/>
        <w:spacing w:after="0" w:line="255" w:lineRule="auto"/>
        <w:rPr>
          <w:sz w:val="20"/>
          <w:szCs w:val="20"/>
          <w:color w:val="auto"/>
        </w:rPr>
      </w:pPr>
      <w:r>
        <w:rPr>
          <w:rFonts w:ascii="Times New Roman" w:cs="Times New Roman" w:eastAsia="Times New Roman" w:hAnsi="Times New Roman"/>
          <w:sz w:val="18"/>
          <w:szCs w:val="18"/>
          <w:color w:val="auto"/>
        </w:rPr>
        <w:t>Our payroll processing business involves the movement of significant funds from the account of a client to its employees and to relevant taxing authorities.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client’s funds will be insufficient to cover the amounts we have already paid on its behalf.</w:t>
      </w:r>
    </w:p>
    <w:p>
      <w:pPr>
        <w:spacing w:after="0" w:line="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While such shortage and accompanying financial exposure has only occurred in very limited instances in the past, should clients default on their payment obligations in the future, we might be required to advance funds to cover such obligations. Depending on the magnitude of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disruptions in the operations of third-party service providers.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depend on relationships with certain third-party service providers to operate our business. We rely on third-party couriers such as the United Parcel Service, or UPS, to ship printed checks to our clients, and any disruptions in their operations that impact their ability to successfully perform their tasks may negatively impact our business. We also engage international business partners to perform certain services in countries in which we currently do not have operations and as a result may subject us to regulatory, economic and political risks that are different from those in the United States.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currently have agreements with various major U.S. banks to execute ACH and wire transfers to support our client payroll, benefit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a material number of these banks terminate their relationships with us or restrict the dollar amounts of funds that they will process on behalf of our clients, their doing so may impede our ability to process funds and could have an adverse impact on our business. We have contingency plans in place in case of any failures of banks to process transfers that may impact our operations. However, a failure of one of our banking partners or a systemic shutdown of the banking industry could result in the loss of client funds or prevent us from accessing and processing funds on our clients’ behalf, which could have an adverse impact on our business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In addition, we utilize certain third-party software in some of our products. Although we believe that there are alternatives for the functionality provided by the third-party software, any significant interruption in the availability of such third-party software, or defects and errors in the third-party software, could have an adverse impact on our business unless and until we can replace the functionality provided by these products at a similar cost.</w:t>
      </w:r>
    </w:p>
    <w:p>
      <w:pPr>
        <w:spacing w:after="0" w:line="172" w:lineRule="exact"/>
        <w:rPr>
          <w:sz w:val="20"/>
          <w:szCs w:val="20"/>
          <w:color w:val="auto"/>
        </w:rPr>
      </w:pPr>
    </w:p>
    <w:p>
      <w:pPr>
        <w:ind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depend on our senior management team and other key employees, and the loss of these persons or an inability to attract and retain highly skilled employees, including product development, sales, implementation, client service and other technical persons, could adversely affect our business.</w:t>
      </w:r>
    </w:p>
    <w:p>
      <w:pPr>
        <w:spacing w:after="0" w:line="13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We also rely on our leadership team in the areas of product development, sales, implementation, client service, and general and administrative functions. From time to time, there may be changes in our executive management team resulting from the hiring or departure of executives, which could disrupt our business. While we have employment agreements with our executive officers,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to grow our business and be successful, we must continue to develop products that are technologically 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We must also identify, recruit and train qualified sales, client service and implementation personnel in the use of our software. The amount of time it takes for our sales representatives, client service and implementation personnel to be fully trained and to become productive varies widely. Hiring for skilled employees across the United States and globally is highly competitive.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direct sales force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5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Our HCM and payroll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filing of tax returns and other regulatory reports are frequent, we may discover defects and errors in our software and service processes in the normal course of business compared against these requirements and practices. Defects and errors could also cause the information that we collect to be incomplete or contain inaccuracies that our clients, their employees and taxing and other regulatory authorities regard as significant.</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The costs incurred in correcting any defects or errors or in responding to resulting claims or liability might be substantial and could adversely affect our operating results. Our clients might assert claims against us in the future alleging that they suffered damages due to a defect, error, or other failure of our product or service processes. Any product liability claim or errors or omissions claim could subject us to significant legal defense costs and adverse publicity regardless of the merits or eventual outcome of such a claim.</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 We also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dilution to our stockholders, disrupt our operations and adversely affect our operating results.</w:t>
      </w:r>
    </w:p>
    <w:p>
      <w:pPr>
        <w:spacing w:after="0" w:line="15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acquired and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may not be able to integrate the acquired personnel, operations and technologies successfully, or effectively manage the combined business following the acquisition. Factors that may negatively impact our operating results, business and financial position, without limitation include the following:</w:t>
      </w:r>
    </w:p>
    <w:p>
      <w:pPr>
        <w:spacing w:after="0" w:line="176"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operations, or services in a profitable manner;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225" w:lineRule="exact"/>
        <w:rPr>
          <w:rFonts w:ascii="Times New Roman" w:cs="Times New Roman" w:eastAsia="Times New Roman" w:hAnsi="Times New Roman"/>
          <w:sz w:val="18"/>
          <w:szCs w:val="18"/>
          <w:color w:val="auto"/>
        </w:rPr>
      </w:pPr>
    </w:p>
    <w:p>
      <w:pPr>
        <w:ind w:left="1300" w:right="38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converting the clients of the acquired business onto our modules and contract terms, including disparities in the revenues, licensing, support or professional services model of the acquired company;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clients as a result of the acquisition;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Dilutive issuances of equity securities or the incurrence of debt.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Cybersecurity and Intellectual Property Rights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unable to prevent a breach or unauthorized access to our information systems, our proprietary and other information, our client data or funds, we may be subject to numerous adverse financial and other consequences, including that our solutions may be perceived as not being secure, clients may reduce the use of or stop using our solutions, and that we may incur significant liabilities to our clients and others.</w:t>
      </w:r>
    </w:p>
    <w:p>
      <w:pPr>
        <w:spacing w:after="0" w:line="17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solutions that we provide to clients involve the processing, storage and transmission of our clients’ proprietary and confidential information regarding their employees, consultants, independent contractors, other service providers and other groups or individuals. This information includes, among other things, bank account numbers, tax return information, social security numbers, benefit information, retirement account information, payroll information, system passwords, and in the case of our benefit administration solution, BeneFLEX, health information protected by the Health Insurance Portability and Accountability Act of 1996, as amended, or the Health Insurance Portability and Accountability Act of 1996 (“HIPAA”). In addition, we collect and maintain similar information regarding our own employees, consultants, independent contractors, other service providers and other groups or individuals. Our business also involves the storage and transmission of funds from the accounts of our clients to other persons, including taxing and regulatory authorities and others.</w:t>
      </w:r>
    </w:p>
    <w:p>
      <w:pPr>
        <w:spacing w:after="0" w:line="19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also rely on the security and availability of our information systems and solutions and those of third parties in the operation of our business. This includes, among other things, human capital solutions, financial solutions, customer relationship management solutions, software development solutions and tools, cybersecurity solutions and tools, and data center processing.</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experienced cybersecurity attacks and incidents in the past though we do not believe that any of them have been material to our business. Although we maintain security measures and controls that we continually monitor and invest in, there can be no assurance that our measures or controls will be effective in all instances or that we will not experience cybersecurity attacks or incidents in the future. Our systems and solutions and the third-party systems on which we rely are susceptible to such attacks and incidents as unauthorized access, supply-chain attacks, exfiltration or destruction of data, disruptions of service, phishing attempts and other forms of social engineering, malware, ransomware and other forms of cyber extortion, computer viruses or other malicious code and similar events. These threats may come from cybercriminals, cyberterrorists and hacktivists, nation-state and nation-state-supported actors (including advanced persistent threat intrusions) and computer hackers. They also may result from the malicious or accidental acts of insiders. Any unauthorized access to, or security breaches of, our systems or solutions or those of our clients or third-party partners and suppliers could result in numerous adverse consequences, including the unauthorized disclosure of proprietary and confidential information we or they obtain in the ordinary course of business, identity theft and financial theft. We also could be subjected to periods in which our systems and solutions or the third-party systems on which we rely are negatively impacted, degraded or unavailable, potentially for extended periods of time. If any of these events were to occur, we could be subject to client loss, reputational harm, litigation, government enforcement actions, indemnity obligations and other liabilities, and our business, revenues, profitability and financial condition could be negatively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5998845</wp:posOffset>
            </wp:positionH>
            <wp:positionV relativeFrom="paragraph">
              <wp:posOffset>-768985</wp:posOffset>
            </wp:positionV>
            <wp:extent cx="285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Because the tactics and techniques used by threat actors to obtain unauthorized access or sabotage systems change frequently and, in some cases, are not recognized until they are launched or even later, we may be unable to anticipate these techniques or to implement adequate preventative measures in advance, and security breaches may remain undetected for an extended period of time. We also have incorporated and will continue to incorporate AI and machine learning features into our solutions and various processes across our business, which may increase vulnerability to cybersecurity risks. Additionally, AI and machine learning may be used for certain cybersecurity attacks, improving or expanding the existing capabilities of threat actors in manners we cannot predict at this time, resulting in greater risks of security incidents and breaches. Cybersecurity attacks and incidents could have a material adverse effect on our business, operations or financial condition, so as cyber threats continue to evolve, we are focused on ensuring that our operating environments safeguard and protect personal and business information, which requires us to devote significant resources to prevent and mitigate cybersecurity incidents and protect our systems, solutions and data.</w:t>
      </w:r>
    </w:p>
    <w:p>
      <w:pPr>
        <w:spacing w:after="0" w:line="18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Additionally, while we monitor and reassess our third-party relationships over time, we have no control over those third parties’ cybersecurity programs and controls, infrastructure, physical facilities or personnel. If our security measures, or the security measures of our third-party partners and suppliers, are breached, or if our third-party partners and suppliers experience supply-chain attacks, system errors or outages, our business could be substantially harmed, and we could incur significant liabilities. The costs of investigating, mitigating, and reporting such an incident to affected individuals (if required) can be substantial. In addition, if a security breach occurs with respect to an industry peer, our clients and potential clients may lose trust in the security of HCM and payroll modules. Any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 Furthermore, the continuing and evolving threat of cyberattacks has resulted in increased regulatory focus and we may be required to invest significant additional resources to comply with evolving cybersecurity regulations.</w:t>
      </w:r>
    </w:p>
    <w:p>
      <w:pPr>
        <w:spacing w:after="0" w:line="188"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There can be no assurance that the limitations of liability in our contracts would be enforceable or adequate or would otherwise protect us from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proprietary technology and our brand.</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Our proprietary technologies are not covered by any patent or patent application. Instead,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8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w:t>
      </w:r>
    </w:p>
    <w:p>
      <w:pPr>
        <w:spacing w:after="0" w:line="18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intellectual property could be wrongfully acquired as a result of a cyberattack or other wrongful conduct by employees or third parties. In order to protect our intellectual property rights, we may be required to spend significant resources, including cybersecurity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damage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of their proprietary rights.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In connection with any such claim or litigation, we may also be obligated to indemnify our clients or business partners or pay substantial settlement costs, including royalty payments,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and solutions may expose us to additional risks and harm our intellectual property rights.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8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re-develop our products or solutions, to discontinue sales of our products or solutions, or to release our proprietary software code under the terms of</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225"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laws or requirements applicable to our software and services could impose increased costs on us, delay or prevent our introduction of new products and services and impair the function or value of our existing products and services.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products and services may become subject to increasing and/or changing regulatory requirements, including changes in tax, benefit, wage and hour, employment laws and other international and domestic laws, and as these requirements proliferate, we may be required to change or adapt our products and services to comply. Changing regulatory requirements might reduce or eliminate the need for some of our products and services, block us from developing new products and services or have an adverse effect on the functionality and acceptance of our solution. This might in turn impose additional costs upon us to comply, modify or further develop our products and services. It might also make introduction of new products and services more costly or more time-consuming than we currently anticipate or prevent introduction of such new products and services. For example, the adoption of new money transmitter or money services business statutes in jurisdictions or changes in regulators’ interpretation of existing state and federal money transmitter or money services business statutes or regulations, could subject us to registration or licensing or limit business activities until we are appropriately licensed. These occurrences could also impact how we conduct some aspects of our business or invest client funds, which could adversely impact interest income from investing client funds. Should any state or federal regulators determine that we have operated as an unlicensed money services business or money transmitter, we could be subject to civil and criminal fines, penalties, costs, legal fees, reputational damage or other negative consequences. Any of these regulatory implementations or changes could have an adverse effect on our business, operating results or financial condition.</w:t>
      </w:r>
    </w:p>
    <w:p>
      <w:pPr>
        <w:spacing w:after="0" w:line="19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Some of our products incorporate new technologies such as AI and machine learning. The ability to provide products powered by new and evolving technologies must be approached in a principled manner to navigate the complexities associated with the current or future regulatory requirements as well as social and ethical considerations. Additionally, failure by others in our industry, or actions taken by our clients, employees, or other end users (including misuse of these technologies) could negatively affect the adoption of our solutions and restrict our ability to continue to leverage novel technologies in innovative ways and subject us to reputational harm, regulatory action, or legal liability, which may harm our financial condition and operating results.</w:t>
      </w:r>
    </w:p>
    <w:p>
      <w:pPr>
        <w:spacing w:after="0" w:line="18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As we continue to pursue such new technologies, our failure to adequately address legal risks relating to the use of AI and machine learning in our applications could result in litigation regarding, among other things, intellectual property, privacy, employment, civil rights and other claims that could result in liability. The use of AI and machine learning may also result in new or increased governmental or regulatory scrutiny as regulatory and legislative authorities in the United States, the European Union and other jurisdictions have enacted or proposed legislation that imposes or would impose restrictions on the development of generative AI and machine learning. Any actual or alleged noncompliance with applicable laws and regulations, or failure to meet client expectations with respect to the use of AI and machine learning, could result in negative publicity or harm to our reputation and subject us to investigations, claims or other remedies, and expose us to significant fines, penalties and other damages.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data privacy laws and regulations may have a material adverse effect on reputation, financial condition, and/or operations.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processing of personal information for our employees and on behalf of our clients is subject to federal, state and international data privacy laws. These laws, which are not uniform, generally regulate the collection, storage, transfer,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and other processing of personal information; require notice to individuals of privacy practices before or at the point of collection; give individuals certain rights with respect to their personal information, including access, deletion and correction; regulate the use or disclosure of personal information for secondary purposes such as marketing; and in some cases, require notification to affected individuals, clients, and/or regulators in the event of a data breach.</w:t>
      </w:r>
    </w:p>
    <w:p>
      <w:pPr>
        <w:spacing w:after="0" w:line="180" w:lineRule="exact"/>
        <w:rPr>
          <w:sz w:val="20"/>
          <w:szCs w:val="20"/>
          <w:color w:val="auto"/>
        </w:rPr>
      </w:pPr>
    </w:p>
    <w:p>
      <w:pPr>
        <w:ind w:right="200" w:firstLine="648"/>
        <w:spacing w:after="0" w:line="277" w:lineRule="auto"/>
        <w:rPr>
          <w:sz w:val="20"/>
          <w:szCs w:val="20"/>
          <w:color w:val="auto"/>
        </w:rPr>
      </w:pPr>
      <w:r>
        <w:rPr>
          <w:rFonts w:ascii="Times New Roman" w:cs="Times New Roman" w:eastAsia="Times New Roman" w:hAnsi="Times New Roman"/>
          <w:sz w:val="17"/>
          <w:szCs w:val="17"/>
          <w:color w:val="auto"/>
        </w:rPr>
        <w:t>HIPAA, which applies to our benefit administration solution, BeneFLEX and our self-insured group health plan, the European Union’s General Data Protection Regulation ("GDPR"), and U.S. state privacy laws like the California Consumer Privacy Act (“CCPA”), are among the most comprehensive data privacy laws and apply to multiple areas of our business. Other countries and U.S. states are increasingly adopting similarly comprehensive laws that impose new data privacy and protection requirements and restrictions on covered organizations. Notably, these laws can impose significant penalties and fines on organizations for non-compliance, such as up to 4% of worldwide revenue for the preceding year under the GDPR.</w:t>
      </w:r>
    </w:p>
    <w:p>
      <w:pPr>
        <w:spacing w:after="0" w:line="16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worldwide regulatory focus on data privacy has intensified during the past several years, in part triggered by the GDPR, and has led to the rapid evolution of legal requirements related to the processing of personal information in ways that require our business to adapt, including to support our clients’ compliance. As this focus continues, the potential risks related to the processing of personal information by our business will only increase. Adding to the complexity of the existing data privacy landscape, many areas of existing data privacy laws are subject to interpretation, which imposes an added risk that adverse interpretations of these laws by advocacy groups and governments in countries where we or our clients operate could impose significant obligations on our business or prevent us from offering certain services in jurisdictions where we currently operate.</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Enforcement actions and investigations by regulatory authorities related to security incidents and data privacy violations continue to increase. Future enforcement actions or investigations could impact us through increased costs or restrictions on our businesses. A finding of noncompliance could result in significant regulatory penalties, legal liability and burdensome governmental oversight. Additionally, security incidents and concerns about data privacy abuses by other companies are changing consumer and market expectations for enhanced data privacy. As a result, a perception of noncompliance could damage our reputation with our current and potential clients, employees and stockholders.</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tax laws or regulations could be enacted, or existing laws could be applied to us or our clients, which could increase the costs of our services and adversely impact our business.</w:t>
      </w:r>
    </w:p>
    <w:p>
      <w:pPr>
        <w:spacing w:after="0" w:line="15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The application of federal, state, and local tax laws to services provided electronically often involve complex issues and significant judgment. New or changes to existing income, sales, use or other tax laws, statutes, rules, regulations or ordinances could be enacted at any time, possibly with retroactive effect, and could be applied solely or disproportionately to services provided over the Internet. These enactments could adversely affect our business, results of operations and financial condition due to the inherent cost increase.</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Moreover,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to determine how to comply with that state’s rules and regulations. We cannot, however, assure you that we will not be subject to sales and use taxes or related penalties for past sales in states where we currently believe no such taxes are required. If one or more taxing authorities determines that taxes should have, but have not, been paid with respect to our services, we might be liable for past taxes and the associated interest and penalty charges, in addition to taxes going forward, which will adversely affect our business, sales activity,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and claims that arise in the ordinary course of business. Such claims may be brought by our clients in connection with commercial disputes, employment claims made by our current or former employees, or lawsuits related to breaches of personal information. Litigation might result in substantial costs and may divert management’s attention and resources, which could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Financial Matters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revolving credit agreement contains covenants that may constrain the operation of our business, and our failure to comply with these covenants could have a material adverse effect on our financial condition</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right="60" w:firstLine="648"/>
        <w:spacing w:after="0" w:line="289" w:lineRule="auto"/>
        <w:rPr>
          <w:sz w:val="20"/>
          <w:szCs w:val="20"/>
          <w:color w:val="auto"/>
        </w:rPr>
      </w:pPr>
      <w:r>
        <w:rPr>
          <w:rFonts w:ascii="Times New Roman" w:cs="Times New Roman" w:eastAsia="Times New Roman" w:hAnsi="Times New Roman"/>
          <w:sz w:val="17"/>
          <w:szCs w:val="17"/>
          <w:color w:val="auto"/>
        </w:rPr>
        <w:t>Our revolving credit agreement contains restrictive covenants including restrictions regarding the incurrence of liens and indebtedness, substantial changes in the general nature of our business and our subsidiaries (taken as a whole), certain merger transactions, certain sales of assets and other matters, all subject to certain exceptions. Failure to comply with these covenants could have a negative impact on our business and financial condition.</w:t>
      </w:r>
    </w:p>
    <w:p>
      <w:pPr>
        <w:spacing w:after="0" w:line="15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Corporate investments and client funds that we hold are subject to market, interest rate, credit and liquidity risks. The loss of these funds could have an adverse impact on our business.</w:t>
      </w:r>
    </w:p>
    <w:p>
      <w:pPr>
        <w:spacing w:after="0" w:line="15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invest portions of excess cash and cash equivalents and funds held for our clients in liquid, investment-grade marketable securities such as corporate bonds, commercial paper, asset-backed securities, U.S. treasury securities, money market securities, and other cash equivalents. We follow an established investment policy and set of guidelines to monitor and help mitigate our exposure to liquidity and credit risks. Nevertheless, our corporate investments and client fund assets are subject to general market, interest rate, credit, and liquidity risks. These risks may be exacerbated, individually or in unison, during periods of unusual financial market volatility. Any loss of or inability to access our corporate investments or client funds could have adverse impacts on our business, results of operations, financial condition and liquidity.</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funds held for clients are deposited in consolidated accounts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are subject to interpretation by the Financial Accounting Standards Board, or FASB, the Securities and Exchange Commission, or SEC,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59"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As of July 26, 2024, our directors and executive officers, together with their respective affiliates, beneficially owned, in the aggregate, approximately 21.8% of our outstanding common stock.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subject to wide fluctuations.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experienced, and may continue to experience, wide fluctuations and increased volatility. Factors that may impact our performance and market price include those discussed elsewhere in this “Risk Factors” section of this Annual Report on Form 10-K and others such as:</w:t>
      </w:r>
    </w:p>
    <w:p>
      <w:pPr>
        <w:spacing w:after="0" w:line="176"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the operating performance of similar companies;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business plans or commercial relationships;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senior management;</w:t>
      </w:r>
    </w:p>
    <w:p>
      <w:pPr>
        <w:spacing w:after="0" w:line="225"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news stories about us, our competitors, or our industry, or positive or negative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our common stock under our share repurchase program or the decision to terminate or suspend any repurchases;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our directors, executive officers and affiliates;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securities we may issue in the future;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issues; and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changes in general conditions in the United States and global economies or financial markets (including acts of God, war, incidents of terrorism, inflationary pressures or other destabilizing events and the resulting responses to them).</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software or technology-related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7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 repurchase program may increase the volatility of the market price of our stock and adversely affect our liquidity. Further, we may not realize the anticipated long-term stockholder value of our share repurchase program.</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2024, we announced that our Board of Directors approved a share repurchase program, authorizing the purchase of up to $500 million of our issued and outstanding common stock. The authorization does not obligate us to repurchase any specific dollar amount or number of shares, there is no expiration date for the authorization, and the repurchase program may be modified, suspended or terminated at any time and for any reason. Any future announcement of a termination or suspension of the program, or our decision not to utilize the full authorized repurchase amount under the program, may reduce investor confidence and/or result in a decrease in the market price of our shares.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existence of the repurchase program could cause our stock price to trade higher than it otherwise would and could potentially reduce the market liquidity for our stock. The repurchase program may not enhance long-term stockholder value because the market price of our common stock may decline below the levels at which we repurchased shares. Additionally, short-term stock price fluctuations could reduce the number or amount of shares we may ultimately repurchase pursuant to the program.</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40" w:firstLine="648"/>
        <w:spacing w:after="0" w:line="261" w:lineRule="auto"/>
        <w:rPr>
          <w:sz w:val="20"/>
          <w:szCs w:val="20"/>
          <w:color w:val="auto"/>
        </w:rPr>
      </w:pPr>
      <w:r>
        <w:rPr>
          <w:rFonts w:ascii="Times New Roman" w:cs="Times New Roman" w:eastAsia="Times New Roman" w:hAnsi="Times New Roman"/>
          <w:sz w:val="18"/>
          <w:szCs w:val="18"/>
          <w:color w:val="auto"/>
        </w:rPr>
        <w:t>Repurchasing our common stock will reduce the amount of cash we have available to fund working capital, repayment of debt, capital expenditures, strategic acquisitions or business opportunities, and other general corporate purposes. The actual timing, number and value of shares repurchased will depend on various factors, including the market price of our common stock, trading volume, general market conditions and other corporate and economic considerations.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5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have not declared or paid dividends on our common stock in the past three fiscal years and do not currently intend to do so for the foreseeable future. We currently intend to invest our future earnings to fund our growth and other corporate initiatives.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shares of our common stock would dilute the ownership of our existing stockholders and could depress the market price of our common stock.</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authorizes the issuance of up to 155,000,000 shares of common stock and 5,000,000 shares of preferred stock with such rights, preferences, privileges and restrictions as determined by the board of directors. We may issue all or any portion of the capital stock which has been authorized but not issued subject to applicable rules and regulations, which may not require any action or approval by our stockholders. Also, in the future, we may issue additional securities in connection with investments and acquisitions. The amount of our common stock issued in connection with an investment or acquisition could constitute a material portion of our then outstanding stock. Due to these factors, issuances of a substantial number of shares of our common stock into the public market could occur at any time, which would dilute the ownership proportion of current stockholders and could cause the price of our common stock to decline.</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5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third amended and restated certificate of incorporation and third amended and restated bylaws may discourage, delay or prevent a change in our management or control over us that stockholders may consider favorable. Our third amended and restated certificate of incorporation and bylaws:</w:t>
      </w:r>
    </w:p>
    <w:p>
      <w:pPr>
        <w:spacing w:after="0" w:line="183" w:lineRule="exact"/>
        <w:rPr>
          <w:sz w:val="20"/>
          <w:szCs w:val="20"/>
          <w:color w:val="auto"/>
        </w:rPr>
      </w:pPr>
    </w:p>
    <w:p>
      <w:pPr>
        <w:ind w:left="1300" w:right="240" w:hanging="320"/>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convertible preferred stock that could be issued by our board of directors to thwart a takeover attempt;</w:t>
      </w:r>
    </w:p>
    <w:p>
      <w:pPr>
        <w:spacing w:after="0" w:line="161"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including newly created directorships, may be filled only by a majority vote of directors then in office rather than by stockholders;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stockholders from calling special meetings;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requiring all actions to be taken at a meeting of the stockholders.</w:t>
      </w:r>
    </w:p>
    <w:p>
      <w:pPr>
        <w:spacing w:after="0" w:line="22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third amended and restated bylaws designate the state and federal courts located within the state of Delaware as the sole and exclusive forums for claims arising derivatively, pursuant to the Delaware General Corporation Law or 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unenforceable, we may incur additional costs associated with resolving such extra-forum claims, which could adversely affect our business and financial condition. This bylaws provision, therefore, may dissuade or discourage claimants from initiating lawsuits or claims against us or our directors and officers in forums other than Delaware.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and market conditions could affect our business, results of operations and financial condition.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business depends on the overall demand for HCM and payroll software and services, and on the economic health of our current and prospective clients. As a result, we are subject to risks arising from adverse changes in economic and market conditions such as lower employment levels, increasing interest rates, inflation, volatility in capital markets, and instability of the banking environment, among other factors. During an economic slowdown or downturn, clients may reduce their number of employees and delay or reduce their spending on payroll and other HCM solutions or renegotiate their contracts with us. This could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Our cybersecurity risk management program, which is part of our overall risk management function, comprises processes for assessing, identifying and managing material risks from cybersecurity threats, including the following:</w:t>
      </w:r>
    </w:p>
    <w:p>
      <w:pPr>
        <w:spacing w:after="0" w:line="16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Information Security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maintain information security policies that are formally reviewed and approved by senior management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periodically updated for new developments. These policies map to standard industry frameworks such as the National Institute of Standards and Technology (NIST), Committee of Sponsoring Organizations (COSO), and International Organization for Standardization (ISO) 27001 to establish structured governance, policies, standards, and controls.</w:t>
      </w:r>
    </w:p>
    <w:p>
      <w:pPr>
        <w:spacing w:after="0" w:line="180"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Information Security Certifications and Audits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We maintain certification for compliance with ISO 27001:2022 as assessed by an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third-party auditor. We also engage an independent accounting firm to perform assessments of our procedures and controls as part of our annual Systems and Organization Controls (SOC) 1 and SOC 2 audits.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-424815</wp:posOffset>
            </wp:positionV>
            <wp:extent cx="2540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Security Awareness and Training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our onboarding process, each new employee is required to complete security training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Our employees also are required to complete annual security and privacy training to maintain our focus on protecting our information and that of our clients and their employees. This mandatory training educates our employees on safe handling of sensitive information, appropriate responses to a suspected data security breach, and awareness of security responsibilities. We strive to promote a healthy security awareness culture throughout the organization through supplemental education, training courses, videos, internal and external publications, and supporting activities. We also invest in our Information Security professionals with continued information security training and certifications.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Data and Web Security Safeguards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implemented the following information security solutions and practices:</w:t>
      </w:r>
    </w:p>
    <w:p>
      <w:pPr>
        <w:spacing w:after="0" w:line="119"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of intrusion prevention systems designed to detect and block malicious traffic,</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 application firewalls designed to protect our application from attacks,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firewalls,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information and event management,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and entity behavior analytics,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endpoint detection and response designed to protect our workstation and server population,</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loss prevention software at multiple layers of our IT environment,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penetration testing conducted by both our internal teams and external providers,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multi-layered vulnerability management program designed to identify technical bugs within our product and infrastructure.</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encrypt sensitive client information both during transmission and at rest using industry standard protocols. We also have a mature application security program that promotes security champions within the developer community to instill strong, secure coding practices for reducing vulnerabilities and delivering a secure web application.</w:t>
      </w:r>
    </w:p>
    <w:p>
      <w:pPr>
        <w:spacing w:after="0" w:line="174"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Incident Response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We maintain an incident response plan designed to provide a high-level framework that can be implemented in any cyber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incident. The plan addresses identification of the incident, notifications to appropriate individuals, organization of response activities by role, and escalation procedures based on the severity of the incident. We also have action plans to support business remediation and recovery efforts in the event of an incident.</w:t>
      </w:r>
    </w:p>
    <w:p>
      <w:pPr>
        <w:spacing w:after="0" w:line="17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Business Resilience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apply controls from best practices such as, but not limited to, The Business Continuity Institute (BCI), Disaster Recovery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Institute International (DRII), and International Organization for Standardization (ISO) 22301 for developing and maintaining threat-agnostic plans with strategies to continue client services and critical business operations in the event of a disruption to critical dependencies. The business resilience planning process includes business impact analyses, risk assessments, and continuity strategies. Our business resilience team conducts regular exercises to validate and continuously improve the plans and strategies, including conducting tabletop exercises with teams from across the organization.</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Third-Party Risk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monitor and reassess our third-party relationships on an ongoing basis depending on risk level or in the event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change of products and services provided to us. We also require third-party vendors, suppliers and service providers to undergo a cybersecurity risk assessment prior to entering into a contract with us. The third-party risk assessments, conducted by our information security and enterprise risk management teams with input from key business stakeholders, involve understanding the products and services we obtain from the third party, what sensitive company and client data it will be able to access and an evaluation of the vendor’s security program and documentation. We also require that certain information security-related contract terms be incorporated into agreements with third parties that will have access to sensitive information before entering into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-967740</wp:posOffset>
            </wp:positionV>
            <wp:extent cx="531495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14950" cy="128905"/>
                    </a:xfrm>
                    <a:prstGeom prst="rect">
                      <a:avLst/>
                    </a:prstGeom>
                    <a:noFill/>
                  </pic:spPr>
                </pic:pic>
              </a:graphicData>
            </a:graphic>
          </wp:anchor>
        </w:drawing>
      </w:r>
    </w:p>
    <w:p>
      <w:pPr>
        <w:spacing w:after="0" w:line="16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Although we have experienced cybersecurity incidents in the past, none of these incidents to date have materially affected our business strategy, results of operations or financial condition. Despite our efforts, there can be no assurance that our risk management program will be effective in preventing cybersecurity incidents that could adversely affect our business strategy, results of operations or financial condition. For more information regarding risks from cybersecurity threats, please refer to the Risk Factors entitled “If our security measures are breached or unauthorized access to client data or funds is otherwise obtained, our solutions may be perceived as not being secure, clients may reduce the use of or stop</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using our solutions and we may incur significant liabilities.” and “Any failure to protect our intellectual property rights could impair our ability to protect our proprietary technology and our brand.” in Part I, Item 1A, Risk Factors.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has delegated oversight of risk assessment and risk management activities, including oversight over cybersecurity risks, to the audit committee. The audit committee meets at least quarterly with our Vice President and Chief Information Security Officer (“CISO”), who oversees our overall information security risk management program. The CISO’s updates to the audit committee include recent developments related to the threat landscape, security controls, results of vulnerability assessments, third-party reviews, technological trends and information security considerations arising with respect to peers and third parties.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CISO reports to our Chief Financial Officer and leads our cybersecurity risk management efforts and our dedicated information security team. Our CISO has 20 years of information security experience, including over four years as a director in the information security management practice of a big four accounting firm. He holds multiple information security certifications and has a B.S. in Network Security. Our CISO leads our Information Security Steering Committee (“ISSC”), comprised of key executives and operating personnel from across the company, that oversees ongoing day-to-day management of our risks to information systems. The ISSC tracks risks and security initiatives, reviews the results of annual cybersecurity risk assessments, reviews the results of internal and third-party information security audits and assessments, identifies significant risks that threaten the achievement of security commitments and identifies controls to mitigate such risks. The CISO, along with other members of the ISSC and information security teams, remains apprised of developing cybersecurity trends through communications with the intelligence and law enforcement communities, vendors and industry engagement so that our cybersecurity risk management and governance controls and processes address new and evolving cybersecurity threats.</w:t>
      </w:r>
    </w:p>
    <w:p>
      <w:pPr>
        <w:spacing w:after="0" w:line="1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our corporate headquarters occupied approximately 272,000 square feet in Schaumburg, Illinois under leases with final expiration in October 2032. We also utilize office spaces consisting of approximately 70,000 square feet in Lake Mary, Florida and approximately 64,000 square feet in Meridian, Idaho as other major operations centers. We lease other smaller facilities, primarily across the U.S., that serve as data centers, sales offices and distribution centers.</w:t>
      </w:r>
    </w:p>
    <w:p>
      <w:pPr>
        <w:spacing w:after="0" w:line="180"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obligations under operating leases, see Note 13 of the Notes to the Consolidated Financial Statements included in Part II, Item 8: “Financial Statements and Supplementary Data” of this Annual Report on Form 10-K.</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29"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From time to time, we are and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3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“PCTY”.</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July 26, 2024, the last reported sale price of our common stock on the NASDAQ Global Select Market was $149.43 per share, and there were 16 holders of record of our common stock. The actual number of holders of common stock is greater than these numbers of record holders and includes stockholders who are beneficial owners, but whose shares are held in street name by brokers and nominees. The number of holders of record also does not include stockholders whose shares may be held in trust by other entities.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Initial Public Offering of Common Stock</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March 24, 2014, we completed our initial public offering, or IPO, of 8,101,750 shares of common stock, at a price of $17.00 per share, before underwriting discounts and commissions. We sold 5,366,667 of such shares and existing shareholders sold an aggregate of 2,735,083 of such shares. The offer and sale of all of the shares in the IPO were registered under the Securities Act pursuant to a registration statement on Form S-1 (File No. 333-193661), which was declared effective by the SEC on March 18, 2014.</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Follow-On Offering of Common Stock</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December 17, 2014, we completed a follow-on offering of 4,960,000 shares of common stock at a price of $26.25 per share, before underwriting discounts and commissions. We sold 750,000 of such shares and existing shareholders sold an aggregate of 4,210,000 of such shares.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offering as described in the final prospectus filed with the SEC pursuant to Rule 424(b) on December 12, 2014.</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not declared or paid dividends on our common stock since becoming a publicly traded company. Neither Delaware law nor our third amended and restated certificate of incorporation requires our board of directors to declare dividends on our common stock. Any future determination to declare cash dividends on our common stock will be made at the discretion of our board of directors and will depend on our financial condition, results of operations, capital requirements, general business conditions and other factors that our board of directors may deem relevant. We do not anticipate paying cash dividends on our common stock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227"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Notwithstanding any statement to the contrary in any of our filings with the SEC, the following information shall not be deemed “filed” with the SEC or “soliciting material” under the Securities Exchange Act of 1934 and shall not be incorporated by reference into any such filings irrespective of any general incorporation language contained in such filing.</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total cumulative stockholder return on our common stock with the total cumulative return of the S&amp;P 500 Index and the S&amp;P Software &amp; Services Select Industry Index during the period commencing on June 30, 2019 and ending on June 30, 2024. The graph assumes that $100 was invested at the beginning of the period in our common stock and in each of the comparative indices, and the reinvestment of any dividends. Historical stock price performance should not be relied upon as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125730</wp:posOffset>
            </wp:positionV>
            <wp:extent cx="5254625" cy="3429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5462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describes the Company’s purchases of common stock during the three months ended June 30, 2024:</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r>
      <w:tr>
        <w:trPr>
          <w:trHeight w:val="238"/>
        </w:trPr>
        <w:tc>
          <w:tcPr>
            <w:tcW w:w="2820" w:type="dxa"/>
            <w:vAlign w:val="bottom"/>
          </w:tcPr>
          <w:p>
            <w:pPr>
              <w:spacing w:after="0"/>
              <w:rPr>
                <w:sz w:val="20"/>
                <w:szCs w:val="20"/>
                <w:color w:val="auto"/>
              </w:rPr>
            </w:pPr>
          </w:p>
        </w:tc>
        <w:tc>
          <w:tcPr>
            <w:tcW w:w="2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Share</w:t>
            </w:r>
          </w:p>
        </w:tc>
      </w:tr>
      <w:tr>
        <w:trPr>
          <w:trHeight w:val="27"/>
        </w:trPr>
        <w:tc>
          <w:tcPr>
            <w:tcW w:w="28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April 1, 2024 - April 30, 2024</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May 1, 2024 - May 31, 2024</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152.76</w:t>
            </w:r>
          </w:p>
        </w:tc>
      </w:tr>
      <w:tr>
        <w:trPr>
          <w:trHeight w:val="27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June 1, 2024 - June 30, 2024</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790,560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w:t>
            </w:r>
          </w:p>
        </w:tc>
      </w:tr>
      <w:tr>
        <w:trPr>
          <w:trHeight w:val="257"/>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1,050,254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1"/>
        </w:trPr>
        <w:tc>
          <w:tcPr>
            <w:tcW w:w="28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40" w:right="40" w:hanging="50"/>
        <w:spacing w:after="0" w:line="282" w:lineRule="auto"/>
        <w:rPr>
          <w:sz w:val="20"/>
          <w:szCs w:val="20"/>
          <w:color w:val="auto"/>
        </w:rPr>
      </w:pPr>
      <w:r>
        <w:rPr>
          <w:rFonts w:ascii="Times New Roman" w:cs="Times New Roman" w:eastAsia="Times New Roman" w:hAnsi="Times New Roman"/>
          <w:sz w:val="17"/>
          <w:szCs w:val="17"/>
          <w:b w:val="1"/>
          <w:bCs w:val="1"/>
          <w:color w:val="auto"/>
        </w:rPr>
        <w:t>Total Number of Shares Purchased as Part of Publicly Announced Plans or Programs (1)</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259,694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790,560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26035</wp:posOffset>
            </wp:positionV>
            <wp:extent cx="12858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1,050,254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26035</wp:posOffset>
            </wp:positionV>
            <wp:extent cx="12858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51435</wp:posOffset>
            </wp:positionV>
            <wp:extent cx="12858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21" w:firstLine="230"/>
        <w:spacing w:after="0" w:line="282" w:lineRule="auto"/>
        <w:rPr>
          <w:sz w:val="20"/>
          <w:szCs w:val="20"/>
          <w:color w:val="auto"/>
        </w:rPr>
      </w:pPr>
      <w:r>
        <w:rPr>
          <w:rFonts w:ascii="Times New Roman" w:cs="Times New Roman" w:eastAsia="Times New Roman" w:hAnsi="Times New Roman"/>
          <w:sz w:val="17"/>
          <w:szCs w:val="17"/>
          <w:b w:val="1"/>
          <w:bCs w:val="1"/>
          <w:color w:val="auto"/>
        </w:rPr>
        <w:t>Approximate Dollar Value of Shares that May Yet Be Purchased Under the Plans or Programs (1)</w:t>
      </w:r>
    </w:p>
    <w:p>
      <w:pPr>
        <w:spacing w:after="0" w:line="30" w:lineRule="exact"/>
        <w:rPr>
          <w:sz w:val="20"/>
          <w:szCs w:val="20"/>
          <w:color w:val="auto"/>
        </w:rPr>
      </w:pPr>
    </w:p>
    <w:p>
      <w:pPr>
        <w:ind w:left="1801"/>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1081" w:hanging="1081"/>
        <w:spacing w:after="0"/>
        <w:tabs>
          <w:tab w:leader="none" w:pos="10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460,330,040</w:t>
      </w:r>
    </w:p>
    <w:p>
      <w:pPr>
        <w:spacing w:after="0" w:line="63" w:lineRule="exact"/>
        <w:rPr>
          <w:rFonts w:ascii="Times New Roman" w:cs="Times New Roman" w:eastAsia="Times New Roman" w:hAnsi="Times New Roman"/>
          <w:sz w:val="18"/>
          <w:szCs w:val="18"/>
          <w:color w:val="auto"/>
        </w:rPr>
      </w:pPr>
    </w:p>
    <w:p>
      <w:pPr>
        <w:ind w:left="1081" w:hanging="1081"/>
        <w:spacing w:after="0"/>
        <w:tabs>
          <w:tab w:leader="none" w:pos="10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350,000,134</w:t>
      </w:r>
    </w:p>
    <w:p>
      <w:pPr>
        <w:spacing w:after="0" w:line="564" w:lineRule="exact"/>
        <w:rPr>
          <w:sz w:val="20"/>
          <w:szCs w:val="20"/>
          <w:color w:val="auto"/>
        </w:rPr>
      </w:pPr>
    </w:p>
    <w:p>
      <w:pPr>
        <w:sectPr>
          <w:pgSz w:w="11900" w:h="16838" w:orient="portrait"/>
          <w:cols w:equalWidth="0" w:num="3">
            <w:col w:w="6980" w:space="220"/>
            <w:col w:w="1880" w:space="139"/>
            <w:col w:w="1981"/>
          </w:cols>
          <w:pgMar w:left="320" w:top="121" w:right="379" w:bottom="1440" w:gutter="0" w:footer="0" w:header="0"/>
          <w:type w:val="continuous"/>
        </w:sectPr>
      </w:pPr>
    </w:p>
    <w:p>
      <w:pPr>
        <w:spacing w:after="0" w:line="92" w:lineRule="exact"/>
        <w:rPr>
          <w:sz w:val="20"/>
          <w:szCs w:val="20"/>
          <w:color w:val="auto"/>
        </w:rPr>
      </w:pPr>
    </w:p>
    <w:p>
      <w:pPr>
        <w:ind w:right="480" w:firstLine="8"/>
        <w:spacing w:after="0" w:line="261" w:lineRule="auto"/>
        <w:tabs>
          <w:tab w:leader="none" w:pos="3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2024, our board of directors approved a share repurchase program (the “Repurchase Program”) under which we are authorized to purchase (in the aggregate) up to $500 million of our issued and outstanding common stock at such times and prices that management deems to be appropriate. For further information, see Note 15. Stockholders' Equity of the Notes to Consolidated Financial Statements included in Part II, Item 8: “Financial Statements and Supplementary Data” of this Annual Report on Form 10-K.</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right="80"/>
        <w:spacing w:after="0" w:line="290" w:lineRule="auto"/>
        <w:rPr>
          <w:sz w:val="20"/>
          <w:szCs w:val="20"/>
          <w:color w:val="auto"/>
        </w:rPr>
      </w:pPr>
      <w:r>
        <w:rPr>
          <w:rFonts w:ascii="Times New Roman" w:cs="Times New Roman" w:eastAsia="Times New Roman" w:hAnsi="Times New Roman"/>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 Item 1A. “Risk Factors.”</w:t>
      </w:r>
    </w:p>
    <w:p>
      <w:pPr>
        <w:spacing w:after="0" w:line="155" w:lineRule="exact"/>
        <w:rPr>
          <w:sz w:val="20"/>
          <w:szCs w:val="20"/>
          <w:color w:val="auto"/>
        </w:rPr>
      </w:pPr>
    </w:p>
    <w:p>
      <w:pPr>
        <w:spacing w:after="0" w:line="261" w:lineRule="auto"/>
        <w:rPr>
          <w:rFonts w:ascii="Times New Roman" w:cs="Times New Roman" w:eastAsia="Times New Roman" w:hAnsi="Times New Roman"/>
          <w:sz w:val="18"/>
          <w:szCs w:val="18"/>
          <w:i w:val="1"/>
          <w:iCs w:val="1"/>
          <w:u w:val="single" w:color="auto"/>
          <w:color w:val="0000FF"/>
        </w:rPr>
      </w:pPr>
      <w:r>
        <w:rPr>
          <w:rFonts w:ascii="Times New Roman" w:cs="Times New Roman" w:eastAsia="Times New Roman" w:hAnsi="Times New Roman"/>
          <w:sz w:val="18"/>
          <w:szCs w:val="18"/>
          <w:i w:val="1"/>
          <w:iCs w:val="1"/>
          <w:color w:val="auto"/>
        </w:rPr>
        <w:t>The following discussion of our financial condition and results of operations covers fiscal 2024 and 2023 items and year-over-year comparisons between fiscal 2024 and 2023. Discussion of fiscal 2022 items and year-over-year comparisons between fiscal 2023 and 2022 that are not included in this Form 10-</w:t>
      </w:r>
      <w:hyperlink r:id="rId57">
        <w:r>
          <w:rPr>
            <w:rFonts w:ascii="Times New Roman" w:cs="Times New Roman" w:eastAsia="Times New Roman" w:hAnsi="Times New Roman"/>
            <w:sz w:val="18"/>
            <w:szCs w:val="18"/>
            <w:i w:val="1"/>
            <w:iCs w:val="1"/>
            <w:color w:val="auto"/>
          </w:rPr>
          <w:t xml:space="preserve">K can be found in “Management’s Discussion and Analysis of Financial Condition and Results of Operations” in Part II, Item 7 of our </w:t>
        </w:r>
        <w:r>
          <w:rPr>
            <w:rFonts w:ascii="Times New Roman" w:cs="Times New Roman" w:eastAsia="Times New Roman" w:hAnsi="Times New Roman"/>
            <w:sz w:val="18"/>
            <w:szCs w:val="18"/>
            <w:i w:val="1"/>
            <w:iCs w:val="1"/>
            <w:u w:val="single" w:color="auto"/>
            <w:color w:val="0000FF"/>
          </w:rPr>
          <w:t>Annual Report on</w:t>
        </w:r>
      </w:hyperlink>
      <w:r>
        <w:rPr>
          <w:rFonts w:ascii="Times New Roman" w:cs="Times New Roman" w:eastAsia="Times New Roman" w:hAnsi="Times New Roman"/>
          <w:sz w:val="18"/>
          <w:szCs w:val="18"/>
          <w:i w:val="1"/>
          <w:iCs w:val="1"/>
          <w:color w:val="auto"/>
        </w:rPr>
        <w:t xml:space="preserve"> </w:t>
      </w:r>
      <w:hyperlink r:id="rId57">
        <w:r>
          <w:rPr>
            <w:rFonts w:ascii="Times New Roman" w:cs="Times New Roman" w:eastAsia="Times New Roman" w:hAnsi="Times New Roman"/>
            <w:sz w:val="18"/>
            <w:szCs w:val="18"/>
            <w:i w:val="1"/>
            <w:iCs w:val="1"/>
            <w:u w:val="single" w:color="auto"/>
            <w:color w:val="0000FF"/>
          </w:rPr>
          <w:t>Form 10-K for the fiscal year ended June 30, 2023 that was filed with the SEC on August 4, 2023.</w:t>
        </w:r>
      </w:hyperlink>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We are a leading cloud-based provider of human capital management, or HCM, and payroll software solutions that deliver a comprehensive platform for the modern workforce. Our HCM and payroll platform offers an intuitive, easy-to-use product suite that helps businesses attract and retain talent, build culture and connection with their employees, and streamline and automate HR and payroll processes.</w:t>
      </w:r>
    </w:p>
    <w:p>
      <w:pPr>
        <w:spacing w:after="0" w:line="17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Effective management of human capital is a core function in all organizations and requires a significant commitment of resources. Our cloud-based software solutions, combined with our unified database architecture, are highly flexible and configurable and feature a modern, intuitive user experience. Our platform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through our direct sales force. Our sales and marketing expenses have increased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also believe that delivering a positive service experience is an essential element of our ability to sell our solutions and retain our clients. We supplement our comprehensive software solutions with an integrated implementation and client service organization, all of which are designed to meet the needs of our clients and sales prospects. We expect to continue to invest in and grow our implementation and client service organization as our client base grows.</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will continue to invest across our entire organization as we continue to grow our business over the long term. These investments include increasing the number of personnel across all functional areas, along with improving our solutions and infrastructure to support our growth. The timing and amount of these investments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Paylocity Holding Corporation is a Delaware corporation, which was formed in November 2013. Our business operations are conducted by our wholly 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$852.7 million in fiscal 2022 to $1,174.6 million in fiscal 2023, representing a 38% year-over-year increase. Total revenues increased from $1,174.6 million in fiscal 2023 to $1,402.5 million in fiscal 2024, representing a 19% year-over-year increase. During fiscal 2024, total revenue growth was driven by the strong performance of our sales team, continued annual revenue retention in excess of 92%, and growth in interest income on funds held for clients attributable both to rising interest rates and higher average daily balances for funds held for clients, which were due to the addition of new clients as compared to the prior fiscal year. Uncertainties around market and economic conditions may impact revenue growth, which we have recently experienced and may continue to experience, through fluctuations in client employee counts, elongated sales cycles, client losses, and a changing interest rate environment, among other factors.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Client Count Growth</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Excluding clients acquired through acquisitions, we have increased the number of clients using our HCM and payroll software solutions from approximately 33,300 as of June 30, 2022 to approximately 39,050 as of June 30, 2024, representing a compound annual growth rate of approximately 8%. The table below sets forth the total number of clients using our HCM and payroll software solutions for the periods indicated, excluding clients acquired through acquisitions, rounded to the nearest fifty.</w:t>
      </w:r>
    </w:p>
    <w:p>
      <w:pPr>
        <w:spacing w:after="0" w:line="23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41910</wp:posOffset>
            </wp:positionV>
            <wp:extent cx="29489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500" w:type="dxa"/>
            <w:vAlign w:val="bottom"/>
            <w:gridSpan w:val="2"/>
            <w:shd w:val="clear" w:color="auto" w:fill="CCEEFF"/>
          </w:tcPr>
          <w:p>
            <w:pPr>
              <w:jc w:val="right"/>
              <w:ind w:right="6540"/>
              <w:spacing w:after="0"/>
              <w:rPr>
                <w:sz w:val="20"/>
                <w:szCs w:val="20"/>
                <w:color w:val="auto"/>
              </w:rPr>
            </w:pPr>
            <w:r>
              <w:rPr>
                <w:rFonts w:ascii="Times New Roman" w:cs="Times New Roman" w:eastAsia="Times New Roman" w:hAnsi="Times New Roman"/>
                <w:sz w:val="18"/>
                <w:szCs w:val="18"/>
                <w:color w:val="auto"/>
              </w:rPr>
              <w:t>Client Count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33,300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36,200</w:t>
            </w:r>
          </w:p>
        </w:tc>
        <w:tc>
          <w:tcPr>
            <w:tcW w:w="100" w:type="dxa"/>
            <w:vAlign w:val="bottom"/>
            <w:shd w:val="clear" w:color="auto" w:fill="CCEEFF"/>
          </w:tcPr>
          <w:p>
            <w:pPr>
              <w:spacing w:after="0"/>
              <w:rPr>
                <w:sz w:val="21"/>
                <w:szCs w:val="21"/>
                <w:color w:val="auto"/>
              </w:rPr>
            </w:pPr>
          </w:p>
        </w:tc>
        <w:tc>
          <w:tcPr>
            <w:tcW w:w="14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39,050</w:t>
            </w:r>
          </w:p>
        </w:tc>
      </w:tr>
    </w:tbl>
    <w:p>
      <w:pPr>
        <w:spacing w:after="0" w:line="29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rate at which we add clients is highly variable period-to-period and highly seasonal as many clients switch solutions during the first calendar quarter of each year. Although many clients have multiple divisions, segments or locations, we only count such clients once for these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 Revenue Retention Rate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annual revenue retention rate has been in excess of 92% during each of the past three fiscal years. We calculate our annual revenue retention rate as our total revenue for the preceding 12 months, less the annualized value of revenue lost during the preceding 12 months, divided by our total revenue for the preceding 12 months. We calculate the annualized value of revenue lost by summing the recurring fees paid by lost clients over the previous twelve months prior to their termination if they have been a client for a minimum of twelve months. For those lost clients who became clients within the last twelve months, we sum the recurring fees for the period that they have been a client and then annualize the amount. We exclude interest income on funds held for clients from the revenue retention calculation. We believe that our annual revenue retention rate is an important metric to measure overall client satisfaction and the general quality of our product and service offerings.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EBITDA</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use Adjusted Gross Profit and Adjusted EBITDA to evaluate our operating results. Our calculations of Adjusted Gross Profit and Adjusted EBITDA eliminate the impact of items we do not consider indicative of our ongoing operating performance. Adjusted Gross Profit and Adjusted EBITDA are not measurements of financial performance under generally accepted accounting principles in the United States, or GAAP, and these metrics may not be comparable to similarly titled measures of other companies.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and certain acquired intangibles, stock-based compensation expense and employer payroll taxes related to stock releases and option exercises and other items as described below. We define Adjusted EBITDA as net income before interest expense, income tax expense (benefit), depreciation and amortization expense, stock-based compensation expense and employer payroll taxes related to stock releases and option exercises and other items as described below.</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and Adjusted EBITDA, which are non-GAAP measures, because we believe these metrics assist investors and analysts in comparing our performance across reporting periods on a consistent basis by excluding items that we do not believe are indicative of our core operating performance. We believe these metrics are commonly used in the financial community to aid in comparisons of similar companies, and we present them to enhance investors’ understanding of our operating performance and cash flows.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Gross Profit and Adjusted EBITDA have limitations as analytical tools. Some of these limitations include the following:</w:t>
      </w:r>
    </w:p>
    <w:p>
      <w:pPr>
        <w:spacing w:after="0" w:line="225"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ongoing or future requirements for capital expenditures;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income tax expense or the cash requirement to pay our taxes;</w:t>
      </w:r>
    </w:p>
    <w:p>
      <w:pPr>
        <w:spacing w:after="0" w:line="225"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any cash requirements for such replacements; and</w:t>
      </w:r>
    </w:p>
    <w:p>
      <w:pPr>
        <w:spacing w:after="0" w:line="161" w:lineRule="exact"/>
        <w:rPr>
          <w:rFonts w:ascii="Times New Roman" w:cs="Times New Roman" w:eastAsia="Times New Roman" w:hAnsi="Times New Roman"/>
          <w:sz w:val="18"/>
          <w:szCs w:val="18"/>
          <w:color w:val="auto"/>
        </w:rPr>
      </w:pPr>
    </w:p>
    <w:p>
      <w:pPr>
        <w:ind w:left="1300" w:right="580" w:hanging="320"/>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Gross Profit and Adjusted EBITDA differently than we do, limiting their usefulness as a comparative measure.</w:t>
      </w:r>
    </w:p>
    <w:p>
      <w:pPr>
        <w:spacing w:after="0" w:line="162"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Additionally, stock-based compensation will continue to be an element of our overall compensation strategy, although we exclude it from Adjusted Gross Profit and Adjusted EBITDA as an expense when evaluating our ongoing operating performance for a particular period.</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Because of these limitations, you should not consider Adjusted Gross Profit as an alternative to gross profit or Adjusted EBITDA as an alternative to net income, in each case as determined in accordance with GAAP. We compensate for these limitations by relying primarily on our GAAP results, and we use Adjusted Gross Profit and Adjusted EBITDA only as supplemental information.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Directly comparable GAAP measures to Adjusted Gross Profit and Adjusted EBITDA are gross profit and net income, respectively. We reconcile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Gross Profit and Adjusted EBITDA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565,649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807,559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960,786</w:t>
            </w:r>
          </w:p>
        </w:tc>
      </w:tr>
      <w:tr>
        <w:trPr>
          <w:trHeight w:val="277"/>
        </w:trPr>
        <w:tc>
          <w:tcPr>
            <w:tcW w:w="66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45,246</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certain acquired intangibles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w:t>
            </w:r>
          </w:p>
        </w:tc>
      </w:tr>
      <w:tr>
        <w:trPr>
          <w:trHeight w:val="231"/>
        </w:trPr>
        <w:tc>
          <w:tcPr>
            <w:tcW w:w="66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 related to stock releases</w:t>
            </w:r>
          </w:p>
        </w:tc>
        <w:tc>
          <w:tcPr>
            <w:tcW w:w="340" w:type="dxa"/>
            <w:vAlign w:val="bottom"/>
            <w:shd w:val="clear" w:color="auto" w:fill="D2EDFE"/>
          </w:tcPr>
          <w:p>
            <w:pPr>
              <w:spacing w:after="0"/>
              <w:rPr>
                <w:sz w:val="20"/>
                <w:szCs w:val="20"/>
                <w:color w:val="auto"/>
              </w:rPr>
            </w:pPr>
          </w:p>
        </w:tc>
        <w:tc>
          <w:tcPr>
            <w:tcW w:w="1140" w:type="dxa"/>
            <w:vAlign w:val="bottom"/>
            <w:shd w:val="clear" w:color="auto" w:fill="D2EDFE"/>
          </w:tcPr>
          <w:p>
            <w:pPr>
              <w:spacing w:after="0"/>
              <w:rPr>
                <w:sz w:val="20"/>
                <w:szCs w:val="20"/>
                <w:color w:val="auto"/>
              </w:rPr>
            </w:pPr>
          </w:p>
        </w:tc>
        <w:tc>
          <w:tcPr>
            <w:tcW w:w="100" w:type="dxa"/>
            <w:vAlign w:val="bottom"/>
            <w:shd w:val="clear" w:color="auto" w:fill="D2EDFE"/>
          </w:tcPr>
          <w:p>
            <w:pPr>
              <w:spacing w:after="0"/>
              <w:rPr>
                <w:sz w:val="20"/>
                <w:szCs w:val="20"/>
                <w:color w:val="auto"/>
              </w:rPr>
            </w:pPr>
          </w:p>
        </w:tc>
        <w:tc>
          <w:tcPr>
            <w:tcW w:w="100" w:type="dxa"/>
            <w:vAlign w:val="bottom"/>
            <w:shd w:val="clear" w:color="auto" w:fill="D2EDFE"/>
          </w:tcPr>
          <w:p>
            <w:pPr>
              <w:spacing w:after="0"/>
              <w:rPr>
                <w:sz w:val="20"/>
                <w:szCs w:val="20"/>
                <w:color w:val="auto"/>
              </w:rPr>
            </w:pPr>
          </w:p>
        </w:tc>
        <w:tc>
          <w:tcPr>
            <w:tcW w:w="1380" w:type="dxa"/>
            <w:vAlign w:val="bottom"/>
            <w:shd w:val="clear" w:color="auto" w:fill="D2EDFE"/>
          </w:tcPr>
          <w:p>
            <w:pPr>
              <w:spacing w:after="0"/>
              <w:rPr>
                <w:sz w:val="20"/>
                <w:szCs w:val="20"/>
                <w:color w:val="auto"/>
              </w:rPr>
            </w:pPr>
          </w:p>
        </w:tc>
        <w:tc>
          <w:tcPr>
            <w:tcW w:w="100" w:type="dxa"/>
            <w:vAlign w:val="bottom"/>
            <w:shd w:val="clear" w:color="auto" w:fill="D2EDFE"/>
          </w:tcPr>
          <w:p>
            <w:pPr>
              <w:spacing w:after="0"/>
              <w:rPr>
                <w:sz w:val="20"/>
                <w:szCs w:val="20"/>
                <w:color w:val="auto"/>
              </w:rPr>
            </w:pPr>
          </w:p>
        </w:tc>
        <w:tc>
          <w:tcPr>
            <w:tcW w:w="340" w:type="dxa"/>
            <w:vAlign w:val="bottom"/>
            <w:shd w:val="clear" w:color="auto" w:fill="D2EDFE"/>
          </w:tcPr>
          <w:p>
            <w:pPr>
              <w:spacing w:after="0"/>
              <w:rPr>
                <w:sz w:val="20"/>
                <w:szCs w:val="20"/>
                <w:color w:val="auto"/>
              </w:rPr>
            </w:pPr>
          </w:p>
        </w:tc>
        <w:tc>
          <w:tcPr>
            <w:tcW w:w="1140" w:type="dxa"/>
            <w:vAlign w:val="bottom"/>
            <w:shd w:val="clear" w:color="auto" w:fill="D2EDFE"/>
          </w:tcPr>
          <w:p>
            <w:pPr>
              <w:spacing w:after="0"/>
              <w:rPr>
                <w:sz w:val="20"/>
                <w:szCs w:val="20"/>
                <w:color w:val="auto"/>
              </w:rPr>
            </w:pPr>
          </w:p>
        </w:tc>
      </w:tr>
      <w:tr>
        <w:trPr>
          <w:trHeight w:val="261"/>
        </w:trPr>
        <w:tc>
          <w:tcPr>
            <w:tcW w:w="66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and option exercises</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1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18,446</w:t>
            </w:r>
          </w:p>
        </w:tc>
        <w:tc>
          <w:tcPr>
            <w:tcW w:w="10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20,350</w:t>
            </w:r>
          </w:p>
        </w:tc>
      </w:tr>
      <w:tr>
        <w:trPr>
          <w:trHeight w:val="263"/>
        </w:trPr>
        <w:tc>
          <w:tcPr>
            <w:tcW w:w="6600" w:type="dxa"/>
            <w:vAlign w:val="bottom"/>
            <w:tcBorders>
              <w:bottom w:val="single" w:sz="8" w:color="D2EDFE"/>
            </w:tcBorders>
          </w:tcPr>
          <w:p>
            <w:pPr>
              <w:ind w:left="200"/>
              <w:spacing w:after="0"/>
              <w:rPr>
                <w:sz w:val="20"/>
                <w:szCs w:val="20"/>
                <w:color w:val="auto"/>
              </w:rPr>
            </w:pPr>
            <w:r>
              <w:rPr>
                <w:rFonts w:ascii="Times New Roman" w:cs="Times New Roman" w:eastAsia="Times New Roman" w:hAnsi="Times New Roman"/>
                <w:sz w:val="18"/>
                <w:szCs w:val="18"/>
                <w:color w:val="auto"/>
              </w:rPr>
              <w:t>Other items (1)</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D2EDFE"/>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D2EDFE"/>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82"/>
        </w:trPr>
        <w:tc>
          <w:tcPr>
            <w:tcW w:w="6600" w:type="dxa"/>
            <w:vAlign w:val="bottom"/>
            <w:tcBorders>
              <w:bottom w:val="single" w:sz="8" w:color="D2EDFE"/>
            </w:tcBorders>
            <w:shd w:val="clear" w:color="auto" w:fill="D2EDFE"/>
          </w:tcPr>
          <w:p>
            <w:pPr>
              <w:ind w:left="200"/>
              <w:spacing w:after="0"/>
              <w:rPr>
                <w:sz w:val="20"/>
                <w:szCs w:val="20"/>
                <w:color w:val="auto"/>
              </w:rPr>
            </w:pPr>
            <w:r>
              <w:rPr>
                <w:rFonts w:ascii="Times New Roman" w:cs="Times New Roman" w:eastAsia="Times New Roman" w:hAnsi="Times New Roman"/>
                <w:sz w:val="18"/>
                <w:szCs w:val="18"/>
                <w:color w:val="auto"/>
              </w:rPr>
              <w:t>Adjusted Gross Profit</w:t>
            </w:r>
          </w:p>
        </w:tc>
        <w:tc>
          <w:tcPr>
            <w:tcW w:w="340" w:type="dxa"/>
            <w:vAlign w:val="bottom"/>
            <w:tcBorders>
              <w:bottom w:val="single" w:sz="8" w:color="auto"/>
            </w:tcBorders>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605,500</w:t>
            </w:r>
          </w:p>
        </w:tc>
        <w:tc>
          <w:tcPr>
            <w:tcW w:w="100" w:type="dxa"/>
            <w:vAlign w:val="bottom"/>
            <w:tcBorders>
              <w:bottom w:val="single" w:sz="8" w:color="D2EDFE"/>
            </w:tcBorders>
            <w:shd w:val="clear" w:color="auto" w:fill="D2EDFE"/>
          </w:tcPr>
          <w:p>
            <w:pPr>
              <w:spacing w:after="0"/>
              <w:rPr>
                <w:sz w:val="24"/>
                <w:szCs w:val="24"/>
                <w:color w:val="auto"/>
              </w:rPr>
            </w:pPr>
          </w:p>
        </w:tc>
        <w:tc>
          <w:tcPr>
            <w:tcW w:w="10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864,878</w:t>
            </w:r>
          </w:p>
        </w:tc>
        <w:tc>
          <w:tcPr>
            <w:tcW w:w="100" w:type="dxa"/>
            <w:vAlign w:val="bottom"/>
            <w:tcBorders>
              <w:bottom w:val="single" w:sz="8" w:color="D2EDFE"/>
            </w:tcBorders>
            <w:shd w:val="clear" w:color="auto" w:fill="D2EDFE"/>
          </w:tcPr>
          <w:p>
            <w:pPr>
              <w:spacing w:after="0"/>
              <w:rPr>
                <w:sz w:val="24"/>
                <w:szCs w:val="24"/>
                <w:color w:val="auto"/>
              </w:rPr>
            </w:pPr>
          </w:p>
        </w:tc>
        <w:tc>
          <w:tcPr>
            <w:tcW w:w="340" w:type="dxa"/>
            <w:vAlign w:val="bottom"/>
            <w:tcBorders>
              <w:bottom w:val="single" w:sz="8" w:color="auto"/>
            </w:tcBorders>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1,034,758</w:t>
            </w:r>
          </w:p>
        </w:tc>
      </w:tr>
      <w:tr>
        <w:trPr>
          <w:trHeight w:val="20"/>
        </w:trPr>
        <w:tc>
          <w:tcPr>
            <w:tcW w:w="6600" w:type="dxa"/>
            <w:vAlign w:val="bottom"/>
            <w:tcBorders>
              <w:top w:val="single" w:sz="8" w:color="D2EDFE"/>
            </w:tcBorders>
          </w:tcPr>
          <w:p>
            <w:pPr>
              <w:spacing w:after="0" w:line="20" w:lineRule="exact"/>
              <w:rPr>
                <w:sz w:val="1"/>
                <w:szCs w:val="1"/>
                <w:color w:val="auto"/>
              </w:rPr>
            </w:pPr>
          </w:p>
        </w:tc>
        <w:tc>
          <w:tcPr>
            <w:tcW w:w="340" w:type="dxa"/>
            <w:vAlign w:val="bottom"/>
            <w:tcBorders>
              <w:top w:val="single" w:sz="8" w:color="D2EDFE"/>
              <w:bottom w:val="single" w:sz="8" w:color="auto"/>
            </w:tcBorders>
          </w:tcPr>
          <w:p>
            <w:pPr>
              <w:spacing w:after="0" w:line="20" w:lineRule="exact"/>
              <w:rPr>
                <w:sz w:val="1"/>
                <w:szCs w:val="1"/>
                <w:color w:val="auto"/>
              </w:rPr>
            </w:pPr>
          </w:p>
        </w:tc>
        <w:tc>
          <w:tcPr>
            <w:tcW w:w="114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100" w:type="dxa"/>
            <w:vAlign w:val="bottom"/>
            <w:tcBorders>
              <w:top w:val="single" w:sz="8" w:color="D2EDFE"/>
              <w:bottom w:val="single" w:sz="8" w:color="auto"/>
            </w:tcBorders>
          </w:tcPr>
          <w:p>
            <w:pPr>
              <w:spacing w:after="0" w:line="20" w:lineRule="exact"/>
              <w:rPr>
                <w:sz w:val="1"/>
                <w:szCs w:val="1"/>
                <w:color w:val="auto"/>
              </w:rPr>
            </w:pPr>
          </w:p>
        </w:tc>
        <w:tc>
          <w:tcPr>
            <w:tcW w:w="138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340" w:type="dxa"/>
            <w:vAlign w:val="bottom"/>
            <w:tcBorders>
              <w:top w:val="single" w:sz="8" w:color="D2EDFE"/>
              <w:bottom w:val="single" w:sz="8" w:color="auto"/>
            </w:tcBorders>
          </w:tcPr>
          <w:p>
            <w:pPr>
              <w:spacing w:after="0" w:line="20" w:lineRule="exact"/>
              <w:rPr>
                <w:sz w:val="1"/>
                <w:szCs w:val="1"/>
                <w:color w:val="auto"/>
              </w:rPr>
            </w:pPr>
          </w:p>
        </w:tc>
        <w:tc>
          <w:tcPr>
            <w:tcW w:w="1140" w:type="dxa"/>
            <w:vAlign w:val="bottom"/>
            <w:tcBorders>
              <w:top w:val="single" w:sz="8" w:color="D2EDFE"/>
              <w:bottom w:val="single" w:sz="8" w:color="auto"/>
            </w:tcBorders>
          </w:tcPr>
          <w:p>
            <w:pPr>
              <w:spacing w:after="0" w:line="20" w:lineRule="exact"/>
              <w:rPr>
                <w:sz w:val="1"/>
                <w:szCs w:val="1"/>
                <w:color w:val="auto"/>
              </w:rPr>
            </w:pPr>
          </w:p>
        </w:tc>
      </w:tr>
      <w:tr>
        <w:trPr>
          <w:trHeight w:val="504"/>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140,822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206,766</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50,218</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76,426</w:t>
            </w:r>
          </w:p>
        </w:tc>
      </w:tr>
      <w:tr>
        <w:trPr>
          <w:trHeight w:val="243"/>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354,199</w:t>
            </w:r>
          </w:p>
        </w:tc>
      </w:tr>
      <w:tr>
        <w:trPr>
          <w:trHeight w:val="23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 related to stock releases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152,446</w:t>
            </w:r>
          </w:p>
        </w:tc>
      </w:tr>
      <w:tr>
        <w:trPr>
          <w:trHeight w:val="24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option exercises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8"/>
        </w:trPr>
        <w:tc>
          <w:tcPr>
            <w:tcW w:w="6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505,554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firstLine="8"/>
        <w:spacing w:after="0" w:line="282" w:lineRule="auto"/>
        <w:tabs>
          <w:tab w:leader="none" w:pos="3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acquisition-related costs and severance costs related to certain roles that have been eliminated. We exclude one-off severance costs that we incur as part of the normal course of our business operations.</w:t>
      </w:r>
    </w:p>
    <w:p>
      <w:pPr>
        <w:spacing w:after="0" w:line="53" w:lineRule="exact"/>
        <w:rPr>
          <w:rFonts w:ascii="Times New Roman" w:cs="Times New Roman" w:eastAsia="Times New Roman" w:hAnsi="Times New Roman"/>
          <w:sz w:val="18"/>
          <w:szCs w:val="18"/>
          <w:color w:val="auto"/>
        </w:rPr>
      </w:pPr>
    </w:p>
    <w:p>
      <w:pPr>
        <w:ind w:right="600" w:firstLine="8"/>
        <w:spacing w:after="0" w:line="282" w:lineRule="auto"/>
        <w:tabs>
          <w:tab w:leader="none" w:pos="3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nonrecurring transaction-related costs, lease exit activity and severance costs related to certain roles that have been eliminated. We exclude one-off severance costs that we incur as part of the normal course of our business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22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generate substantially all of our recurring and other revenue from ongoing subscriptions to our cloud-based HCM and payroll software solutions, which are recurring in nature.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HCM and payroll solutions. Implementations of our solutions typically require one to eight weeks, depending on the size and complexity of each client, at which point the new client’s payroll is first processed using our solution. Our average client size has continued to be over 150 employees.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the majority of our agreements with clients are generally cancellable by the client on 60 days’ notice or less, we also have entered into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Recurring and other revenue accounted for approximately 99%, 93% and 91% of our total revenues during the years ended June 30, 2022, 2023 and 2024, respectively.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Cost of revenues includes costs to provide our payroll and other HCM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amortization of certain acquired intangibles and bank fees associated with client fund transfers. Costs related to recurring support are generally expensed as incurred. Implementation costs related to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8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We also capitalize a portion of our internal-use software costs, which are then primarily amortized as Cost of revenues. We amortized $25.3 million, $31.4 million and $45.2 million of capitalized internal-use software costs in fiscal 2022, 2023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benefits, marketing expenses and other related costs. Our sales personnel earn commissions and bonuses for attainment of certain performance criteria based upon new sales throughout the fiscal year. We capitalize certain selling and commission costs related to new contracts or purchases of additional services by our existing clients and amortize them over a period of 7 years.</w:t>
      </w:r>
    </w:p>
    <w:p>
      <w:pPr>
        <w:spacing w:after="0" w:line="18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each of fiscal 2022, 2023 and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75,531</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102,908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163,994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178,333</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253,864</w:t>
            </w:r>
          </w:p>
        </w:tc>
      </w:tr>
    </w:tbl>
    <w:p>
      <w:pPr>
        <w:spacing w:after="0" w:line="29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While we expect our general and administrative expenses to continue to increase in absolute dollars as our company continues to grow, we expect to realize cost efficiencies as our business scales.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earned on our cash and cash equivalents, net of losses on disposals of property and equipment and interest expense related to our revolving credit facility.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6"/>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847,694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1,098,036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1,281,680</w:t>
            </w:r>
          </w:p>
        </w:tc>
      </w:tr>
      <w:tr>
        <w:trPr>
          <w:trHeight w:val="250"/>
        </w:trPr>
        <w:tc>
          <w:tcPr>
            <w:tcW w:w="66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4,957</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76,562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120,835</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852,651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1,174,598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1,402,515</w:t>
            </w:r>
          </w:p>
        </w:tc>
      </w:tr>
      <w:tr>
        <w:trPr>
          <w:trHeight w:val="250"/>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287,002</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367,039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441,729</w:t>
            </w:r>
          </w:p>
        </w:tc>
      </w:tr>
      <w:tr>
        <w:trPr>
          <w:trHeight w:val="256"/>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565,649</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807,559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960,786</w:t>
            </w: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3"/>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214,455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296,716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334,954</w:t>
            </w:r>
          </w:p>
        </w:tc>
      </w:tr>
      <w:tr>
        <w:trPr>
          <w:trHeight w:val="25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102,908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163,994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178,333</w:t>
            </w:r>
          </w:p>
        </w:tc>
      </w:tr>
      <w:tr>
        <w:trPr>
          <w:trHeight w:val="257"/>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163,692</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191,823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187,406</w:t>
            </w:r>
          </w:p>
        </w:tc>
      </w:tr>
      <w:tr>
        <w:trPr>
          <w:trHeight w:val="250"/>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481,055</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652,533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700,693</w:t>
            </w:r>
          </w:p>
        </w:tc>
      </w:tr>
      <w:tr>
        <w:trPr>
          <w:trHeight w:val="256"/>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84,594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155,026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260,093</w:t>
            </w:r>
          </w:p>
        </w:tc>
      </w:tr>
      <w:tr>
        <w:trPr>
          <w:trHeight w:val="250"/>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(997)</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16,922</w:t>
            </w:r>
          </w:p>
        </w:tc>
      </w:tr>
      <w:tr>
        <w:trPr>
          <w:trHeight w:val="257"/>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83,597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158,614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277,015</w:t>
            </w:r>
          </w:p>
        </w:tc>
      </w:tr>
      <w:tr>
        <w:trPr>
          <w:trHeight w:val="250"/>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(7,180)</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17,792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70,249</w:t>
            </w:r>
          </w:p>
        </w:tc>
      </w:tr>
      <w:tr>
        <w:trPr>
          <w:trHeight w:val="282"/>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90,777</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140,822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206,766</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10120" w:type="dxa"/>
            <w:vAlign w:val="bottom"/>
            <w:gridSpan w:val="13"/>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 for each of the periods indicated.</w:t>
            </w:r>
          </w:p>
        </w:tc>
        <w:tc>
          <w:tcPr>
            <w:tcW w:w="1120" w:type="dxa"/>
            <w:vAlign w:val="bottom"/>
          </w:tcPr>
          <w:p>
            <w:pPr>
              <w:spacing w:after="0"/>
              <w:rPr>
                <w:sz w:val="24"/>
                <w:szCs w:val="24"/>
                <w:color w:val="auto"/>
              </w:rPr>
            </w:pPr>
          </w:p>
        </w:tc>
      </w:tr>
      <w:tr>
        <w:trPr>
          <w:trHeight w:val="435"/>
        </w:trPr>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
        </w:trPr>
        <w:tc>
          <w:tcPr>
            <w:tcW w:w="6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6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50"/>
        </w:trPr>
        <w:tc>
          <w:tcPr>
            <w:tcW w:w="6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6"/>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63"/>
        </w:trPr>
        <w:tc>
          <w:tcPr>
            <w:tcW w:w="6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50"/>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7"/>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6"/>
        </w:trPr>
        <w:tc>
          <w:tcPr>
            <w:tcW w:w="6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6"/>
        </w:trPr>
        <w:tc>
          <w:tcPr>
            <w:tcW w:w="6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76"/>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Years Ended June 30, 2023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Change from 2022 to 2023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Change from 2023 to 2024</w:t>
            </w:r>
          </w:p>
        </w:tc>
      </w:tr>
      <w:tr>
        <w:trPr>
          <w:trHeight w:val="23"/>
        </w:trPr>
        <w:tc>
          <w:tcPr>
            <w:tcW w:w="2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296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29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280" w:type="dxa"/>
            <w:vAlign w:val="bottom"/>
            <w:shd w:val="clear" w:color="auto" w:fill="D2EDF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847,694</w:t>
            </w:r>
          </w:p>
        </w:tc>
        <w:tc>
          <w:tcPr>
            <w:tcW w:w="380" w:type="dxa"/>
            <w:vAlign w:val="bottom"/>
            <w:gridSpan w:val="2"/>
            <w:shd w:val="clear" w:color="auto" w:fill="D2EDFE"/>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1,098,036</w:t>
            </w:r>
          </w:p>
        </w:tc>
        <w:tc>
          <w:tcPr>
            <w:tcW w:w="100" w:type="dxa"/>
            <w:vAlign w:val="bottom"/>
            <w:shd w:val="clear" w:color="auto" w:fill="D2EDFE"/>
          </w:tcPr>
          <w:p>
            <w:pPr>
              <w:spacing w:after="0"/>
              <w:rPr>
                <w:sz w:val="21"/>
                <w:szCs w:val="21"/>
                <w:color w:val="auto"/>
              </w:rPr>
            </w:pPr>
          </w:p>
        </w:tc>
        <w:tc>
          <w:tcPr>
            <w:tcW w:w="280" w:type="dxa"/>
            <w:vAlign w:val="bottom"/>
            <w:shd w:val="clear" w:color="auto" w:fill="D2EDF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1,281,680</w:t>
            </w:r>
          </w:p>
        </w:tc>
        <w:tc>
          <w:tcPr>
            <w:tcW w:w="8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250,342</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183,644</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18"/>
        </w:trPr>
        <w:tc>
          <w:tcPr>
            <w:tcW w:w="29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w:t>
            </w:r>
          </w:p>
        </w:tc>
        <w:tc>
          <w:tcPr>
            <w:tcW w:w="280" w:type="dxa"/>
            <w:vAlign w:val="bottom"/>
            <w:shd w:val="clear" w:color="auto" w:fill="D2EDFE"/>
          </w:tcPr>
          <w:p>
            <w:pPr>
              <w:spacing w:after="0"/>
              <w:rPr>
                <w:sz w:val="18"/>
                <w:szCs w:val="18"/>
                <w:color w:val="auto"/>
              </w:rPr>
            </w:pPr>
          </w:p>
        </w:tc>
        <w:tc>
          <w:tcPr>
            <w:tcW w:w="960" w:type="dxa"/>
            <w:vAlign w:val="bottom"/>
            <w:shd w:val="clear" w:color="auto" w:fill="D2EDFE"/>
          </w:tcPr>
          <w:p>
            <w:pPr>
              <w:spacing w:after="0"/>
              <w:rPr>
                <w:sz w:val="18"/>
                <w:szCs w:val="18"/>
                <w:color w:val="auto"/>
              </w:rPr>
            </w:pPr>
          </w:p>
        </w:tc>
        <w:tc>
          <w:tcPr>
            <w:tcW w:w="80" w:type="dxa"/>
            <w:vAlign w:val="bottom"/>
            <w:shd w:val="clear" w:color="auto" w:fill="D2EDFE"/>
          </w:tcPr>
          <w:p>
            <w:pPr>
              <w:spacing w:after="0"/>
              <w:rPr>
                <w:sz w:val="18"/>
                <w:szCs w:val="18"/>
                <w:color w:val="auto"/>
              </w:rPr>
            </w:pPr>
          </w:p>
        </w:tc>
        <w:tc>
          <w:tcPr>
            <w:tcW w:w="300" w:type="dxa"/>
            <w:vAlign w:val="bottom"/>
            <w:shd w:val="clear" w:color="auto" w:fill="D2EDFE"/>
          </w:tcPr>
          <w:p>
            <w:pPr>
              <w:spacing w:after="0"/>
              <w:rPr>
                <w:sz w:val="18"/>
                <w:szCs w:val="18"/>
                <w:color w:val="auto"/>
              </w:rPr>
            </w:pPr>
          </w:p>
        </w:tc>
        <w:tc>
          <w:tcPr>
            <w:tcW w:w="980" w:type="dxa"/>
            <w:vAlign w:val="bottom"/>
            <w:shd w:val="clear" w:color="auto" w:fill="D2EDFE"/>
          </w:tcPr>
          <w:p>
            <w:pPr>
              <w:spacing w:after="0"/>
              <w:rPr>
                <w:sz w:val="18"/>
                <w:szCs w:val="18"/>
                <w:color w:val="auto"/>
              </w:rPr>
            </w:pPr>
          </w:p>
        </w:tc>
        <w:tc>
          <w:tcPr>
            <w:tcW w:w="100" w:type="dxa"/>
            <w:vAlign w:val="bottom"/>
            <w:shd w:val="clear" w:color="auto" w:fill="D2EDFE"/>
          </w:tcPr>
          <w:p>
            <w:pPr>
              <w:spacing w:after="0"/>
              <w:rPr>
                <w:sz w:val="18"/>
                <w:szCs w:val="18"/>
                <w:color w:val="auto"/>
              </w:rPr>
            </w:pPr>
          </w:p>
        </w:tc>
        <w:tc>
          <w:tcPr>
            <w:tcW w:w="280" w:type="dxa"/>
            <w:vAlign w:val="bottom"/>
            <w:shd w:val="clear" w:color="auto" w:fill="D2EDFE"/>
          </w:tcPr>
          <w:p>
            <w:pPr>
              <w:spacing w:after="0"/>
              <w:rPr>
                <w:sz w:val="18"/>
                <w:szCs w:val="18"/>
                <w:color w:val="auto"/>
              </w:rPr>
            </w:pPr>
          </w:p>
        </w:tc>
        <w:tc>
          <w:tcPr>
            <w:tcW w:w="960" w:type="dxa"/>
            <w:vAlign w:val="bottom"/>
            <w:shd w:val="clear" w:color="auto" w:fill="D2EDFE"/>
          </w:tcPr>
          <w:p>
            <w:pPr>
              <w:spacing w:after="0"/>
              <w:rPr>
                <w:sz w:val="18"/>
                <w:szCs w:val="18"/>
                <w:color w:val="auto"/>
              </w:rPr>
            </w:pPr>
          </w:p>
        </w:tc>
        <w:tc>
          <w:tcPr>
            <w:tcW w:w="80" w:type="dxa"/>
            <w:vAlign w:val="bottom"/>
            <w:shd w:val="clear" w:color="auto" w:fill="D2EDFE"/>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D2EDFE"/>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8"/>
        </w:trPr>
        <w:tc>
          <w:tcPr>
            <w:tcW w:w="29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clients</w:t>
            </w:r>
          </w:p>
        </w:tc>
        <w:tc>
          <w:tcPr>
            <w:tcW w:w="280" w:type="dxa"/>
            <w:vAlign w:val="bottom"/>
            <w:shd w:val="clear" w:color="auto" w:fill="D2EDF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380" w:type="dxa"/>
            <w:vAlign w:val="bottom"/>
            <w:gridSpan w:val="2"/>
            <w:shd w:val="clear" w:color="auto" w:fill="D2EDFE"/>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76,562</w:t>
            </w:r>
          </w:p>
        </w:tc>
        <w:tc>
          <w:tcPr>
            <w:tcW w:w="100" w:type="dxa"/>
            <w:vAlign w:val="bottom"/>
            <w:shd w:val="clear" w:color="auto" w:fill="D2EDFE"/>
          </w:tcPr>
          <w:p>
            <w:pPr>
              <w:spacing w:after="0"/>
              <w:rPr>
                <w:sz w:val="21"/>
                <w:szCs w:val="21"/>
                <w:color w:val="auto"/>
              </w:rPr>
            </w:pPr>
          </w:p>
        </w:tc>
        <w:tc>
          <w:tcPr>
            <w:tcW w:w="280" w:type="dxa"/>
            <w:vAlign w:val="bottom"/>
            <w:shd w:val="clear" w:color="auto" w:fill="D2EDF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120,835</w:t>
            </w:r>
          </w:p>
        </w:tc>
        <w:tc>
          <w:tcPr>
            <w:tcW w:w="8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71,605</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8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44,273</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Recurring and other revenue for the year ended June 30, 2024 increased by $183.6 million, or 17%, to $1,281.7 million from $1,098.0 million for the year ended June 30, 2023. Recurring and other revenue increased primarily as a result of incremental revenues from new and existing clients due to the strong performance by our sales team and continued annual revenue retention in excess of 92%. Excluding clients acquired through acquisitions, the number of clients using our HCM and payroll software solutions at June 30, 2024 increased by 8% to approximately 39,050 from approximately 36,200 at June 30, 2023.</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Interest income on funds held for clients for the year ended June 30, 2024 increased by $44.3 million, or 58%, to $120.8 million from $76.6 million for the year ended June 30, 2023. Interest income on funds held for clients increased primarily due to higher interest rates and higher average daily balances for funds held due to the addition of new clients to our client base as compared to the prior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2022 to 2023</w:t>
            </w: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2023 to 2024</w:t>
            </w:r>
          </w:p>
        </w:tc>
      </w:tr>
      <w:tr>
        <w:trPr>
          <w:trHeight w:val="2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318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1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shd w:val="clear" w:color="auto" w:fill="D2EDF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287,002</w:t>
            </w:r>
          </w:p>
        </w:tc>
        <w:tc>
          <w:tcPr>
            <w:tcW w:w="360" w:type="dxa"/>
            <w:vAlign w:val="bottom"/>
            <w:gridSpan w:val="2"/>
            <w:shd w:val="clear" w:color="auto" w:fill="D2EDF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367,039</w:t>
            </w:r>
          </w:p>
        </w:tc>
        <w:tc>
          <w:tcPr>
            <w:tcW w:w="100" w:type="dxa"/>
            <w:vAlign w:val="bottom"/>
            <w:shd w:val="clear" w:color="auto" w:fill="D2EDFE"/>
          </w:tcPr>
          <w:p>
            <w:pPr>
              <w:spacing w:after="0"/>
              <w:rPr>
                <w:sz w:val="21"/>
                <w:szCs w:val="21"/>
                <w:color w:val="auto"/>
              </w:rPr>
            </w:pPr>
          </w:p>
        </w:tc>
        <w:tc>
          <w:tcPr>
            <w:tcW w:w="260" w:type="dxa"/>
            <w:vAlign w:val="bottom"/>
            <w:shd w:val="clear" w:color="auto" w:fill="D2EDF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441,729</w:t>
            </w:r>
          </w:p>
        </w:tc>
        <w:tc>
          <w:tcPr>
            <w:tcW w:w="8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80,037</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74,690</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0"/>
        </w:trPr>
        <w:tc>
          <w:tcPr>
            <w:tcW w:w="3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7"/>
        </w:trPr>
        <w:tc>
          <w:tcPr>
            <w:tcW w:w="31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260" w:type="dxa"/>
            <w:vAlign w:val="bottom"/>
            <w:shd w:val="clear" w:color="auto" w:fill="D2EDFE"/>
          </w:tcPr>
          <w:p>
            <w:pPr>
              <w:spacing w:after="0"/>
              <w:rPr>
                <w:sz w:val="24"/>
                <w:szCs w:val="24"/>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D2EDFE"/>
          </w:tcPr>
          <w:p>
            <w:pPr>
              <w:spacing w:after="0"/>
              <w:rPr>
                <w:sz w:val="24"/>
                <w:szCs w:val="24"/>
                <w:color w:val="auto"/>
              </w:rPr>
            </w:pPr>
          </w:p>
        </w:tc>
        <w:tc>
          <w:tcPr>
            <w:tcW w:w="280" w:type="dxa"/>
            <w:vAlign w:val="bottom"/>
            <w:shd w:val="clear" w:color="auto" w:fill="D2EDFE"/>
          </w:tcPr>
          <w:p>
            <w:pPr>
              <w:spacing w:after="0"/>
              <w:rPr>
                <w:sz w:val="24"/>
                <w:szCs w:val="24"/>
                <w:color w:val="auto"/>
              </w:rPr>
            </w:pPr>
          </w:p>
        </w:tc>
        <w:tc>
          <w:tcPr>
            <w:tcW w:w="8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D2EDFE"/>
          </w:tcPr>
          <w:p>
            <w:pPr>
              <w:spacing w:after="0"/>
              <w:rPr>
                <w:sz w:val="24"/>
                <w:szCs w:val="24"/>
                <w:color w:val="auto"/>
              </w:rPr>
            </w:pPr>
          </w:p>
        </w:tc>
        <w:tc>
          <w:tcPr>
            <w:tcW w:w="260" w:type="dxa"/>
            <w:vAlign w:val="bottom"/>
            <w:shd w:val="clear" w:color="auto" w:fill="D2EDFE"/>
          </w:tcPr>
          <w:p>
            <w:pPr>
              <w:spacing w:after="0"/>
              <w:rPr>
                <w:sz w:val="24"/>
                <w:szCs w:val="24"/>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D2EDFE"/>
          </w:tcPr>
          <w:p>
            <w:pPr>
              <w:spacing w:after="0"/>
              <w:rPr>
                <w:sz w:val="24"/>
                <w:szCs w:val="24"/>
                <w:color w:val="auto"/>
              </w:rPr>
            </w:pPr>
          </w:p>
        </w:tc>
        <w:tc>
          <w:tcPr>
            <w:tcW w:w="180" w:type="dxa"/>
            <w:vAlign w:val="bottom"/>
            <w:shd w:val="clear" w:color="auto" w:fill="D2EDFE"/>
          </w:tcPr>
          <w:p>
            <w:pPr>
              <w:spacing w:after="0"/>
              <w:rPr>
                <w:sz w:val="24"/>
                <w:szCs w:val="24"/>
                <w:color w:val="auto"/>
              </w:rPr>
            </w:pPr>
          </w:p>
        </w:tc>
        <w:tc>
          <w:tcPr>
            <w:tcW w:w="840" w:type="dxa"/>
            <w:vAlign w:val="bottom"/>
            <w:shd w:val="clear" w:color="auto" w:fill="D2EDFE"/>
          </w:tcPr>
          <w:p>
            <w:pPr>
              <w:spacing w:after="0"/>
              <w:rPr>
                <w:sz w:val="24"/>
                <w:szCs w:val="24"/>
                <w:color w:val="auto"/>
              </w:rPr>
            </w:pPr>
          </w:p>
        </w:tc>
        <w:tc>
          <w:tcPr>
            <w:tcW w:w="100" w:type="dxa"/>
            <w:vAlign w:val="bottom"/>
            <w:shd w:val="clear" w:color="auto" w:fill="D2EDFE"/>
          </w:tcPr>
          <w:p>
            <w:pPr>
              <w:spacing w:after="0"/>
              <w:rPr>
                <w:sz w:val="24"/>
                <w:szCs w:val="24"/>
                <w:color w:val="auto"/>
              </w:rPr>
            </w:pPr>
          </w:p>
        </w:tc>
        <w:tc>
          <w:tcPr>
            <w:tcW w:w="1000" w:type="dxa"/>
            <w:vAlign w:val="bottom"/>
            <w:shd w:val="clear" w:color="auto" w:fill="D2EDFE"/>
          </w:tcPr>
          <w:p>
            <w:pPr>
              <w:spacing w:after="0"/>
              <w:rPr>
                <w:sz w:val="24"/>
                <w:szCs w:val="24"/>
                <w:color w:val="auto"/>
              </w:rPr>
            </w:pPr>
          </w:p>
        </w:tc>
        <w:tc>
          <w:tcPr>
            <w:tcW w:w="100" w:type="dxa"/>
            <w:vAlign w:val="bottom"/>
            <w:shd w:val="clear" w:color="auto" w:fill="D2EDFE"/>
          </w:tcPr>
          <w:p>
            <w:pPr>
              <w:spacing w:after="0"/>
              <w:rPr>
                <w:sz w:val="24"/>
                <w:szCs w:val="24"/>
                <w:color w:val="auto"/>
              </w:rPr>
            </w:pPr>
          </w:p>
        </w:tc>
        <w:tc>
          <w:tcPr>
            <w:tcW w:w="180" w:type="dxa"/>
            <w:vAlign w:val="bottom"/>
            <w:shd w:val="clear" w:color="auto" w:fill="D2EDFE"/>
          </w:tcPr>
          <w:p>
            <w:pPr>
              <w:spacing w:after="0"/>
              <w:rPr>
                <w:sz w:val="24"/>
                <w:szCs w:val="24"/>
                <w:color w:val="auto"/>
              </w:rPr>
            </w:pPr>
          </w:p>
        </w:tc>
        <w:tc>
          <w:tcPr>
            <w:tcW w:w="840" w:type="dxa"/>
            <w:vAlign w:val="bottom"/>
            <w:shd w:val="clear" w:color="auto" w:fill="D2EDFE"/>
          </w:tcPr>
          <w:p>
            <w:pPr>
              <w:spacing w:after="0"/>
              <w:rPr>
                <w:sz w:val="24"/>
                <w:szCs w:val="24"/>
                <w:color w:val="auto"/>
              </w:rPr>
            </w:pPr>
          </w:p>
        </w:tc>
        <w:tc>
          <w:tcPr>
            <w:tcW w:w="80" w:type="dxa"/>
            <w:vAlign w:val="bottom"/>
            <w:shd w:val="clear" w:color="auto" w:fill="D2EDFE"/>
          </w:tcPr>
          <w:p>
            <w:pPr>
              <w:spacing w:after="0"/>
              <w:rPr>
                <w:sz w:val="24"/>
                <w:szCs w:val="24"/>
                <w:color w:val="auto"/>
              </w:rPr>
            </w:pPr>
          </w:p>
        </w:tc>
        <w:tc>
          <w:tcPr>
            <w:tcW w:w="1020" w:type="dxa"/>
            <w:vAlign w:val="bottom"/>
            <w:shd w:val="clear" w:color="auto" w:fill="D2EDFE"/>
          </w:tcPr>
          <w:p>
            <w:pPr>
              <w:spacing w:after="0"/>
              <w:rPr>
                <w:sz w:val="24"/>
                <w:szCs w:val="24"/>
                <w:color w:val="auto"/>
              </w:rPr>
            </w:pPr>
          </w:p>
        </w:tc>
      </w:tr>
    </w:tbl>
    <w:p>
      <w:pPr>
        <w:spacing w:after="0" w:line="27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Cost of revenues for the year ended June 30, 2024 increased by $74.7 million, or 20%, to $441.7 million from $367.0 million for the year ended June 30, 2023. Cost of revenues increased primarily as a result of the continued growth of our business, in particular, $44.9 million in additional employee-related costs resulting from additional personnel necessary to provide services to new and existing clients, $13.8 million in additional processing and delivery related costs and $13.6 million in increased internal-use software amortization. Gross profit margin was 69% for both years ended June 30, 2023 and 2024.</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2022 to 2023</w:t>
            </w: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2023 to 2024</w:t>
            </w:r>
          </w:p>
        </w:tc>
      </w:tr>
      <w:tr>
        <w:trPr>
          <w:trHeight w:val="2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318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1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D2EDF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214,455</w:t>
            </w:r>
          </w:p>
        </w:tc>
        <w:tc>
          <w:tcPr>
            <w:tcW w:w="360" w:type="dxa"/>
            <w:vAlign w:val="bottom"/>
            <w:gridSpan w:val="2"/>
            <w:shd w:val="clear" w:color="auto" w:fill="D2EDF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296,716</w:t>
            </w:r>
          </w:p>
        </w:tc>
        <w:tc>
          <w:tcPr>
            <w:tcW w:w="100" w:type="dxa"/>
            <w:vAlign w:val="bottom"/>
            <w:shd w:val="clear" w:color="auto" w:fill="D2EDFE"/>
          </w:tcPr>
          <w:p>
            <w:pPr>
              <w:spacing w:after="0"/>
              <w:rPr>
                <w:sz w:val="21"/>
                <w:szCs w:val="21"/>
                <w:color w:val="auto"/>
              </w:rPr>
            </w:pPr>
          </w:p>
        </w:tc>
        <w:tc>
          <w:tcPr>
            <w:tcW w:w="260" w:type="dxa"/>
            <w:vAlign w:val="bottom"/>
            <w:shd w:val="clear" w:color="auto" w:fill="D2EDF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334,954</w:t>
            </w:r>
          </w:p>
        </w:tc>
        <w:tc>
          <w:tcPr>
            <w:tcW w:w="80" w:type="dxa"/>
            <w:vAlign w:val="bottom"/>
            <w:shd w:val="clear" w:color="auto" w:fill="D2EDFE"/>
          </w:tcPr>
          <w:p>
            <w:pPr>
              <w:spacing w:after="0"/>
              <w:rPr>
                <w:sz w:val="21"/>
                <w:szCs w:val="21"/>
                <w:color w:val="auto"/>
              </w:rPr>
            </w:pPr>
          </w:p>
        </w:tc>
        <w:tc>
          <w:tcPr>
            <w:tcW w:w="1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2EDFE"/>
          </w:tcPr>
          <w:p>
            <w:pPr>
              <w:ind w:left="300"/>
              <w:spacing w:after="0"/>
              <w:rPr>
                <w:sz w:val="20"/>
                <w:szCs w:val="20"/>
                <w:color w:val="auto"/>
              </w:rPr>
            </w:pPr>
            <w:r>
              <w:rPr>
                <w:rFonts w:ascii="Times New Roman" w:cs="Times New Roman" w:eastAsia="Times New Roman" w:hAnsi="Times New Roman"/>
                <w:sz w:val="18"/>
                <w:szCs w:val="18"/>
                <w:color w:val="auto"/>
              </w:rPr>
              <w:t>82,261</w:t>
            </w:r>
          </w:p>
        </w:tc>
        <w:tc>
          <w:tcPr>
            <w:tcW w:w="100" w:type="dxa"/>
            <w:vAlign w:val="bottom"/>
            <w:shd w:val="clear" w:color="auto" w:fill="D2EDFE"/>
          </w:tcPr>
          <w:p>
            <w:pPr>
              <w:spacing w:after="0"/>
              <w:rPr>
                <w:sz w:val="21"/>
                <w:szCs w:val="21"/>
                <w:color w:val="auto"/>
              </w:rPr>
            </w:pPr>
          </w:p>
        </w:tc>
        <w:tc>
          <w:tcPr>
            <w:tcW w:w="1280" w:type="dxa"/>
            <w:vAlign w:val="bottom"/>
            <w:gridSpan w:val="3"/>
            <w:shd w:val="clear" w:color="auto" w:fill="D2EDFE"/>
          </w:tcPr>
          <w:p>
            <w:pPr>
              <w:jc w:val="right"/>
              <w:ind w:right="80"/>
              <w:spacing w:after="0"/>
              <w:rPr>
                <w:sz w:val="20"/>
                <w:szCs w:val="20"/>
                <w:color w:val="auto"/>
              </w:rPr>
            </w:pPr>
            <w:r>
              <w:rPr>
                <w:rFonts w:ascii="Times New Roman" w:cs="Times New Roman" w:eastAsia="Times New Roman" w:hAnsi="Times New Roman"/>
                <w:sz w:val="18"/>
                <w:szCs w:val="18"/>
                <w:color w:val="auto"/>
              </w:rPr>
              <w:t>38%  $</w:t>
            </w:r>
          </w:p>
        </w:tc>
        <w:tc>
          <w:tcPr>
            <w:tcW w:w="840" w:type="dxa"/>
            <w:vAlign w:val="bottom"/>
            <w:shd w:val="clear" w:color="auto" w:fill="D2EDFE"/>
          </w:tcPr>
          <w:p>
            <w:pPr>
              <w:ind w:left="300"/>
              <w:spacing w:after="0"/>
              <w:rPr>
                <w:sz w:val="20"/>
                <w:szCs w:val="20"/>
                <w:color w:val="auto"/>
              </w:rPr>
            </w:pPr>
            <w:r>
              <w:rPr>
                <w:rFonts w:ascii="Times New Roman" w:cs="Times New Roman" w:eastAsia="Times New Roman" w:hAnsi="Times New Roman"/>
                <w:sz w:val="18"/>
                <w:szCs w:val="18"/>
                <w:color w:val="auto"/>
              </w:rPr>
              <w:t>38,238</w:t>
            </w:r>
          </w:p>
        </w:tc>
        <w:tc>
          <w:tcPr>
            <w:tcW w:w="80" w:type="dxa"/>
            <w:vAlign w:val="bottom"/>
            <w:shd w:val="clear" w:color="auto" w:fill="D2EDFE"/>
          </w:tcPr>
          <w:p>
            <w:pPr>
              <w:spacing w:after="0"/>
              <w:rPr>
                <w:sz w:val="21"/>
                <w:szCs w:val="21"/>
                <w:color w:val="auto"/>
              </w:rPr>
            </w:pPr>
          </w:p>
        </w:tc>
        <w:tc>
          <w:tcPr>
            <w:tcW w:w="10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11"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year ended June 30, 2024 increased by $38.2 million, or 13%, to $335.0 million from $296.7 million for the year ended June 30, 2023. The increase in sales and marketing expense was primarily due to $26.8 million of additional employee-related costs, including those incurred to expand our sales team. The increase was also driven by $7.4 million in additional marketing lead generation costs.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2022 to 2023</w:t>
            </w: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2023 to 2024</w:t>
            </w:r>
          </w:p>
        </w:tc>
      </w:tr>
      <w:tr>
        <w:trPr>
          <w:trHeight w:val="2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102,908</w:t>
            </w:r>
          </w:p>
        </w:tc>
        <w:tc>
          <w:tcPr>
            <w:tcW w:w="80" w:type="dxa"/>
            <w:vAlign w:val="bottom"/>
            <w:shd w:val="clear" w:color="auto" w:fill="D2EDFE"/>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163,994</w:t>
            </w:r>
          </w:p>
        </w:tc>
        <w:tc>
          <w:tcPr>
            <w:tcW w:w="100" w:type="dxa"/>
            <w:vAlign w:val="bottom"/>
            <w:shd w:val="clear" w:color="auto" w:fill="D2EDFE"/>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178,333</w:t>
            </w:r>
          </w:p>
        </w:tc>
        <w:tc>
          <w:tcPr>
            <w:tcW w:w="8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61,086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14,339</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11" w:lineRule="exact"/>
        <w:rPr>
          <w:sz w:val="20"/>
          <w:szCs w:val="20"/>
          <w:color w:val="auto"/>
        </w:rPr>
      </w:pPr>
    </w:p>
    <w:p>
      <w:pPr>
        <w:jc w:val="both"/>
        <w:ind w:right="220" w:firstLine="648"/>
        <w:spacing w:after="0" w:line="289" w:lineRule="auto"/>
        <w:rPr>
          <w:sz w:val="20"/>
          <w:szCs w:val="20"/>
          <w:color w:val="auto"/>
        </w:rPr>
      </w:pPr>
      <w:r>
        <w:rPr>
          <w:rFonts w:ascii="Times New Roman" w:cs="Times New Roman" w:eastAsia="Times New Roman" w:hAnsi="Times New Roman"/>
          <w:sz w:val="17"/>
          <w:szCs w:val="17"/>
          <w:color w:val="auto"/>
        </w:rPr>
        <w:t>Research and development expenses for the year ended June 30, 2024 increased by $14.3 million, or 9%, to $178.3 million from $164.0 million for the year ended June 30, 2023. The increase in research and development expenses was primarily due to $29.0 million of additional employee-related costs related to additional development personnel, partially offset by $16.6 million in higher period-over-period capitalized internal-use software costs.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2022 to 2023</w:t>
            </w: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2023 to 2024</w:t>
            </w:r>
          </w:p>
        </w:tc>
      </w:tr>
      <w:tr>
        <w:trPr>
          <w:trHeight w:val="2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163,692</w:t>
            </w:r>
          </w:p>
        </w:tc>
        <w:tc>
          <w:tcPr>
            <w:tcW w:w="80" w:type="dxa"/>
            <w:vAlign w:val="bottom"/>
            <w:shd w:val="clear" w:color="auto" w:fill="D2EDFE"/>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191,823</w:t>
            </w:r>
          </w:p>
        </w:tc>
        <w:tc>
          <w:tcPr>
            <w:tcW w:w="100" w:type="dxa"/>
            <w:vAlign w:val="bottom"/>
            <w:shd w:val="clear" w:color="auto" w:fill="D2EDFE"/>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187,406</w:t>
            </w:r>
          </w:p>
        </w:tc>
        <w:tc>
          <w:tcPr>
            <w:tcW w:w="8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28,131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(4,417)</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1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year ended June 30, 2024 decreased by $4.4 million, or 2%, to $187.4 million from $191.8 million for the year ended June 30, 2023. The decrease in general and administrative expenses was primarily due to a $4.3 million gain related to lease exit activity. Excluding the gain on lease exit activity, general and administrative expenses remained relatively flat year over year as we continue to focus on achieving cost efficiencies as our business scales.</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33"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Other income (expense) for the year ended June 30, 2024 increased by $13.3 million as compared to the year ended June 30, 2023. The change in other income (expense) was primarily due to higher interest income earned on our cash and cash equivalents as a result of higher interest rates and higher average daily balances of those corporate cash and cash equivalents.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effective tax rates were 11.2% and 25.4% for the years ended June 30, 2023 and 2024, respectively. Our effective tax rate for the year ended June 30, 2023 was lower than the federal statutory rate of 21% primarily due to benefits from stock-based compensation and research and development tax credits generated. Our effective tax rate for the year ended June 30, 2024 was higher than the federal statutory rate of 21% primarily due to increase in state taxes.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See Note 14 of the Notes to Consolidated Financial Statements included in Part II, Item 8: “Financial Statements and Supplementary Data” of this Annual Report on Form 10-K for further details on the components of income tax and a reconciliation of the U.S. federal statutory rate to the effective tax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preparing our financial statements and accounting for the underlying transactions and balances in accordance with GAAP, we apply various accounting policies that require our management to make estimates, judgments and assumptions that affect the amounts reported in our financial statements. We consider the policies discussed below critical to understanding our financial statements, as their application places the most significant demands on management’s judgment. Management bases its estimates, judgments and assumptions on historical experience, current economic and industry conditions and on various other factors deemed to be reasonable under the circumstances, the results of which form the basis for making judgments about the carrying values of assets and liabilities that are not readily apparent from other sources. Because the use of estimates is an integral part of the financial reporting process, actual results could differ, and such differences could be material.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apply Accounting Standards Codification (“ASC”) 606, Revenue from Contracts with Customers (“Topic 606”), whereby we recognize revenue when we transfer control of goods or services to our customers in an amount that reflects the consideration to which we expect to be entitled to for those goods or services. We derive our revenue from contracts with clients substantially all from recurring service fees. Recurring fees are derived from payroll processing and related services such as payroll reporting and tax filing services, time and labor services, time clock rentals, and HR-related software solutions, including employee management and benefits enrollment and administration, substantially all of which are delivered on a monthly basis.</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performance obligations related to recurring services are generally satisfied monthly as services are provided, with fees charged and collected based on a per-employee-per-month fee. We believe that the total fees charged to our clients is indicative of the standalone selling price as these fees are within the range of prices typically charged for our services to our clients. Even though our subscription-based services include multiple performance obligations, we do not believe it is meaningful to determine the standalone selling price for each service separately since these services are delivered and related revenue recognized within the same period.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certain optional performance obligations that are satisfied at a point in time including the sales of time clocks and W-2 preparation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w:t>
      </w:r>
    </w:p>
    <w:p>
      <w:pPr>
        <w:spacing w:after="0" w:line="20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Implementation services and other consist mainly of nonrefundable implementation fees, which involve setting up the client in, and loading data into, our cloud-based modules. These implementation activities are considered set-up activities. We have determined that the nonrefundable upfront fees provide certain clients with a material right to renew the contract. Implementation fees are deferred and amortized generally over a period up to 24 months.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Internal-Use Software Costs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apply ASC 350-40, Intangibles—Goodwill and Other—Internal-Use Software, to the accounting for costs of internal-use software. Software development costs are capitalized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We also capitalize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Capitalized employee costs are limited to the time directly spent on such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Internal-use software is amortized on a straight-line basis, generally over a two- to three-year period while certain projects that support our main processing activities are amortized over ten years. We evaluate the useful lives of these assets on an annual basis and test for impairment whenever events or changes in circumstances occur that could impact the recoverability of these assets. There was no impairment to capitalized internal-use software during the years ended June 30, 2022, 2023 or 2024. We capitalized $42.2 million, $55.6 million and $75.5 million of internal-use software costs for the years ended June 30, 2022, 2023 and 2024, respectively, including stock-based compensation costs of $7.1 million, $11.9 million and $14.4 million for the years ended June 30, 2022, 2023 and 2024, respectively. We amortized $25.3 million, $31.4 million and $45.2 million of capitalized internal-use software costs for the years ended June 30, 2022, 2023 and 2024, respectively.</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43"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We include the results of businesses acquired in our consolidated financial statements from the date of acquisition. We allocate the purchase price consideration associated with our acquisitions to the fair values of assets acquired and liabilities assumed at their respective acquisition dates, with the excess recorded to goodwill. The purchase price allocations require us to make significant judgments and estimates in determining such fair values, particularly related to intangible assets. Such estimates used in valuation methodologies can include, but are not limited to, forecasted revenue growth rates</w:t>
      </w:r>
    </w:p>
    <w:p>
      <w:pPr>
        <w:spacing w:after="0" w:line="5" w:lineRule="exact"/>
        <w:rPr>
          <w:sz w:val="20"/>
          <w:szCs w:val="20"/>
          <w:color w:val="auto"/>
        </w:rPr>
      </w:pPr>
    </w:p>
    <w:p>
      <w:pPr>
        <w:jc w:val="both"/>
        <w:ind w:right="300"/>
        <w:spacing w:after="0" w:line="242" w:lineRule="auto"/>
        <w:rPr>
          <w:sz w:val="20"/>
          <w:szCs w:val="20"/>
          <w:color w:val="auto"/>
        </w:rPr>
      </w:pPr>
      <w:r>
        <w:rPr>
          <w:rFonts w:ascii="Times New Roman" w:cs="Times New Roman" w:eastAsia="Times New Roman" w:hAnsi="Times New Roman"/>
          <w:sz w:val="18"/>
          <w:szCs w:val="18"/>
          <w:color w:val="auto"/>
        </w:rPr>
        <w:t>and cost projections, expected time and costs to rebuild developed technology, and discount rates. These estimates are inherently uncertain and may be refined over the measurement period. Adjustments to the fair values of assets acquired and liabilities assumed may be recorded during the measurement period, which may be up to one year from the acquisition date, with the corresponding offset to goodwill.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As of June 30, 2024, our principal sources of liquidity were $401.8 million of cash and cash equivalents. We also have a credit agreement which provides for a $550.0 million revolving credit facility which may be increased up to $825.0 million. No amounts were drawn on the revolving credit facility as of June 30, 2024. In the third quarter of fiscal 2022, we borrowed $50.0 million in connection with our acquisition of Cloudsnap, Inc., which we repaid within the same quarter. Refer to Note 12 of the Notes to the Consolidated Financial Statements included in Part II, Item 8: “Financial Statements and Supplementary Data” for additional details on the credit agreement and borrowing activity.</w:t>
      </w:r>
    </w:p>
    <w:p>
      <w:pPr>
        <w:spacing w:after="0" w:line="21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April 2024, our board of directors authorized the repurchase of up to $500 million of our common stock (the “Repurchase Program”). The extent to which we repurchase shares, the number and price of any shares repurchased and the timing of any repurchases depends on the market price of our common stock, trading volume, general market conditions and other corporate and economic considerations. During fiscal year 2024, we repurchased an aggregate of 1.1 million shares for approximately $150.0 million at an average cost per share of $142.82 under the Repurchase Program. As of June 30, 2024, approximately $350.0 million remains authorized for repurchases under the Repurchase Program.</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may invest portions of our excess cash and cash equivalents in highly liquid, investment-grade marketable securities. These investments may consist of commercial paper, corporate debt issuances, asset-backed debt securities, certificates of deposit, U.S. treasury securities, U.S. government agency securities and other securities with credit quality ratings of A-1 or higher and as well as in money market funds. As of June 30, 2024, we did not have any corporate investments classified as available-for-sale securities.</w:t>
      </w:r>
    </w:p>
    <w:p>
      <w:pPr>
        <w:spacing w:after="0" w:line="18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significant investments in our platform, data centers and general infrastructure. The timing and amount of these investments will vary based on our financial condition, the rate at which we add new clients and new personnel and the scale of our module development, data centers and other activities. Many of these investments will occur in advance of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acquisitions, share repurchases and other investments principally with cash flows from operations, and to the extent that our liquidity needs exceed our cash from operations, we would look to our cash on hand or utilize the borrowing capacity under our credit facility to satisfy those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Funds held for clients and client fund obligations will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various major U.S. banks to execute ACH and wire transfers to support 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92"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600" w:type="dxa"/>
            <w:vAlign w:val="bottom"/>
            <w:tcBorders>
              <w:bottom w:val="single" w:sz="8" w:color="D2EDFE"/>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D2EDFE"/>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155,053</w:t>
            </w:r>
          </w:p>
        </w:tc>
        <w:tc>
          <w:tcPr>
            <w:tcW w:w="100" w:type="dxa"/>
            <w:vAlign w:val="bottom"/>
            <w:shd w:val="clear" w:color="auto" w:fill="D2EDFE"/>
          </w:tcPr>
          <w:p>
            <w:pPr>
              <w:spacing w:after="0"/>
              <w:rPr>
                <w:sz w:val="21"/>
                <w:szCs w:val="21"/>
                <w:color w:val="auto"/>
              </w:rPr>
            </w:pPr>
          </w:p>
        </w:tc>
        <w:tc>
          <w:tcPr>
            <w:tcW w:w="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282,723</w:t>
            </w:r>
          </w:p>
        </w:tc>
        <w:tc>
          <w:tcPr>
            <w:tcW w:w="100" w:type="dxa"/>
            <w:vAlign w:val="bottom"/>
            <w:shd w:val="clear" w:color="auto" w:fill="D2EDFE"/>
          </w:tcPr>
          <w:p>
            <w:pPr>
              <w:spacing w:after="0"/>
              <w:rPr>
                <w:sz w:val="21"/>
                <w:szCs w:val="21"/>
                <w:color w:val="auto"/>
              </w:rPr>
            </w:pP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384,670</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Purchases of available-for-sale securities and other</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(433,962)</w:t>
            </w:r>
          </w:p>
        </w:tc>
        <w:tc>
          <w:tcPr>
            <w:tcW w:w="1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(598,895)</w:t>
            </w:r>
          </w:p>
        </w:tc>
        <w:tc>
          <w:tcPr>
            <w:tcW w:w="10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(304,465)</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294,438</w:t>
            </w:r>
          </w:p>
        </w:tc>
      </w:tr>
      <w:tr>
        <w:trPr>
          <w:trHeight w:val="263"/>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(34,515)</w:t>
            </w:r>
          </w:p>
        </w:tc>
        <w:tc>
          <w:tcPr>
            <w:tcW w:w="1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(45,004)</w:t>
            </w:r>
          </w:p>
        </w:tc>
        <w:tc>
          <w:tcPr>
            <w:tcW w:w="10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(60,726)</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(18,028)</w:t>
            </w:r>
          </w:p>
        </w:tc>
      </w:tr>
      <w:tr>
        <w:trPr>
          <w:trHeight w:val="263"/>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(107,576)</w:t>
            </w:r>
          </w:p>
        </w:tc>
        <w:tc>
          <w:tcPr>
            <w:tcW w:w="1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480" w:type="dxa"/>
            <w:vAlign w:val="bottom"/>
            <w:gridSpan w:val="2"/>
            <w:shd w:val="clear" w:color="auto" w:fill="D2EDF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(12,031)</w:t>
            </w:r>
          </w:p>
        </w:tc>
      </w:tr>
      <w:tr>
        <w:trPr>
          <w:trHeight w:val="250"/>
        </w:trPr>
        <w:tc>
          <w:tcPr>
            <w:tcW w:w="6600" w:type="dxa"/>
            <w:vAlign w:val="bottom"/>
            <w:tcBorders>
              <w:bottom w:val="single" w:sz="8" w:color="D2EDFE"/>
            </w:tcBorders>
          </w:tcPr>
          <w:p>
            <w:pPr>
              <w:ind w:left="3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D2EDF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Borders>
              <w:bottom w:val="single" w:sz="8" w:color="D2EDFE"/>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56"/>
        </w:trPr>
        <w:tc>
          <w:tcPr>
            <w:tcW w:w="6600" w:type="dxa"/>
            <w:vAlign w:val="bottom"/>
            <w:shd w:val="clear" w:color="auto" w:fill="D2EDFE"/>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(479,774)</w:t>
            </w:r>
          </w:p>
        </w:tc>
        <w:tc>
          <w:tcPr>
            <w:tcW w:w="1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(220,162)</w:t>
            </w:r>
          </w:p>
        </w:tc>
        <w:tc>
          <w:tcPr>
            <w:tcW w:w="10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(101,891)</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2,228,038</w:t>
            </w:r>
          </w:p>
        </w:tc>
        <w:tc>
          <w:tcPr>
            <w:tcW w:w="1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(1,362,421)</w:t>
            </w:r>
          </w:p>
        </w:tc>
        <w:tc>
          <w:tcPr>
            <w:tcW w:w="10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325,056</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Repayment of credit facility</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480" w:type="dxa"/>
            <w:vAlign w:val="bottom"/>
            <w:gridSpan w:val="2"/>
            <w:shd w:val="clear" w:color="auto" w:fill="D2EDF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common shares</w:t>
            </w:r>
          </w:p>
        </w:tc>
        <w:tc>
          <w:tcPr>
            <w:tcW w:w="340" w:type="dxa"/>
            <w:vAlign w:val="bottom"/>
          </w:tcPr>
          <w:p>
            <w:pPr>
              <w:spacing w:after="0"/>
              <w:rPr>
                <w:sz w:val="21"/>
                <w:szCs w:val="21"/>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63"/>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14,103</w:t>
            </w:r>
          </w:p>
        </w:tc>
        <w:tc>
          <w:tcPr>
            <w:tcW w:w="1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16,916</w:t>
            </w:r>
          </w:p>
        </w:tc>
        <w:tc>
          <w:tcPr>
            <w:tcW w:w="10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19,143</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(52,549)</w:t>
            </w:r>
          </w:p>
        </w:tc>
      </w:tr>
      <w:tr>
        <w:trPr>
          <w:trHeight w:val="257"/>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40" w:type="dxa"/>
            <w:vAlign w:val="bottom"/>
            <w:tcBorders>
              <w:bottom w:val="single" w:sz="8" w:color="auto"/>
            </w:tcBorders>
            <w:shd w:val="clear" w:color="auto" w:fill="D2EDFE"/>
          </w:tcPr>
          <w:p>
            <w:pPr>
              <w:spacing w:after="0"/>
              <w:rPr>
                <w:sz w:val="22"/>
                <w:szCs w:val="22"/>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D2EDFE"/>
          </w:tcPr>
          <w:p>
            <w:pPr>
              <w:spacing w:after="0"/>
              <w:rPr>
                <w:sz w:val="22"/>
                <w:szCs w:val="22"/>
                <w:color w:val="auto"/>
              </w:rPr>
            </w:pPr>
          </w:p>
        </w:tc>
        <w:tc>
          <w:tcPr>
            <w:tcW w:w="100" w:type="dxa"/>
            <w:vAlign w:val="bottom"/>
            <w:tcBorders>
              <w:bottom w:val="single" w:sz="8" w:color="auto"/>
            </w:tcBorders>
            <w:shd w:val="clear" w:color="auto" w:fill="D2EDFE"/>
          </w:tcPr>
          <w:p>
            <w:pPr>
              <w:spacing w:after="0"/>
              <w:rPr>
                <w:sz w:val="22"/>
                <w:szCs w:val="22"/>
                <w:color w:val="auto"/>
              </w:rPr>
            </w:pPr>
          </w:p>
        </w:tc>
        <w:tc>
          <w:tcPr>
            <w:tcW w:w="13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D2EDFE"/>
          </w:tcPr>
          <w:p>
            <w:pPr>
              <w:spacing w:after="0"/>
              <w:rPr>
                <w:sz w:val="22"/>
                <w:szCs w:val="22"/>
                <w:color w:val="auto"/>
              </w:rPr>
            </w:pPr>
          </w:p>
        </w:tc>
        <w:tc>
          <w:tcPr>
            <w:tcW w:w="340" w:type="dxa"/>
            <w:vAlign w:val="bottom"/>
            <w:tcBorders>
              <w:bottom w:val="single" w:sz="8" w:color="auto"/>
            </w:tcBorders>
            <w:shd w:val="clear" w:color="auto" w:fill="D2EDFE"/>
          </w:tcPr>
          <w:p>
            <w:pPr>
              <w:spacing w:after="0"/>
              <w:rPr>
                <w:sz w:val="22"/>
                <w:szCs w:val="22"/>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0"/>
        </w:trPr>
        <w:tc>
          <w:tcPr>
            <w:tcW w:w="6600" w:type="dxa"/>
            <w:vAlign w:val="bottom"/>
            <w:tcBorders>
              <w:bottom w:val="single" w:sz="8" w:color="D2EDFE"/>
            </w:tcBorders>
          </w:tcPr>
          <w:p>
            <w:pPr>
              <w:ind w:left="5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2,172,293</w:t>
            </w:r>
          </w:p>
        </w:tc>
        <w:tc>
          <w:tcPr>
            <w:tcW w:w="100" w:type="dxa"/>
            <w:vAlign w:val="bottom"/>
            <w:tcBorders>
              <w:bottom w:val="single" w:sz="8" w:color="D2EDF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(1,434,702)</w:t>
            </w:r>
          </w:p>
        </w:tc>
        <w:tc>
          <w:tcPr>
            <w:tcW w:w="100" w:type="dxa"/>
            <w:vAlign w:val="bottom"/>
            <w:tcBorders>
              <w:bottom w:val="single" w:sz="8" w:color="D2EDFE"/>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141,578</w:t>
            </w:r>
          </w:p>
        </w:tc>
      </w:tr>
      <w:tr>
        <w:trPr>
          <w:trHeight w:val="281"/>
        </w:trPr>
        <w:tc>
          <w:tcPr>
            <w:tcW w:w="6600" w:type="dxa"/>
            <w:vAlign w:val="bottom"/>
            <w:tcBorders>
              <w:bottom w:val="single" w:sz="8" w:color="D2EDFE"/>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funds held for clients' cash and cash equivalents</w:t>
            </w:r>
          </w:p>
        </w:tc>
        <w:tc>
          <w:tcPr>
            <w:tcW w:w="340" w:type="dxa"/>
            <w:vAlign w:val="bottom"/>
            <w:tcBorders>
              <w:bottom w:val="single" w:sz="8" w:color="auto"/>
            </w:tcBorders>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1,847,572</w:t>
            </w:r>
          </w:p>
        </w:tc>
        <w:tc>
          <w:tcPr>
            <w:tcW w:w="100" w:type="dxa"/>
            <w:vAlign w:val="bottom"/>
            <w:tcBorders>
              <w:bottom w:val="single" w:sz="8" w:color="D2EDFE"/>
            </w:tcBorders>
            <w:shd w:val="clear" w:color="auto" w:fill="D2EDFE"/>
          </w:tcPr>
          <w:p>
            <w:pPr>
              <w:spacing w:after="0"/>
              <w:rPr>
                <w:sz w:val="24"/>
                <w:szCs w:val="24"/>
                <w:color w:val="auto"/>
              </w:rPr>
            </w:pPr>
          </w:p>
        </w:tc>
        <w:tc>
          <w:tcPr>
            <w:tcW w:w="10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(1,372,141)</w:t>
            </w:r>
          </w:p>
        </w:tc>
        <w:tc>
          <w:tcPr>
            <w:tcW w:w="100" w:type="dxa"/>
            <w:vAlign w:val="bottom"/>
            <w:tcBorders>
              <w:bottom w:val="single" w:sz="8" w:color="D2EDFE"/>
            </w:tcBorders>
            <w:shd w:val="clear" w:color="auto" w:fill="D2EDFE"/>
          </w:tcPr>
          <w:p>
            <w:pPr>
              <w:spacing w:after="0"/>
              <w:rPr>
                <w:sz w:val="24"/>
                <w:szCs w:val="24"/>
                <w:color w:val="auto"/>
              </w:rPr>
            </w:pPr>
          </w:p>
        </w:tc>
        <w:tc>
          <w:tcPr>
            <w:tcW w:w="340" w:type="dxa"/>
            <w:vAlign w:val="bottom"/>
            <w:tcBorders>
              <w:bottom w:val="single" w:sz="8" w:color="auto"/>
            </w:tcBorders>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424,357</w:t>
            </w:r>
          </w:p>
        </w:tc>
      </w:tr>
      <w:tr>
        <w:trPr>
          <w:trHeight w:val="20"/>
        </w:trPr>
        <w:tc>
          <w:tcPr>
            <w:tcW w:w="6600" w:type="dxa"/>
            <w:vAlign w:val="bottom"/>
            <w:tcBorders>
              <w:top w:val="single" w:sz="8" w:color="D2EDFE"/>
            </w:tcBorders>
          </w:tcPr>
          <w:p>
            <w:pPr>
              <w:spacing w:after="0" w:line="20" w:lineRule="exact"/>
              <w:rPr>
                <w:sz w:val="1"/>
                <w:szCs w:val="1"/>
                <w:color w:val="auto"/>
              </w:rPr>
            </w:pPr>
          </w:p>
        </w:tc>
        <w:tc>
          <w:tcPr>
            <w:tcW w:w="340" w:type="dxa"/>
            <w:vAlign w:val="bottom"/>
            <w:tcBorders>
              <w:top w:val="single" w:sz="8" w:color="D2EDFE"/>
              <w:bottom w:val="single" w:sz="8" w:color="auto"/>
            </w:tcBorders>
          </w:tcPr>
          <w:p>
            <w:pPr>
              <w:spacing w:after="0" w:line="20" w:lineRule="exact"/>
              <w:rPr>
                <w:sz w:val="1"/>
                <w:szCs w:val="1"/>
                <w:color w:val="auto"/>
              </w:rPr>
            </w:pPr>
          </w:p>
        </w:tc>
        <w:tc>
          <w:tcPr>
            <w:tcW w:w="114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100" w:type="dxa"/>
            <w:vAlign w:val="bottom"/>
            <w:tcBorders>
              <w:top w:val="single" w:sz="8" w:color="D2EDFE"/>
              <w:bottom w:val="single" w:sz="8" w:color="auto"/>
            </w:tcBorders>
          </w:tcPr>
          <w:p>
            <w:pPr>
              <w:spacing w:after="0" w:line="20" w:lineRule="exact"/>
              <w:rPr>
                <w:sz w:val="1"/>
                <w:szCs w:val="1"/>
                <w:color w:val="auto"/>
              </w:rPr>
            </w:pPr>
          </w:p>
        </w:tc>
        <w:tc>
          <w:tcPr>
            <w:tcW w:w="138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340" w:type="dxa"/>
            <w:vAlign w:val="bottom"/>
            <w:tcBorders>
              <w:top w:val="single" w:sz="8" w:color="D2EDFE"/>
              <w:bottom w:val="single" w:sz="8" w:color="auto"/>
            </w:tcBorders>
          </w:tcPr>
          <w:p>
            <w:pPr>
              <w:spacing w:after="0" w:line="20" w:lineRule="exact"/>
              <w:rPr>
                <w:sz w:val="1"/>
                <w:szCs w:val="1"/>
                <w:color w:val="auto"/>
              </w:rPr>
            </w:pPr>
          </w:p>
        </w:tc>
        <w:tc>
          <w:tcPr>
            <w:tcW w:w="1140" w:type="dxa"/>
            <w:vAlign w:val="bottom"/>
            <w:tcBorders>
              <w:top w:val="single" w:sz="8" w:color="D2EDFE"/>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$155.1 million, $282.7 million and $384.7 million for the years ended June 30, 2022, 2023 and 2024, respectively.</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change in net cash provided by operating activities from fiscal 2023 to fiscal 2024 was primarily due to improved operating results after adjusting for non-cash items including stock-based compensation expense, depreciation and amortization expense and deferred income tax expense during the year ended June 30, 2024 as compared to the year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$479.8 million, $220.2 million and $101.9 million, for the years ended June 30, 2022, 2023 and 2024, respectively. Net cash used in investing activities is significantly impacted by the timing of purchases and sales and maturities of investments as we may invest a portion of our excess cash and cash equivalents and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change in net cash used in investing activities from fiscal 2023 to fiscal 2024 was primarily due to a $294.4 million decrease in purchases of available-for-sale securities, partially offset by $152.3 million less proceeds from sales and maturities of available-for-sale securities as compared to the year ended June 30, 2023.</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(used in) financing activities was $2,172.3 million, $(1,434.7) million and $141.6 million for the years ended June 30, 2022, 2023 and 2024, respectively. The change in net cash provided by (used in) financing activities was primarily due to the change in client fund obligations of $1,687.5 million due to the timing of client funds collected and related remittance of those funds to client employees and taxing authorities, partially offset by $150.0 million in share repurchases during the year ended June 30, 2024 as compared to the year ended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$18.1 million, $21.9 million and $18.0 million for the years ended June 30, 2022, 2023 and 2024, respectively, exclusive of capitalized internal-use software costs of $34.5 million, $45.0 million, and $60.7 million for the same periods,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commitments consist of $64.1 million in operating lease obligations, of which $9.8 million is due in the next twelve months. Refer to Note 13 of the Notes to the Consolidated Financial Statements included in Part II, Item 8: “Financial Statements and Supplementary Data” for additional details on our lease activity. We also have $72.7 million in purchase obligations, of which $43.5 million is due in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Refer to Note 2 of the Notes to the Consolidated Financial Statements included in Part II, Item 8: “Financial Statements and Supplementary Data” for a discussion of recently issued accounting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Substantially all of our operations take place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 of June 30, 2024, we had cash and cash equivalents of $401.8 million and funds held for clients of $2,952.1 million. We deposit our cash and cash equivalents and significant portions of our funds held for clients in demand deposit accounts with various financial institutions. We may invest portions of our excess cash and cash equivalents and funds held for clients in marketable securities including money market funds, commercial paper, corporate debt issuances, asset-backed debt securities, U.S. treasury securities, and other securities.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credit impairment losses on our portfolio to date.</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Based upon a sensitivity model that measures market value changes caused by interest rate fluctuations, an immediate 100-basis point increase in interest rates would have resulted in a decrease in the market value of our available-for-sale securities by $10.4 million as of June 30, 2024. An immediate 100-basis point decrease in interest rates would have resulted in an increase in the market value of our available-for-sale securities by $10.4 million as of June 30, 2024. Fluctuations in the value of our available-for-sale securities caused by changes in interest rates are recorded in other comprehensive income and are only realized if we sell the underlying securities.</w:t>
      </w:r>
    </w:p>
    <w:p>
      <w:pPr>
        <w:spacing w:after="0" w:line="18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212529"/>
        </w:rPr>
        <w:t xml:space="preserve">Additionally, as described in </w:t>
      </w:r>
      <w:r>
        <w:rPr>
          <w:rFonts w:ascii="Times New Roman" w:cs="Times New Roman" w:eastAsia="Times New Roman" w:hAnsi="Times New Roman"/>
          <w:sz w:val="18"/>
          <w:szCs w:val="18"/>
          <w:color w:val="000000"/>
        </w:rPr>
        <w:t>Note 12 of the Notes to the Consolidated Financial Statements included in Part II, Item 8: “Financial Statements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Supplementary Data”</w:t>
      </w:r>
      <w:r>
        <w:rPr>
          <w:rFonts w:ascii="Times New Roman" w:cs="Times New Roman" w:eastAsia="Times New Roman" w:hAnsi="Times New Roman"/>
          <w:sz w:val="18"/>
          <w:szCs w:val="18"/>
          <w:color w:val="212529"/>
        </w:rPr>
        <w:t>, we entered into a first amendment to our credit agreement that provides for a revolving credit facility (“credit facility”) in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aggregate amount of </w:t>
      </w:r>
      <w:r>
        <w:rPr>
          <w:rFonts w:ascii="Times New Roman" w:cs="Times New Roman" w:eastAsia="Times New Roman" w:hAnsi="Times New Roman"/>
          <w:sz w:val="18"/>
          <w:szCs w:val="18"/>
          <w:color w:val="000000"/>
        </w:rPr>
        <w:t>$550.0</w:t>
      </w:r>
      <w:r>
        <w:rPr>
          <w:rFonts w:ascii="Times New Roman" w:cs="Times New Roman" w:eastAsia="Times New Roman" w:hAnsi="Times New Roman"/>
          <w:sz w:val="18"/>
          <w:szCs w:val="18"/>
          <w:color w:val="212529"/>
        </w:rPr>
        <w:t xml:space="preserve"> million, which may be increased up to </w:t>
      </w:r>
      <w:r>
        <w:rPr>
          <w:rFonts w:ascii="Times New Roman" w:cs="Times New Roman" w:eastAsia="Times New Roman" w:hAnsi="Times New Roman"/>
          <w:sz w:val="18"/>
          <w:szCs w:val="18"/>
          <w:color w:val="000000"/>
        </w:rPr>
        <w:t>$825.0</w:t>
      </w:r>
      <w:r>
        <w:rPr>
          <w:rFonts w:ascii="Times New Roman" w:cs="Times New Roman" w:eastAsia="Times New Roman" w:hAnsi="Times New Roman"/>
          <w:sz w:val="18"/>
          <w:szCs w:val="18"/>
          <w:color w:val="212529"/>
        </w:rPr>
        <w:t xml:space="preserve"> million. Borrowings under the credit facility generally bear interest at a rate based upon the Term Secured Overnight Financing Rate (“SOFR”) plus the SOFR Adjustment or an adjusted base rate plus an applicable margin based on our then-applicable net total leverage ratio. As of </w:t>
      </w:r>
      <w:r>
        <w:rPr>
          <w:rFonts w:ascii="Times New Roman" w:cs="Times New Roman" w:eastAsia="Times New Roman" w:hAnsi="Times New Roman"/>
          <w:sz w:val="18"/>
          <w:szCs w:val="18"/>
          <w:color w:val="000000"/>
        </w:rPr>
        <w:t>June 30, 2024</w:t>
      </w:r>
      <w:r>
        <w:rPr>
          <w:rFonts w:ascii="Times New Roman" w:cs="Times New Roman" w:eastAsia="Times New Roman" w:hAnsi="Times New Roman"/>
          <w:sz w:val="18"/>
          <w:szCs w:val="18"/>
          <w:color w:val="212529"/>
        </w:rPr>
        <w:t>, there were no amounts drawn on the credit facility. To the extent that we draw additional amounts under the credit facility, we may be exposed to increased market risk from changes in the underlying index rates, which affects our interest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consolidated financial statements and accompanying notes set forth starting on page F-1 of this Annual Report on Form 10-K.</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83"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Co-Chief Executive Officers and Chief Financial Officer, has evaluated the effectiveness of our disclosure controls and procedures as of June 30, 2024, the end of the period covered by this Annual Report on Form 10-K. Based upon such evaluation, our Co-Chief Executive Officers and Chief Financial Officer have concluded that our disclosure controls and procedures were effective as of such date.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 and Attestation Report of the Registered Public Accounting Firm</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including our Co-Chief Executive Officers and Chief Financial Officer,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Co-Chief Executive Officers and Chief Financial Officer, we conducted an evaluation of the effectiveness of our internal control over financial reporting as of June 30, 2024, based on the framework in Internal Control —Integrated Framework issued by the Committee of Sponsoring Organizations of the Treadway Commission (COSO) (2013 framework). Based on this evaluation under the Internal Control—Integrated Framework, our Co-Chief Executive Officers and Chief Financial Officer have concluded that our internal control over financial reporting was effective as of June 30, 2024.</w:t>
      </w:r>
    </w:p>
    <w:p>
      <w:pPr>
        <w:spacing w:after="0" w:line="183"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which has audited our financial statements, has also audited the effectiveness of our internal control over financial reporting as of June 30, 2024, as stated in their report, which is included in Item 15(a)(1)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fiscal quarter ended June 30, 2024,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Controls</w:t>
      </w:r>
    </w:p>
    <w:p>
      <w:pPr>
        <w:spacing w:after="0" w:line="229"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June 30, 2024, the following officer adopted a "Rule 10b5-1 trading arrangement" as defined in Item 408(a)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S-K intending to satisfy the affirmative defense of Rule 10b5-1(c):</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Total Shares of Common</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2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Stock to be Sold (1)(2)</w:t>
            </w:r>
          </w:p>
        </w:tc>
        <w:tc>
          <w:tcPr>
            <w:tcW w:w="22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Duration (3)</w:t>
            </w:r>
          </w:p>
        </w:tc>
        <w:tc>
          <w:tcPr>
            <w:tcW w:w="228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Adoption Date</w:t>
            </w:r>
          </w:p>
        </w:tc>
        <w:tc>
          <w:tcPr>
            <w:tcW w:w="218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Cappotelli</w:t>
            </w:r>
          </w:p>
        </w:tc>
        <w:tc>
          <w:tcPr>
            <w:tcW w:w="2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August 14, 2024 - November</w:t>
            </w:r>
          </w:p>
        </w:tc>
        <w:tc>
          <w:tcPr>
            <w:tcW w:w="2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w:t>
            </w:r>
          </w:p>
        </w:tc>
        <w:tc>
          <w:tcPr>
            <w:tcW w:w="22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Up to 3,403</w:t>
            </w:r>
          </w:p>
        </w:tc>
        <w:tc>
          <w:tcPr>
            <w:tcW w:w="2260" w:type="dxa"/>
            <w:vAlign w:val="bottom"/>
            <w:gridSpan w:val="2"/>
            <w:vMerge w:val="continue"/>
            <w:shd w:val="clear" w:color="auto" w:fill="CCEEFF"/>
          </w:tcPr>
          <w:p>
            <w:pPr>
              <w:spacing w:after="0"/>
              <w:rPr>
                <w:sz w:val="24"/>
                <w:szCs w:val="24"/>
                <w:color w:val="auto"/>
              </w:rPr>
            </w:pPr>
          </w:p>
        </w:tc>
        <w:tc>
          <w:tcPr>
            <w:tcW w:w="22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May 15, 2024</w:t>
            </w:r>
          </w:p>
        </w:tc>
        <w:tc>
          <w:tcPr>
            <w:tcW w:w="21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November 29, 2024</w:t>
            </w:r>
          </w:p>
        </w:tc>
        <w:tc>
          <w:tcPr>
            <w:tcW w:w="0" w:type="dxa"/>
            <w:vAlign w:val="bottom"/>
          </w:tcPr>
          <w:p>
            <w:pPr>
              <w:spacing w:after="0"/>
              <w:rPr>
                <w:sz w:val="1"/>
                <w:szCs w:val="1"/>
                <w:color w:val="auto"/>
              </w:rPr>
            </w:pPr>
          </w:p>
        </w:tc>
      </w:tr>
      <w:tr>
        <w:trPr>
          <w:trHeight w:val="157"/>
        </w:trPr>
        <w:tc>
          <w:tcPr>
            <w:tcW w:w="2240" w:type="dxa"/>
            <w:vAlign w:val="bottom"/>
            <w:gridSpan w:val="2"/>
            <w:vMerge w:val="continue"/>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rPr>
              <w:t>29, 2024</w:t>
            </w:r>
          </w:p>
        </w:tc>
        <w:tc>
          <w:tcPr>
            <w:tcW w:w="8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2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sold is determined, in part, based on pricing triggers outlined in the adopting person's trading arrangement.</w:t>
      </w:r>
    </w:p>
    <w:p>
      <w:pPr>
        <w:spacing w:after="0" w:line="27" w:lineRule="exact"/>
        <w:rPr>
          <w:rFonts w:ascii="Times New Roman" w:cs="Times New Roman" w:eastAsia="Times New Roman" w:hAnsi="Times New Roman"/>
          <w:sz w:val="18"/>
          <w:szCs w:val="18"/>
          <w:color w:val="auto"/>
        </w:rPr>
      </w:pPr>
    </w:p>
    <w:p>
      <w:pPr>
        <w:ind w:left="660" w:right="20" w:hanging="652"/>
        <w:spacing w:after="0" w:line="265" w:lineRule="auto"/>
        <w:tabs>
          <w:tab w:leader="none" w:pos="65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subject to certain outstanding equity awards with time- and/or market-based vesting conditions. For shares subject to market-based vesting conditions, the number of shares included in the table above assumes the maximum achievement of the market-based market conditions. Additionally, for both time- and market-based vesting awards, the actual number of shares that may be sold will be net of the number of shares withheld by the Company to satisfy tax withholding obligations arising from the vesting of such awards, which is not determinable at this time.</w:t>
      </w:r>
    </w:p>
    <w:p>
      <w:pPr>
        <w:ind w:left="660" w:right="80" w:hanging="652"/>
        <w:spacing w:after="0" w:line="260"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arrangement permits transactions through and including the earlier to occur of (a) the completion of all sales or (b) the expiration date listed in the table.</w:t>
      </w:r>
    </w:p>
    <w:p>
      <w:pPr>
        <w:spacing w:after="0" w:line="20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No directors or officers terminated a Rule 10b5-1 trading arrangement or entered into or terminated a “non-Rule 10b5-1 trading arrangement” as defined in Item 408(a) of Regulation S-K during the three months ended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10, will be included in our Proxy Statement relating to our 2025 annual meeting of stockholders to be filed with the SEC within 120 days after the end of our fiscal year ended June 30, 2024, and is incorporated herein by reference.</w:t>
      </w:r>
    </w:p>
    <w:p>
      <w:pPr>
        <w:spacing w:after="0" w:line="15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11, will be included in our Proxy Statement relating to our 2025 annual meeting of stockholders to be filed with the SEC within 120 days after the end of our fiscal year ended June 30, 2024, and is incorporated herein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12, will be included in our Proxy Statement relating to our 2025 annual meeting of stockholders to be filed with the SEC within 120 days after the end of our fiscal year ended June 30, 2024, and is incorporated herein by reference.</w:t>
      </w:r>
    </w:p>
    <w:p>
      <w:pPr>
        <w:spacing w:after="0" w:line="2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13, will be included in our Proxy Statement relating to our 2025 annual meeting of stockholders to be filed with the SEC within 120 days after the end of our fiscal year ended June 30, 2024, and is incorporated herein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Chicago, IL, Audit Firm ID: 185.</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14, will be included in our Proxy Statement relating to our 2025 annual meeting of stockholders to be filed with the SEC within 120 days after the end of our fiscal year ended June 30, 2024, and is incorporated herein by reference.</w:t>
      </w: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60" w:type="dxa"/>
            <w:vAlign w:val="bottom"/>
          </w:tcPr>
          <w:p>
            <w:pPr>
              <w:spacing w:after="0"/>
              <w:rPr>
                <w:sz w:val="17"/>
                <w:szCs w:val="17"/>
                <w:color w:val="auto"/>
              </w:rPr>
            </w:pPr>
          </w:p>
        </w:tc>
      </w:tr>
      <w:tr>
        <w:trPr>
          <w:trHeight w:val="1047"/>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gridSpan w:val="4"/>
          </w:tcPr>
          <w:p>
            <w:pPr>
              <w:ind w:left="100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460" w:type="dxa"/>
            <w:vAlign w:val="bottom"/>
          </w:tcPr>
          <w:p>
            <w:pPr>
              <w:spacing w:after="0"/>
              <w:rPr>
                <w:sz w:val="24"/>
                <w:szCs w:val="24"/>
                <w:color w:val="auto"/>
              </w:rPr>
            </w:pPr>
          </w:p>
        </w:tc>
      </w:tr>
      <w:tr>
        <w:trPr>
          <w:trHeight w:val="414"/>
        </w:trPr>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1460" w:type="dxa"/>
            <w:vAlign w:val="bottom"/>
          </w:tcPr>
          <w:p>
            <w:pPr>
              <w:spacing w:after="0"/>
              <w:rPr>
                <w:sz w:val="24"/>
                <w:szCs w:val="24"/>
                <w:color w:val="auto"/>
              </w:rPr>
            </w:pPr>
          </w:p>
        </w:tc>
      </w:tr>
      <w:tr>
        <w:trPr>
          <w:trHeight w:val="234"/>
        </w:trPr>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  Documents Filed with Report</w:t>
            </w:r>
          </w:p>
        </w:tc>
        <w:tc>
          <w:tcPr>
            <w:tcW w:w="14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72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p>
        </w:tc>
        <w:tc>
          <w:tcPr>
            <w:tcW w:w="146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2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 as of June 30, 2023 and 2024</w:t>
            </w: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8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Income for the years ended June 30, 2022, 2023 and 2024</w:t>
            </w:r>
          </w:p>
        </w:tc>
        <w:tc>
          <w:tcPr>
            <w:tcW w:w="1200" w:type="dxa"/>
            <w:vAlign w:val="bottom"/>
          </w:tcPr>
          <w:p>
            <w:pPr>
              <w:spacing w:after="0"/>
              <w:rPr>
                <w:sz w:val="24"/>
                <w:szCs w:val="24"/>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F-5</w:t>
            </w:r>
          </w:p>
        </w:tc>
      </w:tr>
      <w:tr>
        <w:trPr>
          <w:trHeight w:val="291"/>
        </w:trPr>
        <w:tc>
          <w:tcPr>
            <w:tcW w:w="20" w:type="dxa"/>
            <w:vAlign w:val="bottom"/>
          </w:tcPr>
          <w:p>
            <w:pPr>
              <w:spacing w:after="0"/>
              <w:rPr>
                <w:sz w:val="24"/>
                <w:szCs w:val="24"/>
                <w:color w:val="auto"/>
              </w:rPr>
            </w:pPr>
          </w:p>
        </w:tc>
        <w:tc>
          <w:tcPr>
            <w:tcW w:w="8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years ended June 30, 2022, 2023 and 2024</w:t>
            </w:r>
          </w:p>
        </w:tc>
        <w:tc>
          <w:tcPr>
            <w:tcW w:w="1680" w:type="dxa"/>
            <w:vAlign w:val="bottom"/>
            <w:gridSpan w:val="2"/>
          </w:tcPr>
          <w:p>
            <w:pPr>
              <w:spacing w:after="0"/>
              <w:rPr>
                <w:sz w:val="24"/>
                <w:szCs w:val="24"/>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F-6</w:t>
            </w:r>
          </w:p>
        </w:tc>
      </w:tr>
      <w:tr>
        <w:trPr>
          <w:trHeight w:val="385"/>
        </w:trPr>
        <w:tc>
          <w:tcPr>
            <w:tcW w:w="20" w:type="dxa"/>
            <w:vAlign w:val="bottom"/>
          </w:tcPr>
          <w:p>
            <w:pPr>
              <w:spacing w:after="0"/>
              <w:rPr>
                <w:sz w:val="24"/>
                <w:szCs w:val="24"/>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June 30, 2022, 2023 and 2024</w:t>
            </w: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F-7</w:t>
            </w:r>
          </w:p>
        </w:tc>
      </w:tr>
      <w:tr>
        <w:trPr>
          <w:trHeight w:val="291"/>
        </w:trPr>
        <w:tc>
          <w:tcPr>
            <w:tcW w:w="20" w:type="dxa"/>
            <w:vAlign w:val="bottom"/>
          </w:tcPr>
          <w:p>
            <w:pPr>
              <w:spacing w:after="0"/>
              <w:rPr>
                <w:sz w:val="24"/>
                <w:szCs w:val="24"/>
                <w:color w:val="auto"/>
              </w:rPr>
            </w:pPr>
          </w:p>
        </w:tc>
        <w:tc>
          <w:tcPr>
            <w:tcW w:w="34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3080" w:type="dxa"/>
            <w:vAlign w:val="bottom"/>
            <w:tcBorders>
              <w:top w:val="single" w:sz="8" w:color="0000FF"/>
            </w:tcBorders>
            <w:gridSpan w:val="3"/>
          </w:tcPr>
          <w:p>
            <w:pPr>
              <w:spacing w:after="0"/>
              <w:rPr>
                <w:sz w:val="24"/>
                <w:szCs w:val="24"/>
                <w:color w:val="auto"/>
              </w:rPr>
            </w:pPr>
          </w:p>
        </w:tc>
        <w:tc>
          <w:tcPr>
            <w:tcW w:w="3220" w:type="dxa"/>
            <w:vAlign w:val="bottom"/>
            <w:gridSpan w:val="3"/>
          </w:tcPr>
          <w:p>
            <w:pPr>
              <w:spacing w:after="0"/>
              <w:rPr>
                <w:sz w:val="24"/>
                <w:szCs w:val="24"/>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F-8</w:t>
            </w:r>
          </w:p>
        </w:tc>
      </w:tr>
    </w:tbl>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set forth on the Exhibit Index immediately following this page.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40"/>
          </w:cols>
          <w:pgMar w:left="320" w:top="121" w:right="339" w:bottom="1440" w:gutter="0" w:footer="0" w:header="0"/>
        </w:sect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0"/>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2"/>
          </w:tcPr>
          <w:p>
            <w:pPr>
              <w:ind w:left="4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37"/>
        </w:trPr>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96"/>
        </w:trPr>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Third Amended and Restated Certificate of Incorporation of</w:t>
              </w:r>
            </w:hyperlink>
          </w:p>
        </w:tc>
        <w:tc>
          <w:tcPr>
            <w:tcW w:w="8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the Registrant.</w:t>
              </w:r>
            </w:hyperlink>
          </w:p>
        </w:tc>
        <w:tc>
          <w:tcPr>
            <w:tcW w:w="3360" w:type="dxa"/>
            <w:vAlign w:val="bottom"/>
            <w:gridSpan w:val="23"/>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28"/>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Third Amended and Restated By-Laws of the Registrant.</w:t>
              </w:r>
            </w:hyperlink>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Amended and Restated Investor Rights Agreement, dated</w:t>
              </w:r>
            </w:hyperlink>
          </w:p>
        </w:tc>
        <w:tc>
          <w:tcPr>
            <w:tcW w:w="260" w:type="dxa"/>
            <w:vAlign w:val="bottom"/>
            <w:gridSpan w:val="6"/>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June 29, 2012.</w:t>
              </w:r>
            </w:hyperlink>
          </w:p>
        </w:tc>
        <w:tc>
          <w:tcPr>
            <w:tcW w:w="3360" w:type="dxa"/>
            <w:vAlign w:val="bottom"/>
            <w:gridSpan w:val="23"/>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2580" w:type="dxa"/>
            <w:vAlign w:val="bottom"/>
            <w:gridSpan w:val="21"/>
          </w:tcPr>
          <w:p>
            <w:pPr>
              <w:spacing w:after="0"/>
              <w:rPr>
                <w:sz w:val="24"/>
                <w:szCs w:val="24"/>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Form of Indemnification Agreement for directors and</w:t>
              </w:r>
            </w:hyperlink>
          </w:p>
        </w:tc>
        <w:tc>
          <w:tcPr>
            <w:tcW w:w="540" w:type="dxa"/>
            <w:vAlign w:val="bottom"/>
            <w:gridSpan w:val="1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80">
              <w:r>
                <w:rPr>
                  <w:rFonts w:ascii="Times New Roman" w:cs="Times New Roman" w:eastAsia="Times New Roman" w:hAnsi="Times New Roman"/>
                  <w:sz w:val="18"/>
                  <w:szCs w:val="18"/>
                  <w:color w:val="0000FF"/>
                  <w:w w:val="97"/>
                </w:rPr>
                <w:t>officers.</w:t>
              </w:r>
            </w:hyperlink>
          </w:p>
        </w:tc>
        <w:tc>
          <w:tcPr>
            <w:tcW w:w="3820" w:type="dxa"/>
            <w:vAlign w:val="bottom"/>
            <w:gridSpan w:val="26"/>
          </w:tcPr>
          <w:p>
            <w:pPr>
              <w:spacing w:after="0"/>
              <w:rPr>
                <w:sz w:val="17"/>
                <w:szCs w:val="17"/>
                <w:color w:val="auto"/>
              </w:rPr>
            </w:pPr>
          </w:p>
        </w:tc>
      </w:tr>
      <w:tr>
        <w:trPr>
          <w:trHeight w:val="30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4420" w:type="dxa"/>
            <w:vAlign w:val="bottom"/>
            <w:gridSpan w:val="28"/>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2014 Equity Incentive Plan and forms of agreement</w:t>
              </w:r>
            </w:hyperlink>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thereunder.</w:t>
              </w:r>
            </w:hyperlink>
          </w:p>
        </w:tc>
        <w:tc>
          <w:tcPr>
            <w:tcW w:w="700" w:type="dxa"/>
            <w:vAlign w:val="bottom"/>
            <w:gridSpan w:val="15"/>
          </w:tcPr>
          <w:p>
            <w:pPr>
              <w:spacing w:after="0"/>
              <w:rPr>
                <w:sz w:val="17"/>
                <w:szCs w:val="17"/>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tcPr>
          <w:p>
            <w:pPr>
              <w:spacing w:after="0"/>
              <w:rPr>
                <w:sz w:val="24"/>
                <w:szCs w:val="24"/>
                <w:color w:val="auto"/>
              </w:rPr>
            </w:pPr>
          </w:p>
        </w:tc>
        <w:tc>
          <w:tcPr>
            <w:tcW w:w="41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Form of Market Stock Units Notice of Grant and Award</w:t>
              </w:r>
            </w:hyperlink>
          </w:p>
        </w:tc>
        <w:tc>
          <w:tcPr>
            <w:tcW w:w="320" w:type="dxa"/>
            <w:vAlign w:val="bottom"/>
            <w:gridSpan w:val="8"/>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Agreement under the 2014 Equity Incentive Plan.</w:t>
              </w:r>
            </w:hyperlink>
          </w:p>
        </w:tc>
        <w:tc>
          <w:tcPr>
            <w:tcW w:w="840" w:type="dxa"/>
            <w:vAlign w:val="bottom"/>
            <w:gridSpan w:val="16"/>
          </w:tcPr>
          <w:p>
            <w:pPr>
              <w:spacing w:after="0"/>
              <w:rPr>
                <w:sz w:val="17"/>
                <w:szCs w:val="17"/>
                <w:color w:val="auto"/>
              </w:rPr>
            </w:pPr>
          </w:p>
        </w:tc>
      </w:tr>
      <w:tr>
        <w:trPr>
          <w:trHeight w:val="30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24"/>
                <w:szCs w:val="24"/>
                <w:color w:val="auto"/>
              </w:rPr>
            </w:pPr>
          </w:p>
        </w:tc>
        <w:tc>
          <w:tcPr>
            <w:tcW w:w="41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Form of Executive Restricted Stock Unit Notice of Grant</w:t>
              </w:r>
            </w:hyperlink>
          </w:p>
        </w:tc>
        <w:tc>
          <w:tcPr>
            <w:tcW w:w="300" w:type="dxa"/>
            <w:vAlign w:val="bottom"/>
            <w:gridSpan w:val="7"/>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and Award Agreement under 2014 Equity Incentive Plan.</w:t>
              </w:r>
            </w:hyperlink>
          </w:p>
        </w:tc>
        <w:tc>
          <w:tcPr>
            <w:tcW w:w="260" w:type="dxa"/>
            <w:vAlign w:val="bottom"/>
            <w:gridSpan w:val="6"/>
          </w:tcPr>
          <w:p>
            <w:pPr>
              <w:spacing w:after="0"/>
              <w:rPr>
                <w:sz w:val="17"/>
                <w:szCs w:val="17"/>
                <w:color w:val="auto"/>
              </w:rPr>
            </w:pPr>
          </w:p>
        </w:tc>
      </w:tr>
      <w:tr>
        <w:trPr>
          <w:trHeight w:val="30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4420" w:type="dxa"/>
            <w:vAlign w:val="bottom"/>
            <w:gridSpan w:val="28"/>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2023 Equity Incentive Plan.</w:t>
              </w:r>
            </w:hyperlink>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20" w:type="dxa"/>
            <w:vAlign w:val="bottom"/>
          </w:tcPr>
          <w:p>
            <w:pPr>
              <w:spacing w:after="0"/>
              <w:rPr>
                <w:sz w:val="24"/>
                <w:szCs w:val="24"/>
                <w:color w:val="auto"/>
              </w:rPr>
            </w:pPr>
          </w:p>
        </w:tc>
        <w:tc>
          <w:tcPr>
            <w:tcW w:w="4420" w:type="dxa"/>
            <w:vAlign w:val="bottom"/>
            <w:gridSpan w:val="28"/>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Form of U.S. Executive Restricted Stock Unit Notice of</w:t>
              </w:r>
            </w:hyperlink>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Grant and Award Agreement under 2023 Equity Incentive</w:t>
              </w:r>
            </w:hyperlink>
          </w:p>
        </w:tc>
        <w:tc>
          <w:tcPr>
            <w:tcW w:w="24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28"/>
          </w:tcPr>
          <w:p>
            <w:pPr>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Plan.</w:t>
              </w:r>
            </w:hyperlink>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20" w:type="dxa"/>
            <w:vAlign w:val="bottom"/>
          </w:tcPr>
          <w:p>
            <w:pPr>
              <w:spacing w:after="0"/>
              <w:rPr>
                <w:sz w:val="24"/>
                <w:szCs w:val="24"/>
                <w:color w:val="auto"/>
              </w:rPr>
            </w:pPr>
          </w:p>
        </w:tc>
        <w:tc>
          <w:tcPr>
            <w:tcW w:w="4420" w:type="dxa"/>
            <w:vAlign w:val="bottom"/>
            <w:gridSpan w:val="28"/>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Form of Market Stock Unit Notice of Grant and Award</w:t>
              </w:r>
            </w:hyperlink>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top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Agreement under 2023 Equity Incentive Plan.</w:t>
              </w:r>
            </w:hyperlink>
          </w:p>
        </w:tc>
        <w:tc>
          <w:tcPr>
            <w:tcW w:w="400" w:type="dxa"/>
            <w:vAlign w:val="bottom"/>
            <w:gridSpan w:val="9"/>
          </w:tcPr>
          <w:p>
            <w:pPr>
              <w:spacing w:after="0"/>
              <w:rPr>
                <w:sz w:val="17"/>
                <w:szCs w:val="17"/>
                <w:color w:val="auto"/>
              </w:rPr>
            </w:pPr>
          </w:p>
        </w:tc>
      </w:tr>
      <w:tr>
        <w:trPr>
          <w:trHeight w:val="318"/>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23"/>
                <w:szCs w:val="23"/>
                <w:color w:val="auto"/>
                <w:vertAlign w:val="superscript"/>
              </w:rPr>
              <w:t>†</w:t>
            </w:r>
          </w:p>
        </w:tc>
        <w:tc>
          <w:tcPr>
            <w:tcW w:w="20" w:type="dxa"/>
            <w:vAlign w:val="bottom"/>
          </w:tcPr>
          <w:p>
            <w:pPr>
              <w:spacing w:after="0"/>
              <w:rPr>
                <w:sz w:val="24"/>
                <w:szCs w:val="24"/>
                <w:color w:val="auto"/>
              </w:rPr>
            </w:pPr>
          </w:p>
        </w:tc>
        <w:tc>
          <w:tcPr>
            <w:tcW w:w="2700" w:type="dxa"/>
            <w:vAlign w:val="bottom"/>
            <w:tcBorders>
              <w:top w:val="single" w:sz="8" w:color="0000FF"/>
              <w:bottom w:val="single" w:sz="8" w:color="0000EE"/>
            </w:tcBorders>
            <w:gridSpan w:val="10"/>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2014 Employee Stock Purchase Plan.</w:t>
              </w:r>
            </w:hyperlink>
          </w:p>
        </w:tc>
        <w:tc>
          <w:tcPr>
            <w:tcW w:w="600" w:type="dxa"/>
            <w:vAlign w:val="bottom"/>
            <w:tcBorders>
              <w:top w:val="single" w:sz="8" w:color="0000FF"/>
            </w:tcBorders>
          </w:tcPr>
          <w:p>
            <w:pPr>
              <w:spacing w:after="0"/>
              <w:rPr>
                <w:sz w:val="24"/>
                <w:szCs w:val="24"/>
                <w:color w:val="auto"/>
              </w:rPr>
            </w:pPr>
          </w:p>
        </w:tc>
        <w:tc>
          <w:tcPr>
            <w:tcW w:w="1120" w:type="dxa"/>
            <w:vAlign w:val="bottom"/>
            <w:gridSpan w:val="17"/>
          </w:tcPr>
          <w:p>
            <w:pPr>
              <w:spacing w:after="0"/>
              <w:rPr>
                <w:sz w:val="24"/>
                <w:szCs w:val="24"/>
                <w:color w:val="auto"/>
              </w:rPr>
            </w:pPr>
          </w:p>
        </w:tc>
      </w:tr>
      <w:tr>
        <w:trPr>
          <w:trHeight w:val="318"/>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38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Third Amended and Restated Executive Employment</w:t>
              </w:r>
            </w:hyperlink>
          </w:p>
        </w:tc>
        <w:tc>
          <w:tcPr>
            <w:tcW w:w="560" w:type="dxa"/>
            <w:vAlign w:val="bottom"/>
            <w:gridSpan w:val="14"/>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Agreement between Paylocity Corporation and Steven R.</w:t>
              </w:r>
            </w:hyperlink>
          </w:p>
        </w:tc>
        <w:tc>
          <w:tcPr>
            <w:tcW w:w="26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Beauchamp, dated February 7, 2014.</w:t>
              </w:r>
            </w:hyperlink>
          </w:p>
        </w:tc>
        <w:tc>
          <w:tcPr>
            <w:tcW w:w="1760" w:type="dxa"/>
            <w:vAlign w:val="bottom"/>
            <w:gridSpan w:val="19"/>
          </w:tcPr>
          <w:p>
            <w:pPr>
              <w:spacing w:after="0"/>
              <w:rPr>
                <w:sz w:val="17"/>
                <w:szCs w:val="17"/>
                <w:color w:val="auto"/>
              </w:rPr>
            </w:pPr>
          </w:p>
        </w:tc>
      </w:tr>
      <w:tr>
        <w:trPr>
          <w:trHeight w:val="318"/>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4"/>
                <w:szCs w:val="24"/>
                <w:color w:val="auto"/>
              </w:rPr>
            </w:pPr>
          </w:p>
        </w:tc>
        <w:tc>
          <w:tcPr>
            <w:tcW w:w="3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Executive Employment Agreement between Paylocity</w:t>
              </w:r>
            </w:hyperlink>
          </w:p>
        </w:tc>
        <w:tc>
          <w:tcPr>
            <w:tcW w:w="500" w:type="dxa"/>
            <w:vAlign w:val="bottom"/>
            <w:gridSpan w:val="11"/>
          </w:tcPr>
          <w:p>
            <w:pPr>
              <w:spacing w:after="0"/>
              <w:rPr>
                <w:sz w:val="24"/>
                <w:szCs w:val="24"/>
                <w:color w:val="auto"/>
              </w:rPr>
            </w:pP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Corporation and Rachit Lohani, dated September 27, 2021.</w:t>
              </w:r>
            </w:hyperlink>
          </w:p>
        </w:tc>
        <w:tc>
          <w:tcPr>
            <w:tcW w:w="140" w:type="dxa"/>
            <w:vAlign w:val="bottom"/>
            <w:gridSpan w:val="3"/>
          </w:tcPr>
          <w:p>
            <w:pPr>
              <w:spacing w:after="0"/>
              <w:rPr>
                <w:sz w:val="19"/>
                <w:szCs w:val="19"/>
                <w:color w:val="auto"/>
              </w:rPr>
            </w:pPr>
          </w:p>
        </w:tc>
      </w:tr>
      <w:tr>
        <w:trPr>
          <w:trHeight w:val="34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4"/>
                <w:szCs w:val="24"/>
                <w:color w:val="auto"/>
              </w:rPr>
            </w:pPr>
          </w:p>
        </w:tc>
        <w:tc>
          <w:tcPr>
            <w:tcW w:w="4420" w:type="dxa"/>
            <w:vAlign w:val="bottom"/>
            <w:gridSpan w:val="28"/>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Amendment to Executive Employment Agreement between</w:t>
              </w:r>
            </w:hyperlink>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Borders>
              <w:top w:val="single" w:sz="8" w:color="0000EE"/>
            </w:tcBorders>
            <w:gridSpan w:val="26"/>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Paylocity Corporation and Toby J. Williams, dated March</w:t>
              </w:r>
            </w:hyperlink>
          </w:p>
        </w:tc>
        <w:tc>
          <w:tcPr>
            <w:tcW w:w="120" w:type="dxa"/>
            <w:vAlign w:val="bottom"/>
            <w:gridSpan w:val="2"/>
          </w:tcPr>
          <w:p>
            <w:pPr>
              <w:spacing w:after="0"/>
              <w:rPr>
                <w:sz w:val="19"/>
                <w:szCs w:val="19"/>
                <w:color w:val="auto"/>
              </w:rPr>
            </w:pPr>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4"/>
              </w:rPr>
            </w:pPr>
            <w:hyperlink r:id="rId90">
              <w:r>
                <w:rPr>
                  <w:rFonts w:ascii="Times New Roman" w:cs="Times New Roman" w:eastAsia="Times New Roman" w:hAnsi="Times New Roman"/>
                  <w:sz w:val="18"/>
                  <w:szCs w:val="18"/>
                  <w:color w:val="0000EE"/>
                  <w:w w:val="94"/>
                </w:rPr>
                <w:t>11, 2022.</w:t>
              </w:r>
            </w:hyperlink>
          </w:p>
        </w:tc>
        <w:tc>
          <w:tcPr>
            <w:tcW w:w="1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31"/>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4"/>
                <w:szCs w:val="24"/>
                <w:color w:val="auto"/>
              </w:rPr>
            </w:pPr>
          </w:p>
        </w:tc>
        <w:tc>
          <w:tcPr>
            <w:tcW w:w="42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Amended and Restated Executive Employment Agreement</w:t>
              </w:r>
            </w:hyperlink>
          </w:p>
        </w:tc>
        <w:tc>
          <w:tcPr>
            <w:tcW w:w="160" w:type="dxa"/>
            <w:vAlign w:val="bottom"/>
            <w:gridSpan w:val="4"/>
          </w:tcPr>
          <w:p>
            <w:pPr>
              <w:spacing w:after="0"/>
              <w:rPr>
                <w:sz w:val="24"/>
                <w:szCs w:val="24"/>
                <w:color w:val="auto"/>
              </w:rPr>
            </w:pP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between Paylocity Corporation and Ryan Glenn, dated</w:t>
              </w:r>
            </w:hyperlink>
          </w:p>
        </w:tc>
        <w:tc>
          <w:tcPr>
            <w:tcW w:w="480" w:type="dxa"/>
            <w:vAlign w:val="bottom"/>
            <w:gridSpan w:val="10"/>
          </w:tcPr>
          <w:p>
            <w:pPr>
              <w:spacing w:after="0"/>
              <w:rPr>
                <w:sz w:val="19"/>
                <w:szCs w:val="19"/>
                <w:color w:val="auto"/>
              </w:rPr>
            </w:pPr>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28"/>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March 11, 2022.</w:t>
              </w:r>
            </w:hyperlink>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27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37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4"/>
                <w:szCs w:val="24"/>
                <w:color w:val="auto"/>
              </w:rPr>
            </w:pPr>
          </w:p>
        </w:tc>
        <w:tc>
          <w:tcPr>
            <w:tcW w:w="39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Executive Employment Agreement between Paylocity</w:t>
              </w:r>
            </w:hyperlink>
          </w:p>
        </w:tc>
        <w:tc>
          <w:tcPr>
            <w:tcW w:w="260" w:type="dxa"/>
            <w:vAlign w:val="bottom"/>
            <w:gridSpan w:val="6"/>
          </w:tcPr>
          <w:p>
            <w:pPr>
              <w:spacing w:after="0"/>
              <w:rPr>
                <w:sz w:val="24"/>
                <w:szCs w:val="24"/>
                <w:color w:val="auto"/>
              </w:rPr>
            </w:pPr>
          </w:p>
        </w:tc>
        <w:tc>
          <w:tcPr>
            <w:tcW w:w="260" w:type="dxa"/>
            <w:vAlign w:val="bottom"/>
            <w:gridSpan w:val="6"/>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28"/>
          </w:tcPr>
          <w:p>
            <w:pPr>
              <w:spacing w:after="0" w:line="19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Corporation and Joshua Scutt, dated August 16, 2021.</w:t>
              </w:r>
            </w:hyperlink>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15"/>
            <w:shd w:val="clear" w:color="auto" w:fill="0000FF"/>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30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4"/>
                <w:szCs w:val="24"/>
                <w:color w:val="auto"/>
              </w:rPr>
            </w:pPr>
          </w:p>
        </w:tc>
        <w:tc>
          <w:tcPr>
            <w:tcW w:w="39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Executive Employment Agreement between Paylocity</w:t>
            </w:r>
          </w:p>
        </w:tc>
        <w:tc>
          <w:tcPr>
            <w:tcW w:w="500" w:type="dxa"/>
            <w:vAlign w:val="bottom"/>
            <w:gridSpan w:val="11"/>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Corporation and Andrew Cappotelli, dated May 13, 2024.</w:t>
            </w: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3480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345"/>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4, 2023</w:t>
            </w:r>
          </w:p>
        </w:tc>
      </w:tr>
      <w:tr>
        <w:trPr>
          <w:trHeight w:val="432"/>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4, 2023</w:t>
            </w:r>
          </w:p>
        </w:tc>
      </w:tr>
      <w:tr>
        <w:trPr>
          <w:trHeight w:val="432"/>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333-193661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30, 2014</w:t>
            </w:r>
          </w:p>
        </w:tc>
      </w:tr>
      <w:tr>
        <w:trPr>
          <w:trHeight w:val="864"/>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333-193661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30, 2014</w:t>
            </w:r>
          </w:p>
        </w:tc>
      </w:tr>
      <w:tr>
        <w:trPr>
          <w:trHeight w:val="54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333-193661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2014</w:t>
            </w:r>
          </w:p>
        </w:tc>
      </w:tr>
      <w:tr>
        <w:trPr>
          <w:trHeight w:val="540"/>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18, 2020</w:t>
            </w:r>
          </w:p>
        </w:tc>
      </w:tr>
      <w:tr>
        <w:trPr>
          <w:trHeight w:val="54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432"/>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4, 2023</w:t>
            </w:r>
          </w:p>
        </w:tc>
      </w:tr>
      <w:tr>
        <w:trPr>
          <w:trHeight w:val="540"/>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4, 2023</w:t>
            </w:r>
          </w:p>
        </w:tc>
      </w:tr>
      <w:tr>
        <w:trPr>
          <w:trHeight w:val="648"/>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4, 2023</w:t>
            </w:r>
          </w:p>
        </w:tc>
      </w:tr>
      <w:tr>
        <w:trPr>
          <w:trHeight w:val="445"/>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333-193661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2014</w:t>
            </w:r>
          </w:p>
        </w:tc>
      </w:tr>
      <w:tr>
        <w:trPr>
          <w:trHeight w:val="554"/>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333-193661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2014</w:t>
            </w:r>
          </w:p>
        </w:tc>
      </w:tr>
      <w:tr>
        <w:trPr>
          <w:trHeight w:val="675"/>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5, 2022</w:t>
            </w:r>
          </w:p>
        </w:tc>
      </w:tr>
      <w:tr>
        <w:trPr>
          <w:trHeight w:val="729"/>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2022</w:t>
            </w:r>
          </w:p>
        </w:tc>
      </w:tr>
      <w:tr>
        <w:trPr>
          <w:trHeight w:val="850"/>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2022</w:t>
            </w:r>
          </w:p>
        </w:tc>
      </w:tr>
      <w:tr>
        <w:trPr>
          <w:trHeight w:val="756"/>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2023</w:t>
            </w:r>
          </w:p>
        </w:tc>
      </w:tr>
    </w:tbl>
    <w:p>
      <w:pPr>
        <w:spacing w:after="0" w:line="820" w:lineRule="exact"/>
        <w:rPr>
          <w:sz w:val="20"/>
          <w:szCs w:val="20"/>
          <w:color w:val="auto"/>
        </w:rPr>
      </w:pPr>
    </w:p>
    <w:p>
      <w:pPr>
        <w:sectPr>
          <w:pgSz w:w="11900" w:h="16838" w:orient="portrait"/>
          <w:cols w:equalWidth="0" w:num="2">
            <w:col w:w="5660" w:space="100"/>
            <w:col w:w="5480"/>
          </w:cols>
          <w:pgMar w:left="320" w:top="121" w:right="339"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26"/>
          </w:tcPr>
          <w:p>
            <w:pPr>
              <w:ind w:left="3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37"/>
        </w:trPr>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Multi-Tenant Office Lease Agreement, dated June 1, 2016,</w:t>
              </w:r>
            </w:hyperlink>
          </w:p>
        </w:tc>
        <w:tc>
          <w:tcPr>
            <w:tcW w:w="16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by and between Paylocity Corporation and RPAI</w:t>
              </w:r>
            </w:hyperlink>
          </w:p>
        </w:tc>
        <w:tc>
          <w:tcPr>
            <w:tcW w:w="900" w:type="dxa"/>
            <w:vAlign w:val="bottom"/>
            <w:gridSpan w:val="19"/>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Schaumburg American Lane, L.L.C.</w:t>
              </w:r>
            </w:hyperlink>
          </w:p>
        </w:tc>
        <w:tc>
          <w:tcPr>
            <w:tcW w:w="1780" w:type="dxa"/>
            <w:vAlign w:val="bottom"/>
            <w:gridSpan w:val="22"/>
          </w:tcPr>
          <w:p>
            <w:pPr>
              <w:spacing w:after="0"/>
              <w:rPr>
                <w:sz w:val="17"/>
                <w:szCs w:val="17"/>
                <w:color w:val="auto"/>
              </w:rPr>
            </w:pPr>
          </w:p>
        </w:tc>
      </w:tr>
      <w:tr>
        <w:trPr>
          <w:trHeight w:val="29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28"/>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Amendments to Multi-Tenant Office Lease Agreement dated</w:t>
              </w:r>
            </w:hyperlink>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tcBorders>
              <w:top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June 1, 2016 by and between Paylocity Corporation and</w:t>
              </w:r>
            </w:hyperlink>
          </w:p>
        </w:tc>
        <w:tc>
          <w:tcPr>
            <w:tcW w:w="2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40" w:type="dxa"/>
            <w:vAlign w:val="bottom"/>
            <w:tcBorders>
              <w:top w:val="single" w:sz="8" w:color="0000FF"/>
              <w:bottom w:val="single" w:sz="8" w:color="0000FF"/>
            </w:tcBorders>
            <w:gridSpan w:val="16"/>
          </w:tcPr>
          <w:p>
            <w:pPr>
              <w:spacing w:after="0" w:line="182" w:lineRule="exact"/>
              <w:rPr>
                <w:rFonts w:ascii="Times New Roman" w:cs="Times New Roman" w:eastAsia="Times New Roman" w:hAnsi="Times New Roman"/>
                <w:sz w:val="18"/>
                <w:szCs w:val="18"/>
                <w:color w:val="0000FF"/>
                <w:w w:val="96"/>
              </w:rPr>
            </w:pPr>
            <w:hyperlink r:id="rId96">
              <w:r>
                <w:rPr>
                  <w:rFonts w:ascii="Times New Roman" w:cs="Times New Roman" w:eastAsia="Times New Roman" w:hAnsi="Times New Roman"/>
                  <w:sz w:val="18"/>
                  <w:szCs w:val="18"/>
                  <w:color w:val="0000FF"/>
                  <w:w w:val="96"/>
                </w:rPr>
                <w:t>RPAI Schaumburg American Lane, L.L.C. and Landmark</w:t>
              </w:r>
            </w:hyperlink>
          </w:p>
        </w:tc>
        <w:tc>
          <w:tcPr>
            <w:tcW w:w="6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tcBorders>
              <w:bottom w:val="single" w:sz="8" w:color="0000FF"/>
            </w:tcBorders>
            <w:gridSpan w:val="3"/>
          </w:tcPr>
          <w:p>
            <w:pPr>
              <w:spacing w:after="0" w:line="182" w:lineRule="exact"/>
              <w:rPr>
                <w:rFonts w:ascii="Times New Roman" w:cs="Times New Roman" w:eastAsia="Times New Roman" w:hAnsi="Times New Roman"/>
                <w:sz w:val="18"/>
                <w:szCs w:val="18"/>
                <w:color w:val="0000FF"/>
                <w:w w:val="96"/>
              </w:rPr>
            </w:pPr>
            <w:hyperlink r:id="rId96">
              <w:r>
                <w:rPr>
                  <w:rFonts w:ascii="Times New Roman" w:cs="Times New Roman" w:eastAsia="Times New Roman" w:hAnsi="Times New Roman"/>
                  <w:sz w:val="18"/>
                  <w:szCs w:val="18"/>
                  <w:color w:val="0000FF"/>
                  <w:w w:val="96"/>
                </w:rPr>
                <w:t>Schaumburg Towers LP.</w:t>
              </w:r>
            </w:hyperlink>
          </w:p>
        </w:tc>
        <w:tc>
          <w:tcPr>
            <w:tcW w:w="2400" w:type="dxa"/>
            <w:vAlign w:val="bottom"/>
            <w:gridSpan w:val="17"/>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9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28"/>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Equity Purchase Agreement among Paylocity Corporation,</w:t>
              </w:r>
            </w:hyperlink>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tcBorders>
              <w:top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Blue Marble Payroll, LLC and the Equityholders party</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thereto, dated August 31, 2021.</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Credit Agreement by and among Paylocity Holding</w:t>
              </w:r>
            </w:hyperlink>
          </w:p>
        </w:tc>
        <w:tc>
          <w:tcPr>
            <w:tcW w:w="700" w:type="dxa"/>
            <w:vAlign w:val="bottom"/>
            <w:gridSpan w:val="18"/>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28"/>
          </w:tcPr>
          <w:p>
            <w:pPr>
              <w:spacing w:after="0" w:line="19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Corporation, the Guarantor party thereto, the Lenders party</w:t>
              </w:r>
            </w:hyperlink>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thereto, PNC Bank, National Association, as Administrative</w:t>
              </w:r>
            </w:hyperlink>
          </w:p>
        </w:tc>
        <w:tc>
          <w:tcPr>
            <w:tcW w:w="8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Agent, and PNC Capital Markets, LLC, as sole lead arranger</w:t>
              </w:r>
            </w:hyperlink>
          </w:p>
        </w:tc>
        <w:tc>
          <w:tcPr>
            <w:tcW w:w="4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28"/>
          </w:tcPr>
          <w:p>
            <w:pPr>
              <w:spacing w:after="0" w:line="19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and sole bookrunner, dated July 17, 2019.</w:t>
              </w:r>
            </w:hyperlink>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First Amendment to Credit Agreement and Security</w:t>
              </w:r>
            </w:hyperlink>
          </w:p>
        </w:tc>
        <w:tc>
          <w:tcPr>
            <w:tcW w:w="680" w:type="dxa"/>
            <w:vAlign w:val="bottom"/>
            <w:gridSpan w:val="17"/>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Agreement, dated as of August 19, 2022, by and among</w:t>
              </w:r>
            </w:hyperlink>
          </w:p>
        </w:tc>
        <w:tc>
          <w:tcPr>
            <w:tcW w:w="400" w:type="dxa"/>
            <w:vAlign w:val="bottom"/>
            <w:gridSpan w:val="1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Paylocity Holding Corporation, the Guarantor party thereto,</w:t>
              </w:r>
            </w:hyperlink>
          </w:p>
        </w:tc>
        <w:tc>
          <w:tcPr>
            <w:tcW w:w="8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the Lenders party thereto, PNC Bank, National Association,</w:t>
              </w:r>
            </w:hyperlink>
          </w:p>
        </w:tc>
        <w:tc>
          <w:tcPr>
            <w:tcW w:w="10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as Administrative Agent, and PNC Capital Markets, LLC</w:t>
              </w:r>
            </w:hyperlink>
          </w:p>
        </w:tc>
        <w:tc>
          <w:tcPr>
            <w:tcW w:w="280" w:type="dxa"/>
            <w:vAlign w:val="bottom"/>
            <w:gridSpan w:val="9"/>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28"/>
          </w:tcPr>
          <w:p>
            <w:pPr>
              <w:spacing w:after="0" w:line="19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and JPMorgan Chase Bank, N.A., as joint lead arrangers and</w:t>
              </w:r>
            </w:hyperlink>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joint bookrunners.</w:t>
              </w:r>
            </w:hyperlink>
          </w:p>
        </w:tc>
        <w:tc>
          <w:tcPr>
            <w:tcW w:w="60" w:type="dxa"/>
            <w:vAlign w:val="bottom"/>
            <w:gridSpan w:val="3"/>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Paylocity Holding Corporation Insider Trading Policy.</w:t>
            </w:r>
          </w:p>
        </w:tc>
      </w:tr>
      <w:tr>
        <w:trPr>
          <w:trHeight w:val="31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EE"/>
              </w:rPr>
              <w:t>List of Subsidiaries of the Registrant.</w:t>
            </w:r>
          </w:p>
        </w:tc>
        <w:tc>
          <w:tcPr>
            <w:tcW w:w="500" w:type="dxa"/>
            <w:vAlign w:val="bottom"/>
            <w:gridSpan w:val="16"/>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Consent of KPMG LLP, Independent Registered Public</w:t>
            </w:r>
          </w:p>
        </w:tc>
        <w:tc>
          <w:tcPr>
            <w:tcW w:w="420" w:type="dxa"/>
            <w:vAlign w:val="bottom"/>
            <w:gridSpan w:val="14"/>
          </w:tcPr>
          <w:p>
            <w:pPr>
              <w:spacing w:after="0"/>
              <w:rPr>
                <w:sz w:val="24"/>
                <w:szCs w:val="24"/>
                <w:color w:val="auto"/>
              </w:rPr>
            </w:pP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Accounting Firm.</w:t>
            </w: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8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45"/>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Power of Attorney (see page 54 to this Annual Report on</w:t>
            </w: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Form 10-K).</w:t>
            </w:r>
          </w:p>
        </w:tc>
        <w:tc>
          <w:tcPr>
            <w:tcW w:w="3180" w:type="dxa"/>
            <w:vAlign w:val="bottom"/>
            <w:tcBorders>
              <w:top w:val="single" w:sz="8" w:color="0000FF"/>
            </w:tcBorders>
            <w:gridSpan w:val="16"/>
          </w:tcPr>
          <w:p>
            <w:pPr>
              <w:spacing w:after="0"/>
              <w:rPr>
                <w:sz w:val="19"/>
                <w:szCs w:val="19"/>
                <w:color w:val="auto"/>
              </w:rPr>
            </w:pPr>
          </w:p>
        </w:tc>
        <w:tc>
          <w:tcPr>
            <w:tcW w:w="320" w:type="dxa"/>
            <w:vAlign w:val="bottom"/>
            <w:gridSpan w:val="11"/>
          </w:tcPr>
          <w:p>
            <w:pPr>
              <w:spacing w:after="0"/>
              <w:rPr>
                <w:sz w:val="19"/>
                <w:szCs w:val="19"/>
                <w:color w:val="auto"/>
              </w:rPr>
            </w:pPr>
          </w:p>
        </w:tc>
      </w:tr>
      <w:tr>
        <w:trPr>
          <w:trHeight w:val="345"/>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Certification of Co-Chief Executive Officer Required Under</w:t>
            </w: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Rule 13a-14(a) and 15d-14(a) of the Securities Exchange</w:t>
            </w:r>
          </w:p>
        </w:tc>
        <w:tc>
          <w:tcPr>
            <w:tcW w:w="220" w:type="dxa"/>
            <w:vAlign w:val="bottom"/>
            <w:tcBorders>
              <w:top w:val="single" w:sz="8" w:color="0000EE"/>
            </w:tcBorders>
            <w:gridSpan w:val="6"/>
          </w:tcPr>
          <w:p>
            <w:pPr>
              <w:spacing w:after="0"/>
              <w:rPr>
                <w:sz w:val="19"/>
                <w:szCs w:val="19"/>
                <w:color w:val="auto"/>
              </w:rPr>
            </w:pPr>
          </w:p>
        </w:tc>
        <w:tc>
          <w:tcPr>
            <w:tcW w:w="80" w:type="dxa"/>
            <w:vAlign w:val="bottom"/>
            <w:gridSpan w:val="4"/>
          </w:tcPr>
          <w:p>
            <w:pPr>
              <w:spacing w:after="0"/>
              <w:rPr>
                <w:sz w:val="19"/>
                <w:szCs w:val="19"/>
                <w:color w:val="auto"/>
              </w:rPr>
            </w:pPr>
          </w:p>
        </w:tc>
      </w:tr>
      <w:tr>
        <w:trPr>
          <w:trHeight w:val="236"/>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Act of 1934, as amended.</w:t>
            </w:r>
          </w:p>
        </w:tc>
        <w:tc>
          <w:tcPr>
            <w:tcW w:w="2580" w:type="dxa"/>
            <w:vAlign w:val="bottom"/>
            <w:gridSpan w:val="24"/>
          </w:tcPr>
          <w:p>
            <w:pPr>
              <w:spacing w:after="0"/>
              <w:rPr>
                <w:sz w:val="20"/>
                <w:szCs w:val="20"/>
                <w:color w:val="auto"/>
              </w:rPr>
            </w:pPr>
          </w:p>
        </w:tc>
      </w:tr>
      <w:tr>
        <w:trPr>
          <w:trHeight w:val="3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Certification of Co-Chief Executive Officer Required Under</w:t>
            </w: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Rule 13a-14(a) and 15d-14(a) of the Securities Exchange</w:t>
            </w:r>
          </w:p>
        </w:tc>
        <w:tc>
          <w:tcPr>
            <w:tcW w:w="220" w:type="dxa"/>
            <w:vAlign w:val="bottom"/>
            <w:tcBorders>
              <w:top w:val="single" w:sz="8" w:color="0000EE"/>
            </w:tcBorders>
            <w:gridSpan w:val="6"/>
          </w:tcPr>
          <w:p>
            <w:pPr>
              <w:spacing w:after="0"/>
              <w:rPr>
                <w:sz w:val="19"/>
                <w:szCs w:val="19"/>
                <w:color w:val="auto"/>
              </w:rPr>
            </w:pPr>
          </w:p>
        </w:tc>
        <w:tc>
          <w:tcPr>
            <w:tcW w:w="80" w:type="dxa"/>
            <w:vAlign w:val="bottom"/>
            <w:gridSpan w:val="4"/>
          </w:tcPr>
          <w:p>
            <w:pPr>
              <w:spacing w:after="0"/>
              <w:rPr>
                <w:sz w:val="19"/>
                <w:szCs w:val="19"/>
                <w:color w:val="auto"/>
              </w:rPr>
            </w:pPr>
          </w:p>
        </w:tc>
      </w:tr>
      <w:tr>
        <w:trPr>
          <w:trHeight w:val="236"/>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Act of 1934, as amended.</w:t>
            </w:r>
          </w:p>
        </w:tc>
        <w:tc>
          <w:tcPr>
            <w:tcW w:w="2580" w:type="dxa"/>
            <w:vAlign w:val="bottom"/>
            <w:gridSpan w:val="24"/>
          </w:tcPr>
          <w:p>
            <w:pPr>
              <w:spacing w:after="0"/>
              <w:rPr>
                <w:sz w:val="20"/>
                <w:szCs w:val="20"/>
                <w:color w:val="auto"/>
              </w:rPr>
            </w:pPr>
          </w:p>
        </w:tc>
      </w:tr>
      <w:tr>
        <w:trPr>
          <w:trHeight w:val="3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Required Under</w:t>
            </w: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15"/>
            <w:shd w:val="clear" w:color="auto" w:fill="0000EE"/>
          </w:tcPr>
          <w:p>
            <w:pPr>
              <w:spacing w:after="0" w:line="20" w:lineRule="exact"/>
              <w:rPr>
                <w:sz w:val="1"/>
                <w:szCs w:val="1"/>
                <w:color w:val="auto"/>
              </w:rPr>
            </w:pPr>
          </w:p>
        </w:tc>
        <w:tc>
          <w:tcPr>
            <w:tcW w:w="400" w:type="dxa"/>
            <w:vAlign w:val="bottom"/>
            <w:gridSpan w:val="13"/>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Rule 13a-14(a) and 15d-14(a) of the Securities Exchange</w:t>
            </w:r>
          </w:p>
        </w:tc>
        <w:tc>
          <w:tcPr>
            <w:tcW w:w="300" w:type="dxa"/>
            <w:vAlign w:val="bottom"/>
            <w:gridSpan w:val="10"/>
          </w:tcPr>
          <w:p>
            <w:pPr>
              <w:spacing w:after="0"/>
              <w:rPr>
                <w:sz w:val="19"/>
                <w:szCs w:val="19"/>
                <w:color w:val="auto"/>
              </w:rPr>
            </w:pPr>
          </w:p>
        </w:tc>
      </w:tr>
      <w:tr>
        <w:trPr>
          <w:trHeight w:val="236"/>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Act of 1934, as amended.</w:t>
            </w:r>
          </w:p>
        </w:tc>
        <w:tc>
          <w:tcPr>
            <w:tcW w:w="2580" w:type="dxa"/>
            <w:vAlign w:val="bottom"/>
            <w:gridSpan w:val="24"/>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3480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453"/>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2, 2016</w:t>
            </w:r>
          </w:p>
        </w:tc>
      </w:tr>
      <w:tr>
        <w:trPr>
          <w:trHeight w:val="837"/>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9, 2024</w:t>
            </w:r>
          </w:p>
        </w:tc>
      </w:tr>
      <w:tr>
        <w:trPr>
          <w:trHeight w:val="810"/>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 2021</w:t>
            </w:r>
          </w:p>
        </w:tc>
      </w:tr>
      <w:tr>
        <w:trPr>
          <w:trHeight w:val="959"/>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17,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0"/>
        <w:spacing w:after="0"/>
        <w:tabs>
          <w:tab w:leader="none" w:pos="1260" w:val="left"/>
          <w:tab w:leader="none" w:pos="2740" w:val="left"/>
          <w:tab w:leader="none" w:pos="38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001-36348</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August 22, 2022</w:t>
      </w:r>
    </w:p>
    <w:p>
      <w:pPr>
        <w:sectPr>
          <w:pgSz w:w="11900" w:h="16838" w:orient="portrait"/>
          <w:cols w:equalWidth="0" w:num="2">
            <w:col w:w="5720" w:space="40"/>
            <w:col w:w="548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2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540" w:type="dxa"/>
            <w:vAlign w:val="bottom"/>
            <w:gridSpan w:val="14"/>
          </w:tcPr>
          <w:p>
            <w:pPr>
              <w:ind w:left="16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7"/>
        </w:trPr>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of Co-Chief Executive Officer Under Rule 13a-</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14(a) and 15d-14(a) of the Securities Exchange Act of 1934,</w:t>
            </w:r>
          </w:p>
        </w:tc>
        <w:tc>
          <w:tcPr>
            <w:tcW w:w="20" w:type="dxa"/>
            <w:vAlign w:val="bottom"/>
            <w:tcBorders>
              <w:top w:val="single" w:sz="8" w:color="0000EE"/>
            </w:tcBorders>
          </w:tcPr>
          <w:p>
            <w:pPr>
              <w:spacing w:after="0"/>
              <w:rPr>
                <w:sz w:val="19"/>
                <w:szCs w:val="19"/>
                <w:color w:val="auto"/>
              </w:rPr>
            </w:pPr>
          </w:p>
        </w:tc>
        <w:tc>
          <w:tcPr>
            <w:tcW w:w="160" w:type="dxa"/>
            <w:vAlign w:val="bottom"/>
            <w:gridSpan w:val="4"/>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as amended, and 18 U.S.C. §1350 as adopted pursuant to</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580" w:type="dxa"/>
            <w:vAlign w:val="bottom"/>
            <w:tcBorders>
              <w:top w:val="single" w:sz="8" w:color="0000EE"/>
            </w:tcBorders>
            <w:gridSpan w:val="4"/>
          </w:tcPr>
          <w:p>
            <w:pPr>
              <w:spacing w:after="0"/>
              <w:rPr>
                <w:sz w:val="19"/>
                <w:szCs w:val="19"/>
                <w:color w:val="auto"/>
              </w:rPr>
            </w:pPr>
          </w:p>
        </w:tc>
        <w:tc>
          <w:tcPr>
            <w:tcW w:w="440" w:type="dxa"/>
            <w:vAlign w:val="bottom"/>
            <w:gridSpan w:val="8"/>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of Co-Chief Executive Officer Required Under</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Rule 13a-14(a) and 15d-14(a) of the Securities Exchange Act</w:t>
            </w:r>
          </w:p>
        </w:tc>
        <w:tc>
          <w:tcPr>
            <w:tcW w:w="12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of 1934, as amended, and 18 U.S.C. §1350 as adopted</w:t>
            </w:r>
          </w:p>
        </w:tc>
        <w:tc>
          <w:tcPr>
            <w:tcW w:w="640" w:type="dxa"/>
            <w:vAlign w:val="bottom"/>
            <w:gridSpan w:val="10"/>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Required Under Rule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13a-14(a) and 15d-14(a) of the Securities Exchange Act of</w:t>
            </w:r>
          </w:p>
        </w:tc>
        <w:tc>
          <w:tcPr>
            <w:tcW w:w="14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1934, as amended, and 18 U.S.C. §1350 as adopted pursuant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to Section 906 of The Sarbanes-Oxley Act of 2002.</w:t>
            </w:r>
          </w:p>
        </w:tc>
        <w:tc>
          <w:tcPr>
            <w:tcW w:w="180" w:type="dxa"/>
            <w:vAlign w:val="bottom"/>
            <w:gridSpan w:val="5"/>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Paylocity Holding Corporation Policy for Recovery of</w:t>
            </w:r>
          </w:p>
        </w:tc>
        <w:tc>
          <w:tcPr>
            <w:tcW w:w="620" w:type="dxa"/>
            <w:vAlign w:val="bottom"/>
            <w:gridSpan w:val="9"/>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Erroneously Awarded Incentive Compensation.</w:t>
            </w:r>
          </w:p>
        </w:tc>
        <w:tc>
          <w:tcPr>
            <w:tcW w:w="1120" w:type="dxa"/>
            <w:vAlign w:val="bottom"/>
            <w:gridSpan w:val="13"/>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27" w:lineRule="exact"/>
        <w:rPr>
          <w:sz w:val="20"/>
          <w:szCs w:val="20"/>
          <w:color w:val="auto"/>
        </w:rPr>
      </w:pPr>
    </w:p>
    <w:p>
      <w:pPr>
        <w:ind w:right="6760" w:firstLine="8"/>
        <w:spacing w:after="0" w:line="250" w:lineRule="auto"/>
        <w:tabs>
          <w:tab w:leader="none" w:pos="2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51" w:lineRule="exact"/>
        <w:rPr>
          <w:sz w:val="20"/>
          <w:szCs w:val="20"/>
          <w:color w:val="auto"/>
        </w:rPr>
      </w:pPr>
    </w:p>
    <w:p>
      <w:pPr>
        <w:ind w:left="20"/>
        <w:spacing w:after="0"/>
        <w:tabs>
          <w:tab w:leader="none" w:pos="5380" w:val="left"/>
          <w:tab w:leader="none" w:pos="5980" w:val="left"/>
        </w:tabs>
        <w:rPr>
          <w:sz w:val="20"/>
          <w:szCs w:val="20"/>
          <w:color w:val="auto"/>
        </w:rPr>
      </w:pPr>
      <w:r>
        <w:rPr>
          <w:rFonts w:ascii="Times New Roman" w:cs="Times New Roman" w:eastAsia="Times New Roman" w:hAnsi="Times New Roman"/>
          <w:sz w:val="18"/>
          <w:szCs w:val="18"/>
          <w:color w:val="auto"/>
        </w:rPr>
        <w:t>Date: August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43180</wp:posOffset>
            </wp:positionV>
            <wp:extent cx="34029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8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Steven R. Beauchamp</w:t>
      </w:r>
    </w:p>
    <w:p>
      <w:pPr>
        <w:spacing w:after="0" w:line="9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Co-Chief Executive Officer (Principal Executive Officer) and Director</w:t>
      </w:r>
    </w:p>
    <w:p>
      <w:pPr>
        <w:spacing w:after="0" w:line="360" w:lineRule="exact"/>
        <w:rPr>
          <w:sz w:val="20"/>
          <w:szCs w:val="20"/>
          <w:color w:val="auto"/>
        </w:rPr>
      </w:pPr>
    </w:p>
    <w:p>
      <w:pPr>
        <w:ind w:left="20"/>
        <w:spacing w:after="0"/>
        <w:tabs>
          <w:tab w:leader="none" w:pos="5380" w:val="left"/>
          <w:tab w:leader="none" w:pos="5980" w:val="left"/>
        </w:tabs>
        <w:rPr>
          <w:sz w:val="20"/>
          <w:szCs w:val="20"/>
          <w:color w:val="auto"/>
        </w:rPr>
      </w:pPr>
      <w:r>
        <w:rPr>
          <w:rFonts w:ascii="Times New Roman" w:cs="Times New Roman" w:eastAsia="Times New Roman" w:hAnsi="Times New Roman"/>
          <w:sz w:val="18"/>
          <w:szCs w:val="18"/>
          <w:color w:val="auto"/>
        </w:rPr>
        <w:t>Date: August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43180</wp:posOffset>
            </wp:positionV>
            <wp:extent cx="34029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8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Toby J. Williams</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President, Co-Chief Executive Officer (Principal Executive Officer) and</w:t>
      </w:r>
    </w:p>
    <w:p>
      <w:pPr>
        <w:spacing w:after="0" w:line="3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Steven R. Beauchamp, Toby J. Williams, and Ryan Glenn,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w:t>
      </w:r>
    </w:p>
    <w:p>
      <w:pPr>
        <w:spacing w:after="0" w:line="223" w:lineRule="exact"/>
        <w:rPr>
          <w:sz w:val="20"/>
          <w:szCs w:val="20"/>
          <w:color w:val="auto"/>
        </w:rPr>
      </w:pPr>
    </w:p>
    <w:p>
      <w:pPr>
        <w:ind w:left="1400"/>
        <w:spacing w:after="0"/>
        <w:tabs>
          <w:tab w:leader="none" w:pos="6240" w:val="left"/>
          <w:tab w:leader="none" w:pos="101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372" w:lineRule="exact"/>
        <w:rPr>
          <w:sz w:val="20"/>
          <w:szCs w:val="20"/>
          <w:color w:val="auto"/>
        </w:rPr>
      </w:pPr>
    </w:p>
    <w:p>
      <w:pPr>
        <w:ind w:left="20" w:right="940"/>
        <w:spacing w:after="0" w:line="360" w:lineRule="auto"/>
        <w:rPr>
          <w:sz w:val="20"/>
          <w:szCs w:val="20"/>
          <w:color w:val="auto"/>
        </w:rPr>
      </w:pPr>
      <w:r>
        <w:rPr>
          <w:rFonts w:ascii="Times New Roman" w:cs="Times New Roman" w:eastAsia="Times New Roman" w:hAnsi="Times New Roman"/>
          <w:sz w:val="18"/>
          <w:szCs w:val="18"/>
          <w:color w:val="auto"/>
        </w:rPr>
        <w:t xml:space="preserve">/s/ Steven R. Beauchamp </w:t>
      </w:r>
      <w:r>
        <w:rPr>
          <w:rFonts w:ascii="Times New Roman" w:cs="Times New Roman" w:eastAsia="Times New Roman" w:hAnsi="Times New Roman"/>
          <w:sz w:val="18"/>
          <w:szCs w:val="18"/>
          <w:i w:val="1"/>
          <w:iCs w:val="1"/>
          <w:color w:val="auto"/>
        </w:rPr>
        <w:t>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21342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Toby J. Williams</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Ryan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Ryan Glenn</w:t>
      </w: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Nicholas 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Nicholas Rost</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Steven I. Sarowitz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Steven I. Sarowitz</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Linda M. Breard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Linda M. Breard</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Virginia G.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Virginia G. Breen</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Craig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Craig Conway</w:t>
      </w: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Jeffrey T. Diehl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Jeffrey T. Diehl</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Robin L. Pederson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Robin L. Pederson</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Co-Chief Executive Officer (Principal Executive Officer) and Director</w:t>
      </w:r>
      <w:r>
        <w:rPr>
          <w:sz w:val="20"/>
          <w:szCs w:val="20"/>
          <w:color w:val="auto"/>
        </w:rPr>
        <w:tab/>
      </w:r>
      <w:r>
        <w:rPr>
          <w:rFonts w:ascii="Times New Roman" w:cs="Times New Roman" w:eastAsia="Times New Roman" w:hAnsi="Times New Roman"/>
          <w:sz w:val="17"/>
          <w:szCs w:val="17"/>
          <w:color w:val="auto"/>
        </w:rPr>
        <w:t>August 2, 2024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President, Co-Chief Executive Officer (Principal Executive Officer) and</w:t>
      </w:r>
      <w:r>
        <w:rPr>
          <w:sz w:val="20"/>
          <w:szCs w:val="20"/>
          <w:color w:val="auto"/>
        </w:rPr>
        <w:tab/>
      </w:r>
      <w:r>
        <w:rPr>
          <w:rFonts w:ascii="Times New Roman" w:cs="Times New Roman" w:eastAsia="Times New Roman" w:hAnsi="Times New Roman"/>
          <w:sz w:val="17"/>
          <w:szCs w:val="17"/>
          <w:color w:val="auto"/>
        </w:rPr>
        <w:t>August 2,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Chief Financial Officer and Treasurer (Principal Financial Officer)</w:t>
      </w:r>
      <w:r>
        <w:rPr>
          <w:sz w:val="20"/>
          <w:szCs w:val="20"/>
          <w:color w:val="auto"/>
        </w:rPr>
        <w:tab/>
      </w:r>
      <w:r>
        <w:rPr>
          <w:rFonts w:ascii="Times New Roman" w:cs="Times New Roman" w:eastAsia="Times New Roman" w:hAnsi="Times New Roman"/>
          <w:sz w:val="17"/>
          <w:szCs w:val="17"/>
          <w:color w:val="auto"/>
        </w:rPr>
        <w:t>August 2, 2024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Vice President and Chief Accounting Officer (Principal Accounting Officer)</w:t>
      </w:r>
      <w:r>
        <w:rPr>
          <w:sz w:val="20"/>
          <w:szCs w:val="20"/>
          <w:color w:val="auto"/>
        </w:rPr>
        <w:tab/>
      </w:r>
      <w:r>
        <w:rPr>
          <w:rFonts w:ascii="Times New Roman" w:cs="Times New Roman" w:eastAsia="Times New Roman" w:hAnsi="Times New Roman"/>
          <w:sz w:val="17"/>
          <w:szCs w:val="17"/>
          <w:color w:val="auto"/>
        </w:rPr>
        <w:t>August 2, 2024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Chairman of the Board of Directors</w:t>
      </w:r>
      <w:r>
        <w:rPr>
          <w:sz w:val="20"/>
          <w:szCs w:val="20"/>
          <w:color w:val="auto"/>
        </w:rPr>
        <w:tab/>
      </w:r>
      <w:r>
        <w:rPr>
          <w:rFonts w:ascii="Times New Roman" w:cs="Times New Roman" w:eastAsia="Times New Roman" w:hAnsi="Times New Roman"/>
          <w:sz w:val="17"/>
          <w:szCs w:val="17"/>
          <w:color w:val="auto"/>
        </w:rPr>
        <w:t>August 2, 2024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2, 2024</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2, 2024</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2, 2024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2, 2024</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2, 2024</w:t>
      </w:r>
    </w:p>
    <w:p>
      <w:pPr>
        <w:spacing w:after="0" w:line="506" w:lineRule="exact"/>
        <w:rPr>
          <w:sz w:val="20"/>
          <w:szCs w:val="20"/>
          <w:color w:val="auto"/>
        </w:rPr>
      </w:pPr>
    </w:p>
    <w:p>
      <w:pPr>
        <w:sectPr>
          <w:pgSz w:w="11900" w:h="16838" w:orient="portrait"/>
          <w:cols w:equalWidth="0" w:num="2">
            <w:col w:w="2780" w:space="720"/>
            <w:col w:w="7680"/>
          </w:cols>
          <w:pgMar w:left="320" w:top="12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Andres D. 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Andres D. Reiner</w:t>
      </w:r>
    </w:p>
    <w:p>
      <w:pPr>
        <w:spacing w:after="0" w:line="349" w:lineRule="exact"/>
        <w:rPr>
          <w:sz w:val="20"/>
          <w:szCs w:val="20"/>
          <w:color w:val="auto"/>
        </w:rPr>
      </w:pPr>
    </w:p>
    <w:p>
      <w:pPr>
        <w:ind w:left="20" w:right="980"/>
        <w:spacing w:after="0" w:line="360" w:lineRule="auto"/>
        <w:rPr>
          <w:sz w:val="20"/>
          <w:szCs w:val="20"/>
          <w:color w:val="auto"/>
        </w:rPr>
      </w:pPr>
      <w:r>
        <w:rPr>
          <w:rFonts w:ascii="Times New Roman" w:cs="Times New Roman" w:eastAsia="Times New Roman" w:hAnsi="Times New Roman"/>
          <w:sz w:val="18"/>
          <w:szCs w:val="18"/>
          <w:color w:val="auto"/>
        </w:rPr>
        <w:t xml:space="preserve">/s/ Kenneth B. Robinson </w:t>
      </w:r>
      <w:r>
        <w:rPr>
          <w:rFonts w:ascii="Times New Roman" w:cs="Times New Roman" w:eastAsia="Times New Roman" w:hAnsi="Times New Roman"/>
          <w:sz w:val="18"/>
          <w:szCs w:val="18"/>
          <w:i w:val="1"/>
          <w:iCs w:val="1"/>
          <w:color w:val="auto"/>
        </w:rPr>
        <w:t>Kenneth B.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21342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Ronald V. Waters,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1342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Ronald V. Waters, 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2, 2024</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2, 2024</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80" w:space="720"/>
            <w:col w:w="7380"/>
          </w:cols>
          <w:pgMar w:left="320" w:top="121" w:right="6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June 30, 2023 and 2024</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 and Comprehensive Income for the years ended June 30, 2022, 2023 and 2024</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Changes in Stockholders’ Equity for the years ended June 30, 2022, 2023 and 2024</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for the years ended June 30, 2022, 2023 and 2024</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50800</wp:posOffset>
            </wp:positionV>
            <wp:extent cx="4368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436880" cy="8890"/>
                    </a:xfrm>
                    <a:prstGeom prst="rect">
                      <a:avLst/>
                    </a:prstGeom>
                    <a:noFill/>
                  </pic:spPr>
                </pic:pic>
              </a:graphicData>
            </a:graphic>
          </wp:anchor>
        </w:drawing>
      </w: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F-2</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F-4</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F-5</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F-6</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F-7</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2">
            <w:col w:w="10020" w:space="720"/>
            <w:col w:w="300"/>
          </w:cols>
          <w:pgMar w:left="320" w:top="121" w:right="5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Paylocity Holding Corporation: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Paylocity Holding Corporation and subsidiaries (the Company) as of June 30, 2024 and 2023, the related consolidated statements of operations and comprehensive income, changes in stockholders’ equity, and cash flows for each of the years in the three-year period ended June 30, 2024, and the related notes (collectively, the consolidated financial statements). We also have audited the Company’s internal control over financial reporting as of June 30,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June 30, 2024 and 2023, and the results of its operations and its cash flows for each of the years in the three-year period ended June 30, 2024, in conformity with U.S. generally accepted accounting principles. Also in our opinion, the Company maintained, in all material respects, effective internal control over financial reporting as of June 30,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and Attestation Report of the Registered Public Accounting Firm.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Capitalized internal-use software development costs</w:t>
      </w:r>
    </w:p>
    <w:p>
      <w:pPr>
        <w:spacing w:after="0" w:line="254"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As discussed in Notes 2 and 8 to the consolidated financial statements, the Company capitalizes certain internal-use software costs related to new products as well as existing products when those costs will result in significant additional functionality. The Company’s capitalized internal-use software asset, net of accumulated amortization, was $116.4 million as of June 30, 2024. The Company capitalized approximately $75.5 million of internal-use software costs during the year ended June 30, 2024.</w:t>
      </w:r>
    </w:p>
    <w:p>
      <w:pPr>
        <w:spacing w:after="0" w:line="207" w:lineRule="exact"/>
        <w:rPr>
          <w:sz w:val="20"/>
          <w:szCs w:val="20"/>
          <w:color w:val="auto"/>
        </w:rPr>
      </w:pPr>
    </w:p>
    <w:p>
      <w:pPr>
        <w:ind w:left="660" w:right="760"/>
        <w:spacing w:after="0" w:line="282" w:lineRule="auto"/>
        <w:rPr>
          <w:sz w:val="20"/>
          <w:szCs w:val="20"/>
          <w:color w:val="auto"/>
        </w:rPr>
      </w:pPr>
      <w:r>
        <w:rPr>
          <w:rFonts w:ascii="Times New Roman" w:cs="Times New Roman" w:eastAsia="Times New Roman" w:hAnsi="Times New Roman"/>
          <w:sz w:val="18"/>
          <w:szCs w:val="18"/>
          <w:color w:val="auto"/>
        </w:rPr>
        <w:t>We identified the determination of capitalized internal-use software development costs as a critical audit matter because of the degree of subjectivity involved in assessing which projects met the capitalization criteria.</w:t>
      </w:r>
    </w:p>
    <w:p>
      <w:pPr>
        <w:spacing w:after="0" w:line="189"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an internal control related to the critical audit matter. This control related to the determination of which software development projects met the capitalization criteria. For a selection of current year capitalized software costs, we evaluated the Company’s determination to capitalize the costs by reading the Company’s analysis and discussing the objective and status of the projects with IT department management. We also assessed a sample of the Company’s capitalized costs by confirming the nature of the activities performed with individual software developers.</w:t>
      </w:r>
    </w:p>
    <w:p>
      <w:pPr>
        <w:spacing w:after="0" w:line="17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 KPMG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32,997</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contract costs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97,859</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39,765</w:t>
            </w: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427,022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572,432</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Funds held for clients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2,621,415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2,952,060</w:t>
            </w:r>
          </w:p>
        </w:tc>
      </w:tr>
      <w:tr>
        <w:trPr>
          <w:trHeight w:val="25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3,048,437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3,524,492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116,412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294,222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348,003</w:t>
            </w:r>
          </w:p>
        </w:tc>
      </w:tr>
      <w:tr>
        <w:trPr>
          <w:trHeight w:val="257"/>
        </w:trPr>
        <w:tc>
          <w:tcPr>
            <w:tcW w:w="81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prepaid expenses and other</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17,816</w:t>
            </w:r>
          </w:p>
        </w:tc>
      </w:tr>
      <w:tr>
        <w:trPr>
          <w:trHeight w:val="25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3,695,680</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4,245,460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158,311</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166,949</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Client fund obligations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2,625,355</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2,950,411</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2,774,795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3,117,360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41,824</w:t>
            </w: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2,852,817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3,212,396</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 June 30, 2023 and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30, 2024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$0.001 par value, 155,000 shares authorized at June 30, 2023 and June 30, 2024; 55,912 shares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6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at June 30, 2023 and 55,514 shares issued and outstanding at June 30, 2024</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360,488</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466,690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673,456</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5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842,863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1,033,064</w:t>
            </w:r>
          </w:p>
        </w:tc>
      </w:tr>
      <w:tr>
        <w:trPr>
          <w:trHeight w:val="256"/>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3,695,680</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4,245,460</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600" w:type="dxa"/>
            <w:vAlign w:val="bottom"/>
            <w:tcBorders>
              <w:bottom w:val="single" w:sz="8" w:color="D2EDFE"/>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66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847,694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1,098,036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1,281,680</w:t>
            </w: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120,835</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1,402,515</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287,002</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367,039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441,729</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565,649</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807,559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960,786</w:t>
            </w: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334,954</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163,994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178,333</w:t>
            </w:r>
          </w:p>
        </w:tc>
      </w:tr>
      <w:tr>
        <w:trPr>
          <w:trHeight w:val="250"/>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163,692</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191,823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187,406</w:t>
            </w: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481,055</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652,533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700,693</w:t>
            </w:r>
          </w:p>
        </w:tc>
      </w:tr>
      <w:tr>
        <w:trPr>
          <w:trHeight w:val="250"/>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260,093</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16,922</w:t>
            </w:r>
          </w:p>
        </w:tc>
      </w:tr>
      <w:tr>
        <w:trPr>
          <w:trHeight w:val="250"/>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277,015</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70,249</w:t>
            </w:r>
          </w:p>
        </w:tc>
      </w:tr>
      <w:tr>
        <w:trPr>
          <w:trHeight w:val="25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90,777</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140,822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206,766</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88,408</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138,610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210,345</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8"/>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55,036</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55,706</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56,445</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56,596</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56,976</w:t>
            </w: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4"/>
          <w:szCs w:val="14"/>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33655</wp:posOffset>
            </wp:positionV>
            <wp:extent cx="54521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8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Balances at June 30, 2021</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3"/>
              </w:rPr>
              <w:t>54,594</w:t>
            </w:r>
          </w:p>
        </w:tc>
        <w:tc>
          <w:tcPr>
            <w:tcW w:w="8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options exercised</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upon vesting of</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under employee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settlement for taxes and/or exercise price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related to equity awards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Unrealized losses on securities, net of tax</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Balances at June 30, 2022</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3"/>
              </w:rPr>
              <w:t>55,190</w:t>
            </w:r>
          </w:p>
        </w:tc>
        <w:tc>
          <w:tcPr>
            <w:tcW w:w="8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options exercised</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upon vesting of</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724</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under employee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settlement for taxes and/or exercise price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related to equity awards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Unrealized losses on securities, net of tax</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Balances at June 30, 2023</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3"/>
              </w:rPr>
              <w:t>55,912</w:t>
            </w:r>
          </w:p>
        </w:tc>
        <w:tc>
          <w:tcPr>
            <w:tcW w:w="8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options exercised</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upon vesting of</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awards</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684</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under employee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settlement for taxes and/or exercise price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related to equity awards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(1,050)</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Unrealized gains on securities, net of tax</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Balances at June 30, 2024</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3"/>
              </w:rPr>
              <w:t>55,514</w:t>
            </w:r>
          </w:p>
        </w:tc>
        <w:tc>
          <w:tcPr>
            <w:tcW w:w="80" w:type="dxa"/>
            <w:vAlign w:val="bottom"/>
          </w:tcPr>
          <w:p>
            <w:pPr>
              <w:spacing w:after="0"/>
              <w:rPr>
                <w:sz w:val="18"/>
                <w:szCs w:val="18"/>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-4448175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-4053840</wp:posOffset>
            </wp:positionV>
            <wp:extent cx="7132320" cy="2571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-3539490</wp:posOffset>
            </wp:positionV>
            <wp:extent cx="713232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-2973705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-2579370</wp:posOffset>
            </wp:positionV>
            <wp:extent cx="7132320" cy="2571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-2065020</wp:posOffset>
            </wp:positionV>
            <wp:extent cx="71323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-1499235</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-1104900</wp:posOffset>
            </wp:positionV>
            <wp:extent cx="7132320" cy="2571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-1782445</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-3256915</wp:posOffset>
            </wp:positionV>
            <wp:extent cx="713232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-4731385</wp:posOffset>
            </wp:positionV>
            <wp:extent cx="713232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11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241,718</w:t>
            </w: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235,091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476,930</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103,733</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103,733</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2,226</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2,226</w:t>
            </w:r>
          </w:p>
        </w:tc>
        <w:tc>
          <w:tcPr>
            <w:tcW w:w="0" w:type="dxa"/>
            <w:vAlign w:val="bottom"/>
          </w:tcPr>
          <w:p>
            <w:pPr>
              <w:spacing w:after="0"/>
              <w:rPr>
                <w:sz w:val="1"/>
                <w:szCs w:val="1"/>
                <w:color w:val="auto"/>
              </w:rPr>
            </w:pPr>
          </w:p>
        </w:tc>
      </w:tr>
      <w:tr>
        <w:trPr>
          <w:trHeight w:val="405"/>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5"/>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14,103</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14,103</w:t>
            </w:r>
          </w:p>
        </w:tc>
        <w:tc>
          <w:tcPr>
            <w:tcW w:w="0" w:type="dxa"/>
            <w:vAlign w:val="bottom"/>
          </w:tcPr>
          <w:p>
            <w:pPr>
              <w:spacing w:after="0"/>
              <w:rPr>
                <w:sz w:val="1"/>
                <w:szCs w:val="1"/>
                <w:color w:val="auto"/>
              </w:rPr>
            </w:pPr>
          </w:p>
        </w:tc>
      </w:tr>
      <w:tr>
        <w:trPr>
          <w:trHeight w:val="405"/>
        </w:trPr>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(71,937)</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(71,937)</w:t>
            </w:r>
          </w:p>
        </w:tc>
        <w:tc>
          <w:tcPr>
            <w:tcW w:w="0" w:type="dxa"/>
            <w:vAlign w:val="bottom"/>
          </w:tcPr>
          <w:p>
            <w:pPr>
              <w:spacing w:after="0"/>
              <w:rPr>
                <w:sz w:val="1"/>
                <w:szCs w:val="1"/>
                <w:color w:val="auto"/>
              </w:rPr>
            </w:pPr>
          </w:p>
        </w:tc>
      </w:tr>
      <w:tr>
        <w:trPr>
          <w:trHeight w:val="229"/>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90,777</w:t>
            </w:r>
          </w:p>
        </w:tc>
        <w:tc>
          <w:tcPr>
            <w:tcW w:w="0" w:type="dxa"/>
            <w:vAlign w:val="bottom"/>
          </w:tcPr>
          <w:p>
            <w:pPr>
              <w:spacing w:after="0"/>
              <w:rPr>
                <w:sz w:val="1"/>
                <w:szCs w:val="1"/>
                <w:color w:val="auto"/>
              </w:rPr>
            </w:pPr>
          </w:p>
        </w:tc>
      </w:tr>
      <w:tr>
        <w:trPr>
          <w:trHeight w:val="23"/>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289,843</w:t>
            </w: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325,868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613,463</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162,183</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162,183</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3,265</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0" w:type="dxa"/>
            <w:vAlign w:val="bottom"/>
          </w:tcPr>
          <w:p>
            <w:pPr>
              <w:spacing w:after="0"/>
              <w:rPr>
                <w:sz w:val="1"/>
                <w:szCs w:val="1"/>
                <w:color w:val="auto"/>
              </w:rPr>
            </w:pPr>
          </w:p>
        </w:tc>
      </w:tr>
      <w:tr>
        <w:trPr>
          <w:trHeight w:val="405"/>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405"/>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16,916</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16,916</w:t>
            </w:r>
          </w:p>
        </w:tc>
        <w:tc>
          <w:tcPr>
            <w:tcW w:w="0" w:type="dxa"/>
            <w:vAlign w:val="bottom"/>
          </w:tcPr>
          <w:p>
            <w:pPr>
              <w:spacing w:after="0"/>
              <w:rPr>
                <w:sz w:val="1"/>
                <w:szCs w:val="1"/>
                <w:color w:val="auto"/>
              </w:rPr>
            </w:pPr>
          </w:p>
        </w:tc>
      </w:tr>
      <w:tr>
        <w:trPr>
          <w:trHeight w:val="405"/>
        </w:trPr>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(91,575)</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(91,575)</w:t>
            </w:r>
          </w:p>
        </w:tc>
        <w:tc>
          <w:tcPr>
            <w:tcW w:w="0" w:type="dxa"/>
            <w:vAlign w:val="bottom"/>
          </w:tcPr>
          <w:p>
            <w:pPr>
              <w:spacing w:after="0"/>
              <w:rPr>
                <w:sz w:val="1"/>
                <w:szCs w:val="1"/>
                <w:color w:val="auto"/>
              </w:rPr>
            </w:pPr>
          </w:p>
        </w:tc>
      </w:tr>
      <w:tr>
        <w:trPr>
          <w:trHeight w:val="230"/>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140,822</w:t>
            </w:r>
          </w:p>
        </w:tc>
        <w:tc>
          <w:tcPr>
            <w:tcW w:w="0" w:type="dxa"/>
            <w:vAlign w:val="bottom"/>
          </w:tcPr>
          <w:p>
            <w:pPr>
              <w:spacing w:after="0"/>
              <w:rPr>
                <w:sz w:val="1"/>
                <w:szCs w:val="1"/>
                <w:color w:val="auto"/>
              </w:rPr>
            </w:pPr>
          </w:p>
        </w:tc>
      </w:tr>
      <w:tr>
        <w:trPr>
          <w:trHeight w:val="23"/>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380,632</w:t>
            </w: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466,690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(4,515)</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842,863</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163,602</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163,602</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2,083</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0" w:type="dxa"/>
            <w:vAlign w:val="bottom"/>
          </w:tcPr>
          <w:p>
            <w:pPr>
              <w:spacing w:after="0"/>
              <w:rPr>
                <w:sz w:val="1"/>
                <w:szCs w:val="1"/>
                <w:color w:val="auto"/>
              </w:rPr>
            </w:pPr>
          </w:p>
        </w:tc>
      </w:tr>
      <w:tr>
        <w:trPr>
          <w:trHeight w:val="405"/>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5"/>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19,143</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19,143</w:t>
            </w:r>
          </w:p>
        </w:tc>
        <w:tc>
          <w:tcPr>
            <w:tcW w:w="0" w:type="dxa"/>
            <w:vAlign w:val="bottom"/>
          </w:tcPr>
          <w:p>
            <w:pPr>
              <w:spacing w:after="0"/>
              <w:rPr>
                <w:sz w:val="1"/>
                <w:szCs w:val="1"/>
                <w:color w:val="auto"/>
              </w:rPr>
            </w:pPr>
          </w:p>
        </w:tc>
      </w:tr>
      <w:tr>
        <w:trPr>
          <w:trHeight w:val="405"/>
        </w:trPr>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(54,632)</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(54,632)</w:t>
            </w:r>
          </w:p>
        </w:tc>
        <w:tc>
          <w:tcPr>
            <w:tcW w:w="0" w:type="dxa"/>
            <w:vAlign w:val="bottom"/>
          </w:tcPr>
          <w:p>
            <w:pPr>
              <w:spacing w:after="0"/>
              <w:rPr>
                <w:sz w:val="1"/>
                <w:szCs w:val="1"/>
                <w:color w:val="auto"/>
              </w:rPr>
            </w:pPr>
          </w:p>
        </w:tc>
      </w:tr>
      <w:tr>
        <w:trPr>
          <w:trHeight w:val="216"/>
        </w:trPr>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(150,340)</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(150,340)</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206,766</w:t>
            </w:r>
          </w:p>
        </w:tc>
        <w:tc>
          <w:tcPr>
            <w:tcW w:w="0" w:type="dxa"/>
            <w:vAlign w:val="bottom"/>
          </w:tcPr>
          <w:p>
            <w:pPr>
              <w:spacing w:after="0"/>
              <w:rPr>
                <w:sz w:val="1"/>
                <w:szCs w:val="1"/>
                <w:color w:val="auto"/>
              </w:rPr>
            </w:pPr>
          </w:p>
        </w:tc>
      </w:tr>
      <w:tr>
        <w:trPr>
          <w:trHeight w:val="23"/>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360,488</w:t>
            </w: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673,456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1,033,064</w:t>
            </w: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-33655</wp:posOffset>
            </wp:positionV>
            <wp:extent cx="8572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-7620</wp:posOffset>
            </wp:positionV>
            <wp:extent cx="8572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-179070</wp:posOffset>
            </wp:positionV>
            <wp:extent cx="8572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260"/>
            <w:col w:w="5360"/>
          </w:cols>
          <w:pgMar w:left="320" w:top="121" w:right="339" w:bottom="1440" w:gutter="0" w:footer="0" w:header="0"/>
          <w:type w:val="continuous"/>
        </w:sectPr>
      </w:pP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90,777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140,822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206,766</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146,032</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50,218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60,866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76,426</w:t>
            </w:r>
          </w:p>
        </w:tc>
        <w:tc>
          <w:tcPr>
            <w:tcW w:w="0" w:type="dxa"/>
            <w:vAlign w:val="bottom"/>
          </w:tcPr>
          <w:p>
            <w:pPr>
              <w:spacing w:after="0"/>
              <w:rPr>
                <w:sz w:val="1"/>
                <w:szCs w:val="1"/>
                <w:color w:val="auto"/>
              </w:rPr>
            </w:pP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27,835</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0" w:type="dxa"/>
            <w:vAlign w:val="bottom"/>
          </w:tcPr>
          <w:p>
            <w:pPr>
              <w:spacing w:after="0"/>
              <w:rPr>
                <w:sz w:val="1"/>
                <w:szCs w:val="1"/>
                <w:color w:val="auto"/>
              </w:rPr>
            </w:pP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amortization of premiums (accretion of discounts) on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(4,378)</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0" w:type="dxa"/>
            <w:vAlign w:val="bottom"/>
          </w:tcPr>
          <w:p>
            <w:pPr>
              <w:spacing w:after="0"/>
              <w:rPr>
                <w:sz w:val="1"/>
                <w:szCs w:val="1"/>
                <w:color w:val="auto"/>
              </w:rPr>
            </w:pP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(8,186)</w:t>
            </w:r>
          </w:p>
        </w:tc>
        <w:tc>
          <w:tcPr>
            <w:tcW w:w="0" w:type="dxa"/>
            <w:vAlign w:val="bottom"/>
          </w:tcPr>
          <w:p>
            <w:pPr>
              <w:spacing w:after="0"/>
              <w:rPr>
                <w:sz w:val="1"/>
                <w:szCs w:val="1"/>
                <w:color w:val="auto"/>
              </w:rPr>
            </w:pPr>
          </w:p>
        </w:tc>
      </w:tr>
      <w:tr>
        <w:trPr>
          <w:trHeight w:val="193"/>
        </w:trPr>
        <w:tc>
          <w:tcPr>
            <w:tcW w:w="66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Deferred contract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(70,337)</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0" w:type="dxa"/>
            <w:vAlign w:val="bottom"/>
          </w:tcPr>
          <w:p>
            <w:pPr>
              <w:spacing w:after="0"/>
              <w:rPr>
                <w:sz w:val="1"/>
                <w:szCs w:val="1"/>
                <w:color w:val="auto"/>
              </w:rPr>
            </w:pPr>
          </w:p>
        </w:tc>
      </w:tr>
      <w:tr>
        <w:trPr>
          <w:trHeight w:val="193"/>
        </w:trPr>
        <w:tc>
          <w:tcPr>
            <w:tcW w:w="66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13,315</w:t>
            </w:r>
          </w:p>
        </w:tc>
        <w:tc>
          <w:tcPr>
            <w:tcW w:w="0" w:type="dxa"/>
            <w:vAlign w:val="bottom"/>
          </w:tcPr>
          <w:p>
            <w:pPr>
              <w:spacing w:after="0"/>
              <w:rPr>
                <w:sz w:val="1"/>
                <w:szCs w:val="1"/>
                <w:color w:val="auto"/>
              </w:rPr>
            </w:pPr>
          </w:p>
        </w:tc>
      </w:tr>
      <w:tr>
        <w:trPr>
          <w:trHeight w:val="186"/>
        </w:trPr>
        <w:tc>
          <w:tcPr>
            <w:tcW w:w="66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155,053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282,723</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384,670</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available-for-sale securities and other</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(433,962)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(598,895)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(304,465)</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and maturities of available-for-sale securities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116,848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446,751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294,438</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Capitalized internal-use software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(60,726)</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(18,028)</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(12,031)</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0" w:type="dxa"/>
            <w:vAlign w:val="bottom"/>
          </w:tcPr>
          <w:p>
            <w:pPr>
              <w:spacing w:after="0"/>
              <w:rPr>
                <w:sz w:val="1"/>
                <w:szCs w:val="1"/>
                <w:color w:val="auto"/>
              </w:rPr>
            </w:pPr>
          </w:p>
        </w:tc>
      </w:tr>
      <w:tr>
        <w:trPr>
          <w:trHeight w:val="186"/>
        </w:trPr>
        <w:tc>
          <w:tcPr>
            <w:tcW w:w="66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(479,774)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(220,162)</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(101,891)</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change in client fund obligations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2,228,038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(1,362,421)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325,056</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Borrowings under credit facility</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 of credit facility</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19,143</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(69,761)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(88,312)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(52,549)</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2,172,293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(1,434,702)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141,578</w:t>
            </w:r>
          </w:p>
        </w:tc>
        <w:tc>
          <w:tcPr>
            <w:tcW w:w="0" w:type="dxa"/>
            <w:vAlign w:val="bottom"/>
          </w:tcPr>
          <w:p>
            <w:pPr>
              <w:spacing w:after="0"/>
              <w:rPr>
                <w:sz w:val="1"/>
                <w:szCs w:val="1"/>
                <w:color w:val="auto"/>
              </w:rPr>
            </w:pPr>
          </w:p>
        </w:tc>
      </w:tr>
      <w:tr>
        <w:trPr>
          <w:trHeight w:val="18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funds held for clients' cash and cash equivalents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1,847,572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(1,372,141)</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424,357</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equivalents—beginning of year</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1,945,881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3,793,453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2,421,312</w:t>
            </w: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equivalents—end of year</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3,793,453</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2,421,312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2,845,669</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property and equipment and internal-use software, accrued but not paid</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 assumed for acquisitions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47,619</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Reconciliation of cash, cash equivalents and funds held for clients' cash and cash equivalents to the Consolidated</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Sheets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139,756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288,767</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401,811</w:t>
            </w: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Funds held for clients' cash and cash equivalents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3,653,697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2,132,545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2,443,858</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funds held for clients' cash and cash equivalents</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3,793,453</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2,421,312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2,845,669</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Paylocity Holding Corporation (the “Company”) is a cloud-based provider of human capital management and payroll software solutions that deliver a comprehensive platform for the modern workforce. Services are provided in a Software-as-a-Service (“SaaS”) delivery model. The Company’s comprehensive product suite delivers a unified platform that helps businesses attract and retain talent, build culture and connection with their employees, and streamline and automate HR and payroll processes.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900" w:hanging="244"/>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Basis of Presentation, Consolidation, and Use of Estimates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pursuant to the rules and regulations of the United States Securities and Exchange Commission (the “SEC”).</w:t>
      </w:r>
    </w:p>
    <w:p>
      <w:pPr>
        <w:spacing w:after="0" w:line="16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8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All intercompany accounts and transactions have been eliminated in consolidation.</w:t>
      </w:r>
    </w:p>
    <w:p>
      <w:pPr>
        <w:spacing w:after="0" w:line="158" w:lineRule="exact"/>
        <w:rPr>
          <w:sz w:val="20"/>
          <w:szCs w:val="20"/>
          <w:color w:val="auto"/>
        </w:rPr>
      </w:pPr>
    </w:p>
    <w:p>
      <w:pPr>
        <w:ind w:left="920" w:hanging="264"/>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Concentrations of Risk</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regularly maintains cash balances that exceed Federal Depository Insurance Corporation limits. No individual client represents 10% or more of total revenues. For all periods presented, substantially all of total revenues were generated by clients in the United States.</w:t>
      </w:r>
    </w:p>
    <w:p>
      <w:pPr>
        <w:spacing w:after="0" w:line="158" w:lineRule="exact"/>
        <w:rPr>
          <w:sz w:val="20"/>
          <w:szCs w:val="20"/>
          <w:color w:val="auto"/>
        </w:rPr>
      </w:pPr>
    </w:p>
    <w:p>
      <w:pPr>
        <w:ind w:left="900" w:hanging="24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Any interest earned on the Company’s cash and cash equivalents is reported as Other income (expense) in the Consolidated Statements of Operations and Comprehensive Income.</w:t>
      </w:r>
    </w:p>
    <w:p>
      <w:pPr>
        <w:spacing w:after="0" w:line="172" w:lineRule="exact"/>
        <w:rPr>
          <w:sz w:val="20"/>
          <w:szCs w:val="20"/>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Funds Held For Clients and Client Fund Obligations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obtains funds from clients in advance of performing payroll and payroll tax filing services on behalf of those clients. Funds held for clients represent assets that are used solely for the purposes of satisfying the obligations to remit funds relating to payroll and payroll tax filing services. The Company has classified Funds held for clients as a current asset since these funds are held solely for the purposes of satisfying the client fund obligations. Funds held for clients is primarily comprised of cash and cash equivalents invested in demand deposit accounts. The Company also invests a portion of its funds held for clients and corporate funds in marketable securities.</w:t>
      </w:r>
    </w:p>
    <w:p>
      <w:pPr>
        <w:spacing w:after="0" w:line="18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Marketable securities classified as available-for-sale are recorded at fair value on the Consolidated Balance Sheets. Unrealized gains and losses, net of applicable income taxes, are reported as Other comprehensive income (loss) in the Consolidated Statements of Operations and Comprehensive Income. Interest on marketable securities included in Funds held for clients is reported as Interest income on funds held for clients in the Consolidated Statements of Operations and Comprehensive Income.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whether a decline in an individual security’s fair value as compared to its amortized cost basis resulted from credit loss or other factors. If the Company determines that an individual security’s unrealized loss results from credit impairment, it compares the present value of cash flows expected to be collected from the impaired security with its amortized cost basis. If the security’s amortized cost basis exceeds the present value of expected cash flows, the Company records credit impairment loss through an allowance for credit loss. The Company did not recognize any credit impairment losses during the years ended June 30, 2022, 2023 or 2024.</w:t>
      </w:r>
    </w:p>
    <w:p>
      <w:pPr>
        <w:spacing w:after="0" w:line="18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Client fund obligations represent the Company’s contractual obligations to remit funds to satisfy clients’ payroll and tax payment obligations and are recorded in the accompanying Consolidated Balance Sheets at the time that the Company obtains funds from clients. The client fund obligations represent liabilities that will be repaid within one year of the balance sheet date.</w:t>
      </w:r>
    </w:p>
    <w:p>
      <w:pPr>
        <w:spacing w:after="0" w:line="172" w:lineRule="exact"/>
        <w:rPr>
          <w:sz w:val="20"/>
          <w:szCs w:val="20"/>
          <w:color w:val="auto"/>
        </w:rPr>
      </w:pPr>
    </w:p>
    <w:p>
      <w:pPr>
        <w:ind w:left="900" w:hanging="244"/>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is comprised of trade receivables, accrued interest receivable on funds held for clients and other receivables. Trade receivables are recorded at the invoiced amount and do not bear interest. Amounts collected on accounts receivable are included in Net cash provided by operating activities in the Consolidated Statements of Cash Flows. The Company maintains an allowance for credit losses reflecting expected credit losses in its accounts receivable portfolio. In establishing the required allowance, management considers historical losses adjusted to take into account current market conditions and the Company’s clients’ financial conditions, the amount of receivables in dispute, the current receivables aging and current payment patterns. The Company reviews its allowance for credit losses quarterly. Past due balances over 60 days and over a specified amount are reviewed individually for collectability. All other balances are reviewed on a pooled basis. Account balances are charged off against the allowance after all commercially reasonable means of collection have been exhausted and the potential for recovery is considered remote. The Company does not have any off-balance-sheet credit exposure related to its clients.</w:t>
      </w:r>
    </w:p>
    <w:p>
      <w:pPr>
        <w:spacing w:after="0" w:line="184" w:lineRule="exact"/>
        <w:rPr>
          <w:sz w:val="20"/>
          <w:szCs w:val="20"/>
          <w:color w:val="auto"/>
        </w:rPr>
      </w:pPr>
    </w:p>
    <w:p>
      <w:pPr>
        <w:ind w:left="880" w:hanging="224"/>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 Management evaluates deferred contract costs for impairment if changes in circumstances occur that could impact the recoverability of the costs to obtain or fulfill contracts with the Company’s customers.</w:t>
      </w:r>
    </w:p>
    <w:p>
      <w:pPr>
        <w:spacing w:after="0" w:line="185" w:lineRule="exact"/>
        <w:rPr>
          <w:sz w:val="20"/>
          <w:szCs w:val="20"/>
          <w:color w:val="auto"/>
        </w:rPr>
      </w:pPr>
    </w:p>
    <w:p>
      <w:pPr>
        <w:ind w:left="920" w:hanging="264"/>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Capitalized Internal-Use Software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capitalizes internal-use software costs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The Company also capitalizes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such as consulting fees. Capitalized employee costs are limited to the time directly spent on such projects.</w:t>
      </w:r>
    </w:p>
    <w:p>
      <w:pPr>
        <w:spacing w:after="0" w:line="18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Capitalized internal-use software costs are amortized on a straight-line basis over their estimated useful lives, which are generally two to three years while certain projects that support the Company’s main processing activities have an estimated useful life of ten years. Management evaluates the useful lives of these assets on an annual basis and tests for impairment whenever events or changes in circumstances occur that could impact the recoverability of these assets.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20" w:hanging="264"/>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Property and Equipment and Long-Lived Assets</w:t>
      </w:r>
    </w:p>
    <w:p>
      <w:pPr>
        <w:spacing w:after="0" w:line="229"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Property and equipment are stated at cost. Depreciation on property and equipment is calculated on the straight-line method over the estimated useful lives of the assets, generally three to seven years for most classes of assets, or over the term of the related lease for leasehold improvements.</w:t>
      </w:r>
    </w:p>
    <w:p>
      <w:pPr>
        <w:spacing w:after="0" w:line="14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83" w:lineRule="exact"/>
        <w:rPr>
          <w:sz w:val="20"/>
          <w:szCs w:val="20"/>
          <w:color w:val="auto"/>
        </w:rPr>
      </w:pPr>
    </w:p>
    <w:p>
      <w:pPr>
        <w:ind w:left="880" w:hanging="224"/>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ASC 805, Business Combinations using the acquisition method of accounting. It allocates the purchase price consideration associated with its acquisitions to the fair values of assets acquired and liabilities assumed at their respective acquisition dates, with the excess recorded to goodwill. Estimating the fair values of assets acquired and liabilities assumed requires the use of significant judgments and estimates, which are inherently uncertain and subject to refinement as additional information becomes available. Adjustments to the fair values of assets acquired and liabilities assumed may be recorded during the measurement period, which may be up to one year from the acquisition date, with the corresponding offset to goodwill. The Company may engage a valuation specialist to assist in the fair value measurement of assets acquired and liabilities assumed for each acquisition.</w:t>
      </w:r>
    </w:p>
    <w:p>
      <w:pPr>
        <w:spacing w:after="0" w:line="185" w:lineRule="exact"/>
        <w:rPr>
          <w:sz w:val="20"/>
          <w:szCs w:val="20"/>
          <w:color w:val="auto"/>
        </w:rPr>
      </w:pPr>
    </w:p>
    <w:p>
      <w:pPr>
        <w:ind w:left="880" w:hanging="224"/>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Intangible Assets, Net of Accumulated Amortization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Intangible assets are comprised primarily of acquired client relationships, proprietary technology, trade names and non-solicitation agreements and are reported net of accumulated amortization on the Consolidated Balance Sheets. The Company uses the straight-line method of amortization to amortize client relationships over a five to nine-year period from the date of acquisition, proprietary technology over a five to seven-year period from the date of acquisition and trade names over a five-year period from the date of acquisition. Non-solicitation agreements use the straight-line method of amortization over the term of the related agreements. The Company tests intangible assets for potential impairment when events or changes in circumstances indicate that the carrying value of such assets may not be recoverable.</w:t>
      </w:r>
    </w:p>
    <w:p>
      <w:pPr>
        <w:spacing w:after="0" w:line="183" w:lineRule="exact"/>
        <w:rPr>
          <w:sz w:val="20"/>
          <w:szCs w:val="20"/>
          <w:color w:val="auto"/>
        </w:rPr>
      </w:pPr>
    </w:p>
    <w:p>
      <w:pPr>
        <w:ind w:left="920" w:hanging="264"/>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Goodwill is an asset representing the future economic benefits arising from other assets acquired in a business combination that are not individually identified and separately recognized. Goodwill is not amortized, but instead is tested for impairment at the reporting unit level. If the fair value of the reporting unit is less than its carrying amount, the Company would record an impairment charge for the amount by which the carrying amount exceeds the reporting unit’s fair value, but the loss recognized should not exceed the amount of goodwill allocated to the reporting unit.</w:t>
      </w:r>
    </w:p>
    <w:p>
      <w:pPr>
        <w:spacing w:after="0" w:line="18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performs its annual impairment review of goodwill in its fiscal fourth quarter or when a triggering event occurs between annual impairment tests. No impairment was recorded in fiscal 2022, 2023 or 2024 as a result of the Company’s qualitative assessments over its single reporting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agreement inception. Operating leases are included in Operating lease right-of-use assets, Accrued expenses, and Long-term operating lease liabilities in the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based on the information available at the lease commencement date. The operating lease right-of-use assets also include any lease payments made at or before the commencement date and are reduced by any lease incentives received. The Company’s lease terms may include options to renew or extend a lease. The Company recognizes amounts in Operating lease right-of-use assets and Operating lease liabilities when it is reasonably certain it will exercise such options. Leases with an initial term of 12 months or less are not recorded on the balance sheet. Lease expense is recognized on a straight-line basis over the expected lease term.</w:t>
      </w:r>
    </w:p>
    <w:p>
      <w:pPr>
        <w:spacing w:after="0" w:line="18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Company’s most significant leases are real estate leases of office space. The remaining operating leases are primarily comprised of leases of printers and other equipment. For all leases, the Company has elected the practical expedient permitted under Topic 842 to combine lease and non-lease components. As a result, non-lease components, such as common area or equipment maintenance charges, are accounted for as a single lease element. The Company does not have any material finance leases.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Fixed lease expense payments are recognized on a straight-line basis over the lease term. Variable lease payments vary because of changes in facts or circumstances occurring after the commencement date, other than the passage of time, and are often due to changes in an external market rate or the value of an index (e.g., Consumer Price Index). Certain of the Company’s operating lease agreements include variable payments that are passed through by the lessor, such as insurance, taxes, and common area maintenance, payments based on the usage of the asset, and rental payments adjusted periodically for inflation. Variable payments are expensed as incurred and included within variable lease costs.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lease agreements do not contain material residual value guarantees, restrictions, or covenants.</w:t>
      </w:r>
    </w:p>
    <w:p>
      <w:pPr>
        <w:spacing w:after="0" w:line="221" w:lineRule="exact"/>
        <w:rPr>
          <w:sz w:val="20"/>
          <w:szCs w:val="20"/>
          <w:color w:val="auto"/>
        </w:rPr>
      </w:pPr>
    </w:p>
    <w:p>
      <w:pPr>
        <w:ind w:left="960" w:hanging="30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3"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Deferred tax assets may be reduced by a valuation allowance to the extent we determine it is more likely than not that some portion or all of the deferred tax assets will not be realized. Management judgment is required in determining the period in which the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The Company is also required to schedule future taxable income in accordance with accounting standards that address income taxes to assess the appropriateness of a valuation allowance, which further requires the exercise of significant management judgment. The Company’s accounting for deferred tax consequences represents the best estimate of those future events.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When applicable, the Company records interest and penalties as an element of income tax expense.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14 for additional information on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20" w:hanging="264"/>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retires all shares repurchased pursuant to its approved share repurchase program (the "Repurchase Program"). The Company records the share purchase price and the amount of any excise taxes payable on shares repurchased as a reduction of Additional paid-in capital on its Consolidated Balance Sheets. If the Company exhausts Additional paid-in capital, it will record the excess as a reduction to Retained earnings. For more information on the Repurchase Program, refer to Note 15.</w:t>
      </w:r>
    </w:p>
    <w:p>
      <w:pPr>
        <w:spacing w:after="0" w:line="176" w:lineRule="exact"/>
        <w:rPr>
          <w:sz w:val="20"/>
          <w:szCs w:val="20"/>
          <w:color w:val="auto"/>
        </w:rPr>
      </w:pPr>
    </w:p>
    <w:p>
      <w:pPr>
        <w:ind w:left="920" w:hanging="264"/>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revenue when it transfers control of goods or services to a customer in an amount that reflects the consideration to which it expects to be entitled to for those goods or services based on the following five steps:</w:t>
      </w:r>
    </w:p>
    <w:p>
      <w:pPr>
        <w:spacing w:after="0" w:line="162" w:lineRule="exact"/>
        <w:rPr>
          <w:sz w:val="20"/>
          <w:szCs w:val="20"/>
          <w:color w:val="auto"/>
        </w:rPr>
      </w:pPr>
    </w:p>
    <w:p>
      <w:pPr>
        <w:ind w:left="960" w:hanging="30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performance obligations in the contract; and</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derives its revenue from contracts substantially all from recurring service fees. While the majority of its agreements are generally cancellable by the client on 60 days’ notice or less, the Company offers term agreements to its clients, which are generally two years in length. Recurring fees are derived from cloud-based payroll and HCM software solutions which includes payroll processing and related services such as payroll reporting and tax filing services, time and labor services, time clock rentals, and HR-related software solutions, including employee management and benefits enrollment and administration, substantially all of which are delivered on a monthly basis.</w:t>
      </w:r>
    </w:p>
    <w:p>
      <w:pPr>
        <w:spacing w:after="0" w:line="18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recurring fees are satisfied over time as services are provided. The performance obligations related to recurring services are generally satisfied monthly as services are provided, with fees charged and collected based on a per-employee-per-month fee. The Company has certain optional performance obligations that are satisfied at a point in time including the sales of time clocks and W-2 services.</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Implementation services and other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 As a result, implementation fees are deferred and amortized generally over a period up to 24 months.</w:t>
      </w:r>
    </w:p>
    <w:p>
      <w:pPr>
        <w:spacing w:after="0" w:line="18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Sales taxes collected from clients and remitted to governmental authorities where applicable are accounted for on a net basis and therefore are excluded from revenues in the Consolidated Statements of Operations and Comprehensive Income.</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Interest income earned on funds held for clients is recognized in Interest income on funds held for clients when earned as the collection, holding and remittance of these funds are components of providing services to clients.</w:t>
      </w:r>
    </w:p>
    <w:p>
      <w:pPr>
        <w:spacing w:after="0" w:line="158" w:lineRule="exact"/>
        <w:rPr>
          <w:sz w:val="20"/>
          <w:szCs w:val="20"/>
          <w:color w:val="auto"/>
        </w:rPr>
      </w:pPr>
    </w:p>
    <w:p>
      <w:pPr>
        <w:ind w:left="920" w:hanging="264"/>
        <w:spacing w:after="0"/>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Cost of revenues consists primarily of costs to provide HCM and payroll solutions relating to the provision of ongoing client support and implementation activities and also includes amortization of capitalized internal-use software and certain acquired intangibles. The Company generally expenses these costs when incurred except for costs related to the implementation of the Company’s proprietary products. These costs are capitalized and amortized over a period of 7 years.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20" w:hanging="264"/>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Advertising</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costs amounted to $8,335, $15,700 and $22,414 for the years ended June 30, 2022, 2023 and 2024, respectively.</w:t>
      </w:r>
    </w:p>
    <w:p>
      <w:pPr>
        <w:spacing w:after="0" w:line="158" w:lineRule="exact"/>
        <w:rPr>
          <w:sz w:val="20"/>
          <w:szCs w:val="20"/>
          <w:color w:val="auto"/>
        </w:rPr>
      </w:pPr>
    </w:p>
    <w:p>
      <w:pPr>
        <w:ind w:left="880" w:hanging="224"/>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all employee stock-based compensation as a cost in the financial statements. Equity-classified awards, comprised of restricted stock units and market share units, are measured at the grant date fair value of each award and expense is recognized, net of assumed forfeitures, on a straight-line basis over the requisite service period for each separately vesting portion of each award. For market share units, the Company estimates grant date fair value using a discrete model based on multiple stock price-paths developed through the use of Monte Carlo simulation. For estimated shares purchasable under the 2014 Employee Stock Purchase Plan (“ESPP”), the Company estimates grant date fair value using the Black-Scholes option-pricing model and recognizes applicable expense on a straight-line basis over each purchase period. The Company may update the assumed forfeiture rates based on historical experience as appropriate.</w:t>
      </w:r>
    </w:p>
    <w:p>
      <w:pPr>
        <w:spacing w:after="0" w:line="185" w:lineRule="exact"/>
        <w:rPr>
          <w:sz w:val="20"/>
          <w:szCs w:val="20"/>
          <w:color w:val="auto"/>
        </w:rPr>
      </w:pPr>
    </w:p>
    <w:p>
      <w:pPr>
        <w:ind w:left="900" w:hanging="244"/>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2" w:lineRule="exact"/>
        <w:rPr>
          <w:sz w:val="20"/>
          <w:szCs w:val="20"/>
          <w:color w:val="auto"/>
        </w:rPr>
      </w:pPr>
    </w:p>
    <w:p>
      <w:pPr>
        <w:ind w:left="880" w:hanging="224"/>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reviews the financial results of the Company in total when evaluating financial performance and for purposes of allocating resources. The Company has thus determined that it operates in a single reporting segment. For fiscal 2024, the Company’s chief operation decision maker was the Company’s Co-Chief Executive Officers.</w:t>
      </w:r>
    </w:p>
    <w:p>
      <w:pPr>
        <w:spacing w:after="0" w:line="172" w:lineRule="exact"/>
        <w:rPr>
          <w:sz w:val="20"/>
          <w:szCs w:val="20"/>
          <w:color w:val="auto"/>
        </w:rPr>
      </w:pPr>
    </w:p>
    <w:p>
      <w:pPr>
        <w:ind w:left="920" w:hanging="264"/>
        <w:spacing w:after="0"/>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2023-07, Segment Reporting (Topic 280): Improvements to Reportable Segment Disclosures ("ASU 2023-07"). ASU 2023-07 primarily requires disclosure of significant segment expenses that are regularly provided to the chief operating decision maker along with other incremental segment information. The ASU is effective for fiscal years beginning after December 15, 2023 and interim periods within fiscal years beginning after December 15, 2024, with early adoption permitted, and will be applied retrospectively to all prior periods presented in the financial statements. The Company continues to evaluate the impact of the ASU on its related financial statement disclosures including the timing of adoption.</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 ("ASU 2023-09"). ASU 2023-09 mostly requires, on an annual basis, disclosure of specific categories in an entity's effective tax rate reconciliation and income taxes paid disaggregated by jurisdiction. The incremental disclosures may be presented on a prospective or retrospective basis. The ASU is effective for fiscal years beginning after December 15, 2024 with early adoption permitted. The Company is currently assessing the impact of this ASU to its consolidated financial statements and related disclosures and is evaluating the method and timing of adoption.</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revenue by Recurring fees and Implementation services and other, which the Company believes depicts the nature, amount and timing of its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fees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818,137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1,056,808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1,227,150</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29,557</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54,530</w:t>
            </w:r>
          </w:p>
        </w:tc>
      </w:tr>
      <w:tr>
        <w:trPr>
          <w:trHeight w:val="28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847,694</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1,098,036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1,281,680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for recurring revenue is consistent with the timing of invoicing as they occur monthly as services are provided based on a per-employee-per-month fee. As such, the Company does not generally recognize contract assets or liabilities related to recurring revenue.</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defers and amortizes nonrefundable upfront fees related to implementation services generally over a period up to 24 months based on the type of contract. The following table summarizes the changes in deferred revenue (i.e., contract liability) related to these nonrefundable upfront fees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43,463</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(30,607)</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(41,197)</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22,617</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24,883</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Deferred revenue related to these nonrefundable upfront fees are recorded within Accrued expenses and Other long-term liabilities on the Consolidated Balance Sheets. The Company expects to recognize these deferred revenue balances of $20,849 in fiscal 2025, $3,893 in fiscal 2026, and $141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deferred contract costs balances and the related amortization expense for these deferred contract costs: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June 30, 2023</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58"/>
        </w:trPr>
        <w:tc>
          <w:tcPr>
            <w:tcW w:w="5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3"/>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218,965</w:t>
            </w: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72,762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153,366</w:t>
            </w:r>
          </w:p>
        </w:tc>
      </w:tr>
      <w:tr>
        <w:trPr>
          <w:trHeight w:val="281"/>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153,761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372,331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504"/>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June 30, 2024</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
        </w:trPr>
        <w:tc>
          <w:tcPr>
            <w:tcW w:w="5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58"/>
        </w:trPr>
        <w:tc>
          <w:tcPr>
            <w:tcW w:w="5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4"/>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250,136</w:t>
            </w: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153,366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78,599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195,726</w:t>
            </w:r>
          </w:p>
        </w:tc>
      </w:tr>
      <w:tr>
        <w:trPr>
          <w:trHeight w:val="281"/>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372,331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445,862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Deferred contract costs are recorded within Deferred contract costs and Long-term deferred contract costs on the Consolidated Balance Sheets. Amortization of deferred contract costs is primarily recorded in Cost of revenues and Sales and marketing in the Consolidated Statements of Operations and Comprehensive Income. The Company did not record any impairment losses associated with its deferred contract costs during the years ended June 30, 2022, 2023 or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has applied the practical expedients as allowed under Topic 606 and elects not to disclose the value of unsatisfied performance obligations for contracts that have an original expected duration of one year or less and contracts for which the variable consideration is allocated entirely to wholly unsatisfied performance obligations. The Company’s remaining performance obligations related to minimum monthly fees on its term-based contracts was approximately $76,978 as of June 30, 2024, which will be generally recognized over the next 24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and Cash Equivalents and Funds Held for Clients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cash equivalents and Funds held for clients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288,767</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2,132,545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2,132,545</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109,877</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68,159</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158,839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494,741</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488,870</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2,916,053</w:t>
            </w:r>
          </w:p>
        </w:tc>
        <w:tc>
          <w:tcPr>
            <w:tcW w:w="100" w:type="dxa"/>
            <w:vAlign w:val="bottom"/>
          </w:tcPr>
          <w:p>
            <w:pPr>
              <w:spacing w:after="0"/>
              <w:rPr>
                <w:sz w:val="22"/>
                <w:szCs w:val="22"/>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2"/>
                <w:szCs w:val="22"/>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2,910,182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314,728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314,820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124,889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123,952</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509,145</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3,354,814</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3,353,871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available-for-sale securities were included in Funds held for clients at June 30, 2023 and 2024.</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funds held for clients’ cash and cash equivalents included demand deposit accounts and money market funds as of June 30, 2023 and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Classification of investments on the consolidated balance sheets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2,621,415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2,952,060</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2,910,182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3,353,871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Available-for-sale securities that have been in an unrealized loss position for a period of less and greater than 12 months as of June 30, 2023 and 2024 had fair market value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jc w:val="center"/>
              <w:ind w:left="736"/>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9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gridSpan w:val="5"/>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6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1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96,665</w:t>
            </w:r>
          </w:p>
        </w:tc>
        <w:tc>
          <w:tcPr>
            <w:tcW w:w="0" w:type="dxa"/>
            <w:vAlign w:val="bottom"/>
          </w:tcPr>
          <w:p>
            <w:pPr>
              <w:spacing w:after="0"/>
              <w:rPr>
                <w:sz w:val="1"/>
                <w:szCs w:val="1"/>
                <w:color w:val="auto"/>
              </w:rPr>
            </w:pPr>
          </w:p>
        </w:tc>
      </w:tr>
      <w:tr>
        <w:trPr>
          <w:trHeight w:val="25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103,896</w:t>
            </w:r>
          </w:p>
        </w:tc>
        <w:tc>
          <w:tcPr>
            <w:tcW w:w="0" w:type="dxa"/>
            <w:vAlign w:val="bottom"/>
          </w:tcPr>
          <w:p>
            <w:pPr>
              <w:spacing w:after="0"/>
              <w:rPr>
                <w:sz w:val="1"/>
                <w:szCs w:val="1"/>
                <w:color w:val="auto"/>
              </w:rPr>
            </w:pPr>
          </w:p>
        </w:tc>
      </w:tr>
      <w:tr>
        <w:trPr>
          <w:trHeight w:val="26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25,351</w:t>
            </w:r>
          </w:p>
        </w:tc>
        <w:tc>
          <w:tcPr>
            <w:tcW w:w="0" w:type="dxa"/>
            <w:vAlign w:val="bottom"/>
          </w:tcPr>
          <w:p>
            <w:pPr>
              <w:spacing w:after="0"/>
              <w:rPr>
                <w:sz w:val="1"/>
                <w:szCs w:val="1"/>
                <w:color w:val="auto"/>
              </w:rPr>
            </w:pPr>
          </w:p>
        </w:tc>
      </w:tr>
      <w:tr>
        <w:trPr>
          <w:trHeight w:val="25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52,254</w:t>
            </w:r>
          </w:p>
        </w:tc>
        <w:tc>
          <w:tcPr>
            <w:tcW w:w="0" w:type="dxa"/>
            <w:vAlign w:val="bottom"/>
          </w:tcPr>
          <w:p>
            <w:pPr>
              <w:spacing w:after="0"/>
              <w:rPr>
                <w:sz w:val="1"/>
                <w:szCs w:val="1"/>
                <w:color w:val="auto"/>
              </w:rPr>
            </w:pPr>
          </w:p>
        </w:tc>
      </w:tr>
      <w:tr>
        <w:trPr>
          <w:trHeight w:val="26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0" w:type="dxa"/>
            <w:vAlign w:val="bottom"/>
          </w:tcPr>
          <w:p>
            <w:pPr>
              <w:spacing w:after="0"/>
              <w:rPr>
                <w:sz w:val="1"/>
                <w:szCs w:val="1"/>
                <w:color w:val="auto"/>
              </w:rPr>
            </w:pPr>
          </w:p>
        </w:tc>
      </w:tr>
      <w:tr>
        <w:trPr>
          <w:trHeight w:val="211"/>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0" w:type="dxa"/>
            <w:vAlign w:val="bottom"/>
          </w:tcPr>
          <w:p>
            <w:pPr>
              <w:spacing w:after="0"/>
              <w:rPr>
                <w:sz w:val="1"/>
                <w:szCs w:val="1"/>
                <w:color w:val="auto"/>
              </w:rPr>
            </w:pPr>
          </w:p>
        </w:tc>
      </w:tr>
      <w:tr>
        <w:trPr>
          <w:trHeight w:val="26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0" w:type="dxa"/>
            <w:vAlign w:val="bottom"/>
          </w:tcPr>
          <w:p>
            <w:pPr>
              <w:spacing w:after="0"/>
              <w:rPr>
                <w:sz w:val="1"/>
                <w:szCs w:val="1"/>
                <w:color w:val="auto"/>
              </w:rPr>
            </w:pPr>
          </w:p>
        </w:tc>
      </w:tr>
      <w:tr>
        <w:trPr>
          <w:trHeight w:val="191"/>
        </w:trPr>
        <w:tc>
          <w:tcPr>
            <w:tcW w:w="19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Pr>
          <w:p>
            <w:pPr>
              <w:spacing w:after="0"/>
              <w:rPr>
                <w:sz w:val="16"/>
                <w:szCs w:val="16"/>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344,035</w:t>
            </w:r>
          </w:p>
        </w:tc>
        <w:tc>
          <w:tcPr>
            <w:tcW w:w="100" w:type="dxa"/>
            <w:vAlign w:val="bottom"/>
          </w:tcPr>
          <w:p>
            <w:pPr>
              <w:spacing w:after="0"/>
              <w:rPr>
                <w:sz w:val="16"/>
                <w:szCs w:val="16"/>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Pr>
          <w:p>
            <w:pPr>
              <w:spacing w:after="0"/>
              <w:rPr>
                <w:sz w:val="16"/>
                <w:szCs w:val="16"/>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104,818</w:t>
            </w:r>
          </w:p>
        </w:tc>
        <w:tc>
          <w:tcPr>
            <w:tcW w:w="100" w:type="dxa"/>
            <w:vAlign w:val="bottom"/>
          </w:tcPr>
          <w:p>
            <w:pPr>
              <w:spacing w:after="0"/>
              <w:rPr>
                <w:sz w:val="16"/>
                <w:szCs w:val="1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8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448,853</w:t>
            </w:r>
          </w:p>
        </w:tc>
        <w:tc>
          <w:tcPr>
            <w:tcW w:w="0" w:type="dxa"/>
            <w:vAlign w:val="bottom"/>
          </w:tcPr>
          <w:p>
            <w:pPr>
              <w:spacing w:after="0"/>
              <w:rPr>
                <w:sz w:val="1"/>
                <w:szCs w:val="1"/>
                <w:color w:val="auto"/>
              </w:rPr>
            </w:pPr>
          </w:p>
        </w:tc>
      </w:tr>
      <w:tr>
        <w:trPr>
          <w:trHeight w:val="226"/>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jc w:val="center"/>
              <w:ind w:left="73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9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gridSpan w:val="5"/>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gridSpan w:val="5"/>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0" w:type="dxa"/>
            <w:vAlign w:val="bottom"/>
            <w:gridSpan w:val="5"/>
          </w:tcPr>
          <w:p>
            <w:pPr>
              <w:jc w:val="center"/>
              <w:ind w:right="40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60" w:type="dxa"/>
            <w:vAlign w:val="bottom"/>
            <w:gridSpan w:val="5"/>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1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136,014</w:t>
            </w:r>
          </w:p>
        </w:tc>
        <w:tc>
          <w:tcPr>
            <w:tcW w:w="0" w:type="dxa"/>
            <w:vAlign w:val="bottom"/>
          </w:tcPr>
          <w:p>
            <w:pPr>
              <w:spacing w:after="0"/>
              <w:rPr>
                <w:sz w:val="1"/>
                <w:szCs w:val="1"/>
                <w:color w:val="auto"/>
              </w:rPr>
            </w:pPr>
          </w:p>
        </w:tc>
      </w:tr>
      <w:tr>
        <w:trPr>
          <w:trHeight w:val="25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0" w:type="dxa"/>
            <w:vAlign w:val="bottom"/>
          </w:tcPr>
          <w:p>
            <w:pPr>
              <w:spacing w:after="0"/>
              <w:rPr>
                <w:sz w:val="1"/>
                <w:szCs w:val="1"/>
                <w:color w:val="auto"/>
              </w:rPr>
            </w:pPr>
          </w:p>
        </w:tc>
      </w:tr>
      <w:tr>
        <w:trPr>
          <w:trHeight w:val="26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116,936</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0" w:type="dxa"/>
            <w:vAlign w:val="bottom"/>
          </w:tcPr>
          <w:p>
            <w:pPr>
              <w:spacing w:after="0"/>
              <w:rPr>
                <w:sz w:val="1"/>
                <w:szCs w:val="1"/>
                <w:color w:val="auto"/>
              </w:rPr>
            </w:pPr>
          </w:p>
        </w:tc>
      </w:tr>
      <w:tr>
        <w:trPr>
          <w:trHeight w:val="211"/>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155,235</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121,141</w:t>
            </w:r>
          </w:p>
        </w:tc>
        <w:tc>
          <w:tcPr>
            <w:tcW w:w="10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8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276,376</w:t>
            </w:r>
          </w:p>
        </w:tc>
        <w:tc>
          <w:tcPr>
            <w:tcW w:w="0" w:type="dxa"/>
            <w:vAlign w:val="bottom"/>
          </w:tcPr>
          <w:p>
            <w:pPr>
              <w:spacing w:after="0"/>
              <w:rPr>
                <w:sz w:val="1"/>
                <w:szCs w:val="1"/>
                <w:color w:val="auto"/>
              </w:rPr>
            </w:pPr>
          </w:p>
        </w:tc>
      </w:tr>
      <w:tr>
        <w:trPr>
          <w:trHeight w:val="227"/>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regularly reviews the composition of its portfolio to determine the existence of credit impairment. The Company did not recognize any credit impairment losses during the years ended June 30, 2022, 2023 or 2024. All securities in the Company's portfolio held an A-1 rating or better as of June 30, 2024.</w:t>
      </w:r>
    </w:p>
    <w:p>
      <w:pPr>
        <w:spacing w:after="0" w:line="17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make any material reclassification adjustments out of Accumulated other comprehensive income for realized gains and losses on the sale of available-for-sale securities during the years ended June 30, 2022, 2023 or 2024. Gross realized gains and losses on the sale of available-for-sale securities were immaterial for the years ended June 30, 2022, 2023 and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of available-for-sale securities at June 30, 2024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159,873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year to two years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years to three years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Three years to five years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177,294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177,860</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509,145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508,202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w:t>
      </w:r>
    </w:p>
    <w:p>
      <w:pPr>
        <w:spacing w:after="0" w:line="229"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58"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2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6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any cash and cash equivalents, funds held for clients'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2023 and 2024 based upon the short-term nature of these assets and liabilities.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Marketable securities classified as available-for-sale are recorded at fair value on a recurring basis using Level 2 inputs obtained from an independent pricing service. Available-for-sale securities include commercial paper, corporate bonds, asset-backed securities, U.S. treasury securities and other.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2023 or 2024.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level for the Company’s cash and cash equivalents and available-for-sale securities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288,767</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2,132,545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2,132,545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488,870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488,870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2,910,182</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2,421,312</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488,870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23"/>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
        </w:trPr>
        <w:tc>
          <w:tcPr>
            <w:tcW w:w="50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0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314,820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314,820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3,353,871</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2,845,669</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Non-Recurring Basis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assets acquired and liabilities assumed in business combinations at fair value. Refer to Note 7 for further details on the fair value measurements of certain assets and liabilities recorded at fair value on a non-recurring basis.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Accounts Receivable,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accounts receivable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on funds held for clients</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0" w:type="dxa"/>
            <w:vAlign w:val="bottom"/>
          </w:tcPr>
          <w:p>
            <w:pPr>
              <w:spacing w:after="0"/>
              <w:rPr>
                <w:sz w:val="1"/>
                <w:szCs w:val="1"/>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accounts receivable</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25,085</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32,997</w:t>
            </w:r>
          </w:p>
        </w:tc>
        <w:tc>
          <w:tcPr>
            <w:tcW w:w="0" w:type="dxa"/>
            <w:vAlign w:val="bottom"/>
          </w:tcPr>
          <w:p>
            <w:pPr>
              <w:spacing w:after="0"/>
              <w:rPr>
                <w:sz w:val="1"/>
                <w:szCs w:val="1"/>
                <w:color w:val="auto"/>
              </w:rPr>
            </w:pPr>
          </w:p>
        </w:tc>
      </w:tr>
      <w:tr>
        <w:trPr>
          <w:trHeight w:val="21"/>
        </w:trPr>
        <w:tc>
          <w:tcPr>
            <w:tcW w:w="7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Activity in the allowance for credit losses related to accounts receivable was as follows:</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5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expense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9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Business Combinations</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ASC 805, Business Combinations. The Company recorded the acquisitions disclosed below using the acquisition method of accounting and recognized assets and liabilities at their fair values as of the date of acquisitions, with the excess recorded to goodwill.</w:t>
      </w:r>
    </w:p>
    <w:p>
      <w:pPr>
        <w:spacing w:after="0" w:line="17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On August 31, 2021, the Company entered into an Equity Purchase Agreement (the “Purchase Agreement”) with Blue Marble Payroll, LLC (“Blue Marble”) and its equity holders and acquired all of the issued and outstanding equity interests of Blue Marble for cash consideration of $60,961, subject to customary purchase price adjustments. Blue Marble’s payroll platform enables U.S.-based companies to manage payroll for employees outside the U.S. in line with complex local and country-specific requirements across many countries. This acquisition enables the Company to better serve its clients in managing their international workforces through a unified solution to pay employees, automate processes and stay compliant with regulations in other countries.</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An entity affiliated with Steven I. Sarowitz, the Chairman of the Board of Directors and the largest shareholder of the Company, was the largest equity holder of Blue Marble. The Board of Directors of the Company appointed the Audit Committee, which is comprised solely of directors who are independent of the management of Blue Marble, the Blue Marble equity holders and the Company, to evaluate, assess and negotiate on its behalf the terms and conditions in the Purchase Agreement. The Audit Committee and the disinterested directors of the Company’s Board of Directors unanimously approved the Purchase Agreement and transactions specified within it.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allocation of the purchase price for Blue Marble was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August 31, 2021</w:t>
            </w:r>
          </w:p>
        </w:tc>
      </w:tr>
      <w:tr>
        <w:trPr>
          <w:trHeight w:val="37"/>
        </w:trPr>
        <w:tc>
          <w:tcPr>
            <w:tcW w:w="97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7"/>
        </w:trPr>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34,776</w:t>
            </w:r>
          </w:p>
        </w:tc>
      </w:tr>
      <w:tr>
        <w:trPr>
          <w:trHeight w:val="27"/>
        </w:trPr>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acquired</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r>
      <w:tr>
        <w:trPr>
          <w:trHeight w:val="27"/>
        </w:trPr>
        <w:tc>
          <w:tcPr>
            <w:tcW w:w="9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January 18, 2022, the Company acquired all of the shares outstanding of Cloudsnap, Inc., ("Cloudsnap") through a merger for cash consideration of $50,002, which was paid upon closing. Cloudsnap is a provider of a flexible, low-code solution for integrating disparate business applications. This transaction enables the Company to deliver modern integrations and seamless data sharing between critical systems more efficiently and effectively, while helping to unify and automate business processes across clients' HR, finance, benefits, and other systems.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allocation of the purchase price for Cloudsnap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January 18, 2022</w:t>
            </w:r>
          </w:p>
        </w:tc>
      </w:tr>
      <w:tr>
        <w:trPr>
          <w:trHeight w:val="37"/>
        </w:trPr>
        <w:tc>
          <w:tcPr>
            <w:tcW w:w="97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33,628</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acquired</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r>
      <w:tr>
        <w:trPr>
          <w:trHeight w:val="27"/>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On November 30, 2023, the Company acquired all of the outstanding shares of TraceHQ.com, Inc. ("Trace") through a merger of Trace with a subsidiary of the Company for cash consideration of $12,086, subject to working capital and other customary purchase price adjustments. Trace offers a headcount planning solution that expands the Company's product functionality in this area. The preliminary allocation of the purchase price for Trace was approximately $6,883 of goodwill, $4,200 of proprietary technology and other immaterial assets and liabilities, which reflects certain immaterial measurement period adjustments recorded during the year ended June 30, 2024. The fair values of the assets acquired and liabilities assumed due to this acquisition are currently provisional and are subject to change over the measurement period as the Company continues to evaluate and analyze the estimates and assumptions used in the valuation. The primary area subject to change is deferred taxes. The measurement period will end no later than one year from the acquisition date.</w:t>
      </w:r>
    </w:p>
    <w:p>
      <w:pPr>
        <w:spacing w:after="0" w:line="19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results from these acquisitions have been included in the Company’s consolidated financial statements since the closing of the acquisitions and are not material to the Company. Pro forma information was not presented because the effects of the acquisitions are not material to the Company’s consolidated financial statements. The goodwill related to these transactions is primarily attributable to the assembled workforce and growth opportunities from the expansion and enhancement of the Company’s product offerings. The goodwill associated with the Blue Marble acquisition is deductible for income tax purposes. The goodwill associated with the Cloudsnap and Trace acquisitions is not deductible for income tax purposes. Direct costs related to these acquisitions were immaterial and expensed as incurred primarily as General and administrative in the Consolidated Statements of Operations and Comprehensive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Capitalized Internal-Use Software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248,738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324,269</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(162,611)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(207,857)</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86,127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Amortization of capitalized internal-use software amounted to $25,267, $31,440 and $45,246 for the years ended June 30, 2022, 2023 and 2024, respectively and is included in Cost of revenues.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classes of property and equipment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63,138</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(90,582)</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amounted to $16,199, $18,478 and $20,744 for the years ended June 30, 2022, 2023 and 2024,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changes in goodwill during the years presented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attributable to acquisitions</w:t>
            </w:r>
          </w:p>
        </w:tc>
        <w:tc>
          <w:tcPr>
            <w:tcW w:w="34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102,054</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108,937</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7 for further details on acquisition activity during the years ended June 30, 2023 and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amortizable intangible assets and estimated useful lives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96"/>
        </w:trPr>
        <w:tc>
          <w:tcPr>
            <w:tcW w:w="37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40" w:type="dxa"/>
            <w:vAlign w:val="bottom"/>
            <w:gridSpan w:val="3"/>
            <w:vMerge w:val="continue"/>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28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7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3"/>
        </w:trPr>
        <w:tc>
          <w:tcPr>
            <w:tcW w:w="37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3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6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28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8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8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(44,478)</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60" w:type="dxa"/>
            <w:vAlign w:val="bottom"/>
          </w:tcPr>
          <w:p>
            <w:pPr>
              <w:spacing w:after="0"/>
              <w:rPr>
                <w:sz w:val="24"/>
                <w:szCs w:val="24"/>
                <w:color w:val="auto"/>
              </w:rPr>
            </w:pPr>
          </w:p>
        </w:tc>
        <w:tc>
          <w:tcPr>
            <w:tcW w:w="318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F-21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for acquired intangible assets was $8,752, $10,948 and $10,436 for the years ended June 30, 2022, 2023 and 2024, respectively, and is included in Cost of revenues and General and administrative. Future amortization expense for acquired intangible assets was as follows as of June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57"/>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28,291</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Accrued Expenses</w:t>
            </w: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20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July 2019, the Company entered into a revolving credit agreement with PNC Bank, National Association, and other lenders, which is secured by substantially all of the Company’s assets, subject to certain restrictions. In August 2022, the Company entered into a first amendment to the aforementioned credit agreement to increase the borrowing capacity of our revolving credit facility ("credit facility") to $550,000, which may be increased up to $825,000, subject to obtaining additional lender commitments and certain approvals and satisfying other requirements. The amended credit agreement extends the maturity date of the credit facility to August 2027 and replaces the interest rate based on London Interbank Offered Rate with an interest rate based on secured overnight financing rate ("SOFR"). In January 2022, the Company borrowed $50,000 under the credit facility in connection with its acquisition of Cloudsnap, which it repaid during the third quarter of fiscal 2022. The Company had no borrowings at June 30, 2023 or June 30, 2024 and did not borrow any amounts during fiscal 2023 or 2024. The Company incurred interest expense related to any borrowings at average interest rate of 1.01% during the year ended June 30, 2022.</w:t>
      </w:r>
    </w:p>
    <w:p>
      <w:pPr>
        <w:spacing w:after="0" w:line="14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 commitments at any time prior to revolving credit facility expiration without a premium or a penalty, other than customary “breakage” costs.</w:t>
      </w:r>
    </w:p>
    <w:p>
      <w:pPr>
        <w:spacing w:after="0" w:line="13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Any borrowings under the credit facility will generally bear interest, at the Company’s option, at a rate per annum determined by reference to either the Term SOFR rate plus the SOFR Adjustment or an adjusted base rate, in each case plus an applicable margin ranging from 0.875% to 1.500% and 0.00% to 0.500%, respectively, based on the then-applicable net total leverage ratio. Additionally, the Company is required to pay certain commitment, letter of credit fronting and letter of credit participation fees on available and/or undrawn portions of the credit facility.</w:t>
      </w:r>
    </w:p>
    <w:p>
      <w:pPr>
        <w:spacing w:after="0" w:line="15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required to comply with certain customary affirmative and negative covenants, including a requirement to maintain a maximum net total leverage ratio of not greater than 4.00 to 1.00, (with a step up to 4.50 to 1.00 for the 4 consecutive fiscal quarters following a fiscal quarter in which certain permitted acquisitions are consummated), and a minimum interest coverage ratio of not less than 2.00 to 1.00. As of June 30, 2024, the Company was in compliance with all of the aforementioned covenants.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primarily leases office space under non-cancellable operating leases expiring on various dates from July 2024 through October 2032. The leases provide for increasing annual base rents and oblige the Company to fund its proportionate share of operating expenses and, in certain cases, real estate taxes. The Company also leases various types of office and production related equipment under non-cancellable operating leases expiring on various dates from July 2024 through December 2027.</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12,433</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13,772</w:t>
            </w:r>
          </w:p>
        </w:tc>
      </w:tr>
      <w:tr>
        <w:trPr>
          <w:trHeight w:val="21"/>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cost excludes $4,283 in lease exit gains recorded during the year ended June 30,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classification of the Company’s operating lease right-of-use assets, operating lease liabilities and other supplemental information related to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operating leases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tcPr>
          <w:p>
            <w:pPr>
              <w:spacing w:after="0"/>
              <w:rPr>
                <w:sz w:val="16"/>
                <w:szCs w:val="16"/>
                <w:color w:val="auto"/>
              </w:rPr>
            </w:pPr>
          </w:p>
        </w:tc>
      </w:tr>
      <w:tr>
        <w:trPr>
          <w:trHeight w:val="37"/>
        </w:trPr>
        <w:tc>
          <w:tcPr>
            <w:tcW w:w="79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44,067</w:t>
            </w:r>
          </w:p>
        </w:tc>
        <w:tc>
          <w:tcPr>
            <w:tcW w:w="7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33,792</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7,634</w:t>
            </w: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62,471</w:t>
            </w:r>
          </w:p>
        </w:tc>
        <w:tc>
          <w:tcPr>
            <w:tcW w:w="7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46,814</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4.62 %</w:t>
            </w:r>
          </w:p>
        </w:tc>
      </w:tr>
      <w:tr>
        <w:trPr>
          <w:trHeight w:val="27"/>
        </w:trPr>
        <w:tc>
          <w:tcPr>
            <w:tcW w:w="7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related to the Company’s operating leases: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r>
    </w:tbl>
    <w:p>
      <w:pPr>
        <w:spacing w:after="0" w:line="31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undiscounted cash flows for future maturities of the Company’s operating lease liabilities and the reconciliation to the balance of operating lease liabilities reflected on the Company’s balance sheet were as follows as of June 30,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w:t>
            </w:r>
          </w:p>
        </w:tc>
      </w:tr>
      <w:tr>
        <w:trPr>
          <w:trHeight w:val="27"/>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w:t>
            </w:r>
          </w:p>
        </w:tc>
      </w:tr>
      <w:tr>
        <w:trPr>
          <w:trHeight w:val="27"/>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19,821</w:t>
            </w:r>
          </w:p>
        </w:tc>
      </w:tr>
      <w:tr>
        <w:trPr>
          <w:trHeight w:val="27"/>
        </w:trPr>
        <w:tc>
          <w:tcPr>
            <w:tcW w:w="9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64,129</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w:t>
            </w:r>
          </w:p>
        </w:tc>
      </w:tr>
      <w:tr>
        <w:trPr>
          <w:trHeight w:val="27"/>
        </w:trPr>
        <w:tc>
          <w:tcPr>
            <w:tcW w:w="9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table above excludes $7,263 of undiscounted future minimum lease payments for operating lease liabilities for both office space and equipment that had not yet commenced for terms ranging from four to six years.</w:t>
      </w:r>
    </w:p>
    <w:p>
      <w:pPr>
        <w:spacing w:after="0" w:line="158"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5"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(benefit) for the years ended June 30, 2022, 2023 and 2024 consists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taxes</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30,900</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26,438</w:t>
            </w: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920" w:hanging="264"/>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 Rate Reconciliation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(benefit) differed from the amounts computed by applying the U.S. federal income tax rate of 21%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2023 and 2024 to pretax income as a result of the following: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580" w:type="dxa"/>
            <w:vAlign w:val="bottom"/>
          </w:tcPr>
          <w:p>
            <w:pPr>
              <w:spacing w:after="0"/>
              <w:rPr>
                <w:sz w:val="16"/>
                <w:szCs w:val="16"/>
                <w:color w:val="auto"/>
              </w:rPr>
            </w:pPr>
          </w:p>
        </w:tc>
      </w:tr>
      <w:tr>
        <w:trPr>
          <w:trHeight w:val="37"/>
        </w:trPr>
        <w:tc>
          <w:tcPr>
            <w:tcW w:w="63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86"/>
        </w:trPr>
        <w:tc>
          <w:tcPr>
            <w:tcW w:w="6320" w:type="dxa"/>
            <w:vAlign w:val="bottom"/>
          </w:tcPr>
          <w:p>
            <w:pPr>
              <w:spacing w:after="0"/>
              <w:rPr>
                <w:sz w:val="16"/>
                <w:szCs w:val="16"/>
                <w:color w:val="auto"/>
              </w:rPr>
            </w:pPr>
          </w:p>
        </w:tc>
        <w:tc>
          <w:tcPr>
            <w:tcW w:w="158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5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32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3"/>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at statutory federal rate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(reduction) in income taxes resulting from:</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credit and other credits</w:t>
            </w: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Non-deductible expenses</w:t>
            </w: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21"/>
                <w:szCs w:val="21"/>
                <w:color w:val="auto"/>
              </w:rPr>
            </w:pPr>
          </w:p>
        </w:tc>
        <w:tc>
          <w:tcPr>
            <w:tcW w:w="15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w:t>
            </w: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15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3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63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years ended June 30, 2022, 2023 and 2024 was (8.6)%, 11.2% and 25.4%, respectively, on pre-tax income of $83,597, $158,614 and $277,015, respectively. The increase in the effective tax rate was primarily due to decreased deductions related to stock-based compensation.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00" w:hanging="244"/>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Components of Deferred Tax Assets and Liabilities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at June 30, 2023 and 2024 are presented below.</w:t>
      </w:r>
    </w:p>
    <w:p>
      <w:pPr>
        <w:spacing w:after="0" w:line="209"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41910</wp:posOffset>
            </wp:positionV>
            <wp:extent cx="19456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62" w:lineRule="exact"/>
        <w:rPr>
          <w:sz w:val="20"/>
          <w:szCs w:val="20"/>
          <w:color w:val="auto"/>
        </w:rPr>
      </w:pPr>
    </w:p>
    <w:p>
      <w:pPr>
        <w:ind w:left="878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Federal and state tax credits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Research and development costs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deferred tax assets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Deferred contract costs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Operating lease right-of-use assets</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Depreciation</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w:t>
            </w:r>
          </w:p>
        </w:tc>
      </w:tr>
      <w:tr>
        <w:trPr>
          <w:trHeight w:val="270"/>
        </w:trPr>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19,706</w:t>
            </w:r>
          </w:p>
        </w:tc>
      </w:tr>
      <w:tr>
        <w:trPr>
          <w:trHeight w:val="270"/>
        </w:trPr>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28,595</w:t>
            </w:r>
          </w:p>
        </w:tc>
      </w:tr>
      <w:tr>
        <w:trPr>
          <w:trHeight w:val="270"/>
        </w:trPr>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r>
      <w:tr>
        <w:trPr>
          <w:trHeight w:val="270"/>
        </w:trPr>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w:t>
            </w:r>
          </w:p>
        </w:tc>
      </w:tr>
      <w:tr>
        <w:trPr>
          <w:trHeight w:val="270"/>
        </w:trPr>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29,718</w:t>
            </w:r>
          </w:p>
        </w:tc>
      </w:tr>
      <w:tr>
        <w:trPr>
          <w:trHeight w:val="277"/>
        </w:trPr>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114,349</w:t>
            </w:r>
          </w:p>
        </w:tc>
      </w:tr>
      <w:tr>
        <w:trPr>
          <w:trHeight w:val="277"/>
        </w:trPr>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114,349</w:t>
            </w:r>
          </w:p>
        </w:tc>
      </w:tr>
      <w:tr>
        <w:trPr>
          <w:trHeight w:val="540"/>
        </w:trPr>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(96,598)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(116,004)</w:t>
            </w:r>
          </w:p>
        </w:tc>
      </w:tr>
      <w:tr>
        <w:trPr>
          <w:trHeight w:val="270"/>
        </w:trPr>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w:t>
            </w:r>
          </w:p>
        </w:tc>
      </w:tr>
      <w:tr>
        <w:trPr>
          <w:trHeight w:val="270"/>
        </w:trPr>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r>
      <w:tr>
        <w:trPr>
          <w:trHeight w:val="270"/>
        </w:trPr>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w:t>
            </w:r>
          </w:p>
        </w:tc>
      </w:tr>
      <w:tr>
        <w:trPr>
          <w:trHeight w:val="270"/>
        </w:trPr>
        <w:tc>
          <w:tcPr>
            <w:tcW w:w="48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-2562225</wp:posOffset>
            </wp:positionV>
            <wp:extent cx="713232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-2219325</wp:posOffset>
            </wp:positionV>
            <wp:extent cx="713232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-1876425</wp:posOffset>
            </wp:positionV>
            <wp:extent cx="713232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-1533525</wp:posOffset>
            </wp:positionV>
            <wp:extent cx="713232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-1190625</wp:posOffset>
            </wp:positionV>
            <wp:extent cx="713232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-848360</wp:posOffset>
            </wp:positionV>
            <wp:extent cx="713232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-505460</wp:posOffset>
            </wp:positionV>
            <wp:extent cx="713232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-162560</wp:posOffset>
            </wp:positionV>
            <wp:extent cx="71323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460" w:space="720"/>
            <w:col w:w="30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(121,627)</w:t>
            </w:r>
          </w:p>
        </w:tc>
        <w:tc>
          <w:tcPr>
            <w:tcW w:w="10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(138,357)</w:t>
            </w:r>
          </w:p>
        </w:tc>
      </w:tr>
      <w:tr>
        <w:trPr>
          <w:trHeight w:val="28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 Company no longer maintains a valuation allowance for state tax benefits which may not be realized. Such assessment may change in the future as further evidence becomes available.</w:t>
      </w:r>
    </w:p>
    <w:p>
      <w:pPr>
        <w:spacing w:after="0" w:line="14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At June 30, 2024, the Company has gross net operating loss carryforwards for federal income tax purposes of approximately $10,484, all of which can be carried forward indefinitely. The Company has gross net operating loss carryforwards for state income tax purposes of approximately $31,649, of</w:t>
      </w:r>
    </w:p>
    <w:p>
      <w:pPr>
        <w:ind w:right="180"/>
        <w:spacing w:after="0" w:line="250" w:lineRule="auto"/>
        <w:rPr>
          <w:sz w:val="20"/>
          <w:szCs w:val="20"/>
          <w:color w:val="auto"/>
        </w:rPr>
      </w:pPr>
      <w:r>
        <w:rPr>
          <w:rFonts w:ascii="Times New Roman" w:cs="Times New Roman" w:eastAsia="Times New Roman" w:hAnsi="Times New Roman"/>
          <w:sz w:val="18"/>
          <w:szCs w:val="18"/>
          <w:color w:val="auto"/>
        </w:rPr>
        <w:t>which $23,429 expire from 2029 to 2044, while the remaining $8,220 can be carried forward indefinitely. The Company also has gross state research and development tax credits and other state credit carryforwards of approximately $22,667, which expire between 2025 and 2044.</w:t>
      </w:r>
    </w:p>
    <w:p>
      <w:pPr>
        <w:spacing w:after="0" w:line="19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June 30, 2023 and 2024, the Company’s liabilities for unrecognized tax benefits, which would impact the Company’s effective tax rate if recognized, are presented below. The Company will include applicable penalties and interest when the benefit is recognized: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the year</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7"/>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periods</w:t>
            </w:r>
          </w:p>
        </w:tc>
        <w:tc>
          <w:tcPr>
            <w:tcW w:w="8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Subtractions for tax positions of prior periods</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at end of year</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with the United States federal government and various state jurisdictions. Certain tax years remain open for federal and state tax reporting jurisdictions in which the Company does business due to net operating loss carryforwards and tax credits unutilized from such years or utilized in a period remaining open for audit under normal statute of limitations relating to income tax liabilities. The Company, including its domestic subsidiaries, files a consolidated federal income tax return. For years before fiscal year ended June 30, 2021, the Company is no longer subject to U.S. federal examination; however, the Internal Revenue Service (IRS) has the ability to review years prior to fiscal year 2021 to the extent the Company utilized tax attributes carried forward from those prior years. The statute of limitations on state filings is generally three to four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Stockholders’ Equity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and to receive dividends, when declared. The holders have no preemptive or other subscription rights, and there are no redemption or sinking fund provisions with respect to such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8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On April 30, 2024, the Company's Board of Directors approved a share repurchase program (the "Repurchase Program") under which the Company is authorized to purchase (in the aggregate) up to $500,000 of its issued and outstanding common stock. Under the Repurchase Program, shares may be repurchased from time-to-time in open market transactions at prevailing market prices, privately negotiated transactions or by other means, including the use of Rule 10b5-1 trading plans entered into by the Company. The actual timing, number and value of shares repurchased under the Repurchase Program will depend on the market price of its common stock, trading volume, general market conditions and other corporate and economic considerations. The Repurchase Program does not obligate the Company to repurchase any specific number of shares and may be modified, suspended or terminated at any time. During the year ended June 30, 2024, the Company repurchased 1,050 shares for $150,000. All shares of common stock repurchased were retired.</w:t>
      </w:r>
    </w:p>
    <w:p>
      <w:pPr>
        <w:spacing w:after="0" w:line="188"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225"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Company’s stockholders approved the 2023 Equity Incentive Plan (the “2023 Plan”), which replaces the Company’s 2014 Equity Incentive Plan (the “2014 Plan”). The 2023 Plan permits the granting of restricted stock units (“RSUs”), market share units (“MSUs”) and other equity incentives at the discretion of the compensation committee of the Company’s board of directors (“the Committee”). No new awards have been or will be issued under the 2014 Plan since the effective date of the 2023 Plan. Outstanding awards under the 2014 Plan continue to be subject to the terms and conditions of the 2014 Plan.</w:t>
      </w:r>
    </w:p>
    <w:p>
      <w:pPr>
        <w:spacing w:after="0" w:line="18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3,794 shares allocated to the plans, of which 1,654 shares were subject to outstanding options or awards. Generally, the Company issues previously unissued shares for the exercise of stock options or vesting of awards; however, shares previously subject to 2023 Plan grants or awards that are forfeited or net settled at exercise or release may be reissued to satisfy future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RSUs, MSUs and the Employee Stock Purchase Plan (as described below) was included in the following line items in the accompanying Consolidated Statements of Operations and Comprehensive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11,622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21,854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35,536</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18,696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44,030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55,497</w:t>
            </w: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96,202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147,300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146,032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capitalized $7,119, $11,901 and $14,376 of stock-based compensation expense in its capitalized internal-use software costs in the years ended June 30, 2022, 2023 and 2024,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stock option activity during the year ended June 30,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6"/>
        </w:trPr>
        <w:tc>
          <w:tcPr>
            <w:tcW w:w="5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5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5"/>
                <w:szCs w:val="15"/>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50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204"/>
        </w:trPr>
        <w:tc>
          <w:tcPr>
            <w:tcW w:w="50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60" w:type="dxa"/>
            <w:vAlign w:val="bottom"/>
          </w:tcPr>
          <w:p>
            <w:pPr>
              <w:spacing w:after="0"/>
              <w:rPr>
                <w:sz w:val="17"/>
                <w:szCs w:val="17"/>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50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 2023</w:t>
            </w:r>
          </w:p>
        </w:tc>
        <w:tc>
          <w:tcPr>
            <w:tcW w:w="1480" w:type="dxa"/>
            <w:vAlign w:val="bottom"/>
            <w:tcBorders>
              <w:bottom w:val="single" w:sz="8" w:color="CCEEFF"/>
            </w:tcBorders>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color w:val="auto"/>
                <w:w w:val="96"/>
              </w:rPr>
              <w:t>288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46,129</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tcPr>
          <w:p>
            <w:pPr>
              <w:jc w:val="center"/>
              <w:ind w:left="936"/>
              <w:spacing w:after="0"/>
              <w:rPr>
                <w:sz w:val="20"/>
                <w:szCs w:val="20"/>
                <w:color w:val="auto"/>
              </w:rPr>
            </w:pPr>
            <w:r>
              <w:rPr>
                <w:rFonts w:ascii="Times New Roman" w:cs="Times New Roman" w:eastAsia="Times New Roman" w:hAnsi="Times New Roman"/>
                <w:sz w:val="18"/>
                <w:szCs w:val="18"/>
                <w:color w:val="auto"/>
                <w:w w:val="97"/>
              </w:rPr>
              <w:t>(121)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480" w:type="dxa"/>
            <w:vAlign w:val="bottom"/>
            <w:tcBorders>
              <w:bottom w:val="single" w:sz="8" w:color="auto"/>
            </w:tcBorders>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color w:val="auto"/>
                <w:w w:val="96"/>
              </w:rPr>
              <w:t>167</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24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June 30, 2024</w:t>
            </w:r>
          </w:p>
        </w:tc>
        <w:tc>
          <w:tcPr>
            <w:tcW w:w="1480" w:type="dxa"/>
            <w:vAlign w:val="bottom"/>
            <w:tcBorders>
              <w:bottom w:val="single" w:sz="8" w:color="auto"/>
            </w:tcBorders>
          </w:tcPr>
          <w:p>
            <w:pPr>
              <w:jc w:val="center"/>
              <w:ind w:left="976"/>
              <w:spacing w:after="0"/>
              <w:rPr>
                <w:sz w:val="20"/>
                <w:szCs w:val="20"/>
                <w:color w:val="auto"/>
              </w:rPr>
            </w:pPr>
            <w:r>
              <w:rPr>
                <w:rFonts w:ascii="Times New Roman" w:cs="Times New Roman" w:eastAsia="Times New Roman" w:hAnsi="Times New Roman"/>
                <w:sz w:val="18"/>
                <w:szCs w:val="18"/>
                <w:color w:val="auto"/>
                <w:w w:val="96"/>
              </w:rPr>
              <w:t>167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17,301</w:t>
            </w:r>
          </w:p>
        </w:tc>
      </w:tr>
      <w:tr>
        <w:trPr>
          <w:trHeight w:val="21"/>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years ended June 30, 2022, 2023 or 2024. The total intrinsic value of options exercised during the years ended June 30, 2022, 2023 and 2024 was $51,457, $52,985 and $18,438, respectively.</w:t>
      </w:r>
    </w:p>
    <w:p>
      <w:pPr>
        <w:spacing w:after="0" w:line="13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grants RSUs under its equity incentive plans with terms determined at the discretion of the Committee. RSUs generally vest over four years following the grant date and have time-based vesting conditions. The following table represents restricted stock unit activity during the year ended June 30,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8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8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0"/>
        </w:trPr>
        <w:tc>
          <w:tcPr>
            <w:tcW w:w="818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July 1, 2023</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225.30</w:t>
            </w:r>
          </w:p>
        </w:tc>
      </w:tr>
      <w:tr>
        <w:trPr>
          <w:trHeight w:val="243"/>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190.07</w:t>
            </w:r>
          </w:p>
        </w:tc>
      </w:tr>
      <w:tr>
        <w:trPr>
          <w:trHeight w:val="27"/>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200.67</w:t>
            </w:r>
          </w:p>
        </w:tc>
      </w:tr>
      <w:tr>
        <w:trPr>
          <w:trHeight w:val="243"/>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213.55</w:t>
            </w:r>
          </w:p>
        </w:tc>
      </w:tr>
      <w:tr>
        <w:trPr>
          <w:trHeight w:val="27"/>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84"/>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June 30, 2024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also grants MSUs under its equity incentive plans with terms determined at the discretion of the Committee. The actual number of MSUs that will be eligible to vest is based on the achievement of a relative total shareholder return (“TSR”) target as compared to the TSR realized by each of the companies comprising the Russell 3000 Index over an approximately three-year period. The MSUs cliff-vest at the end of the TSR measurement period, and up to 200% of the target number of shares subject to each MSU are eligible to be earned.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market share unit activity during the year ended June 30,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04"/>
        </w:trPr>
        <w:tc>
          <w:tcPr>
            <w:tcW w:w="8180" w:type="dxa"/>
            <w:vAlign w:val="bottom"/>
          </w:tcPr>
          <w:p>
            <w:pPr>
              <w:spacing w:after="0"/>
              <w:rPr>
                <w:sz w:val="17"/>
                <w:szCs w:val="17"/>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July 1, 2023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320.38</w:t>
            </w:r>
          </w:p>
        </w:tc>
      </w:tr>
      <w:tr>
        <w:trPr>
          <w:trHeight w:val="25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256.66</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 vested</w:t>
            </w: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w:t>
            </w:r>
          </w:p>
        </w:tc>
      </w:tr>
      <w:tr>
        <w:trPr>
          <w:trHeight w:val="257"/>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 balance at June 30, 2024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335.79</w:t>
            </w:r>
          </w:p>
        </w:tc>
      </w:tr>
      <w:tr>
        <w:trPr>
          <w:trHeight w:val="20"/>
        </w:trPr>
        <w:tc>
          <w:tcPr>
            <w:tcW w:w="8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estimated the grant date fair value of the MSUs using a Monte Carlo simulation model that included the following assumptions: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800" w:type="dxa"/>
            <w:vAlign w:val="bottom"/>
          </w:tcPr>
          <w:p>
            <w:pPr>
              <w:spacing w:after="0"/>
              <w:rPr>
                <w:sz w:val="16"/>
                <w:szCs w:val="16"/>
                <w:color w:val="auto"/>
              </w:rPr>
            </w:pPr>
          </w:p>
        </w:tc>
      </w:tr>
      <w:tr>
        <w:trPr>
          <w:trHeight w:val="23"/>
        </w:trPr>
        <w:tc>
          <w:tcPr>
            <w:tcW w:w="6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86"/>
        </w:trPr>
        <w:tc>
          <w:tcPr>
            <w:tcW w:w="6100" w:type="dxa"/>
            <w:vAlign w:val="bottom"/>
          </w:tcPr>
          <w:p>
            <w:pPr>
              <w:spacing w:after="0"/>
              <w:rPr>
                <w:sz w:val="16"/>
                <w:szCs w:val="16"/>
                <w:color w:val="auto"/>
              </w:rPr>
            </w:pPr>
          </w:p>
        </w:tc>
        <w:tc>
          <w:tcPr>
            <w:tcW w:w="15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6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77"/>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47.4 - 47.5%</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51.0 - 52.7%</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5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2.92 - 3.04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2.75 - 3.04</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77"/>
        </w:trPr>
        <w:tc>
          <w:tcPr>
            <w:tcW w:w="610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0.43 - 0.47%</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3.11 - 4.01%</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2024, there was $127,409 of total unrecognized compensation cost, net of estimated forfeitures, related to unvested RSUs and MSUs.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cost is expected to be recognized over a weighted average period of 1.7 years.</w:t>
      </w:r>
    </w:p>
    <w:p>
      <w:pPr>
        <w:spacing w:after="0" w:line="20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total of excess income tax benefits for stock-based compensation arrangements was $143,046, $113,903 and $9,374 for the years ended June 30, 2022, 2023 and 2024, respectively, and were recognized through Income tax expense (benefit).</w:t>
      </w:r>
    </w:p>
    <w:p>
      <w:pPr>
        <w:spacing w:after="0" w:line="158" w:lineRule="exact"/>
        <w:rPr>
          <w:sz w:val="20"/>
          <w:szCs w:val="20"/>
          <w:color w:val="auto"/>
        </w:rPr>
      </w:pPr>
    </w:p>
    <w:p>
      <w:pPr>
        <w:ind w:left="920" w:hanging="264"/>
        <w:spacing w:after="0"/>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 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a total of 2,024 shares of common stock were reserved for future issuances under the ESPP. The number of shares of common stock reserved for issuance under the ESPP was eligible to increase each calendar year, continuing through and including January 1, 2024. The Company’s board of directors approved the final increase in the number of common shares in reserve for issuance under the ESPP by 400 shares, effective January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issued a total of 149 shares upon the completion of its six-month offering periods ending November 15, 2023 and May 15, 2024. The Company recorded compensation expense attributable to the ESPP of $4,676, $6,393 and $6,378 for the years ended June 30, 2022, 2023 and 2024, respectively, which is included in the summary of stock-based compensation expense above. The grant date fair values of the ESPP offering periods were estimated using the following assumptions: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600" w:type="dxa"/>
            <w:vAlign w:val="bottom"/>
          </w:tcPr>
          <w:p>
            <w:pPr>
              <w:spacing w:after="0"/>
              <w:rPr>
                <w:sz w:val="16"/>
                <w:szCs w:val="16"/>
                <w:color w:val="auto"/>
              </w:rPr>
            </w:pPr>
          </w:p>
        </w:tc>
      </w:tr>
      <w:tr>
        <w:trPr>
          <w:trHeight w:val="37"/>
        </w:trPr>
        <w:tc>
          <w:tcPr>
            <w:tcW w:w="63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86"/>
        </w:trPr>
        <w:tc>
          <w:tcPr>
            <w:tcW w:w="6300" w:type="dxa"/>
            <w:vAlign w:val="bottom"/>
          </w:tcPr>
          <w:p>
            <w:pPr>
              <w:spacing w:after="0"/>
              <w:rPr>
                <w:sz w:val="16"/>
                <w:szCs w:val="16"/>
                <w:color w:val="auto"/>
              </w:rPr>
            </w:pPr>
          </w:p>
        </w:tc>
        <w:tc>
          <w:tcPr>
            <w:tcW w:w="15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58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3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7"/>
        </w:trPr>
        <w:tc>
          <w:tcPr>
            <w:tcW w:w="6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31.0 - 57.5%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41.1 - 57.5%</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32.9 - 43.3%</w:t>
            </w: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5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1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6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30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0.04 - 1.54%</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1.54 - 5.26%</w:t>
            </w: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5.26 - 5.41%</w:t>
            </w:r>
          </w:p>
        </w:tc>
      </w:tr>
    </w:tbl>
    <w:p>
      <w:pPr>
        <w:spacing w:after="0" w:line="288" w:lineRule="exact"/>
        <w:rPr>
          <w:sz w:val="20"/>
          <w:szCs w:val="20"/>
          <w:color w:val="auto"/>
        </w:rPr>
      </w:pPr>
    </w:p>
    <w:p>
      <w:pPr>
        <w:ind w:left="900" w:hanging="244"/>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401(k) plan with a matching provision that covers all eligible employees. The Company matches 50% of employees’ contributions up to 8% of their gross pay. Contributions were $12,305, $15,083 and $17,377 for the years ended June 30, 2022, 2023 and 2024, respectively.</w:t>
      </w:r>
    </w:p>
    <w:p>
      <w:pPr>
        <w:spacing w:after="0" w:line="172"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has employment agreements with certain of its key officers. The agreements allow for annual compensation increases, participation in equity incentive plans and bonuses for annual performance as well as certain change of control events as defined in the agreements.</w:t>
      </w:r>
    </w:p>
    <w:p>
      <w:pPr>
        <w:spacing w:after="0" w:line="158" w:lineRule="exact"/>
        <w:rPr>
          <w:sz w:val="20"/>
          <w:szCs w:val="20"/>
          <w:color w:val="auto"/>
        </w:rPr>
      </w:pPr>
    </w:p>
    <w:p>
      <w:pPr>
        <w:ind w:left="920" w:hanging="264"/>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Litigation</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November 16, 2020, a potential class action complaint was filed against the Company with the Circuit Court of Cook County alleging that the Company violated the Illinois Biometric Information Privacy Act. The complaint seeks statutory damages, attorney’s fees and other costs. On September 11, 2023, a second potential class action complaint was filed against the Company with the Circuit Court of Cook County that alleges violations of the Illinois Biometric Information Privacy Act that overlap with claims in the first action. The Company is unable to estimate any reasonably possible loss, or range of loss, with respect to these matters at this time. The Company intends to vigorously defend against these lawsuits.</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Net Income Per Share</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Basic net income per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market share units and the shares purchasable via the employee stock purchase plan as of the balance sheet date.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per share:</w:t>
      </w:r>
    </w:p>
    <w:p>
      <w:pPr>
        <w:spacing w:after="0" w:line="27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41910</wp:posOffset>
            </wp:positionV>
            <wp:extent cx="29489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90,777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140,822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206,766</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55,036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56,214</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options, restricted stock units and market share units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56,976</w:t>
            </w:r>
          </w:p>
        </w:tc>
      </w:tr>
      <w:tr>
        <w:trPr>
          <w:trHeight w:val="270"/>
        </w:trPr>
        <w:tc>
          <w:tcPr>
            <w:tcW w:w="6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7"/>
        </w:trPr>
        <w:tc>
          <w:tcPr>
            <w:tcW w:w="6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restricted stock units and market share units as of the balance sheet date that were excluded from the diluted per share calculation for the periods presented because to include them would have been anti-dilutive:</w:t>
      </w:r>
    </w:p>
    <w:p>
      <w:pPr>
        <w:spacing w:after="0" w:line="209"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41910</wp:posOffset>
            </wp:positionV>
            <wp:extent cx="29489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gridSpan w:val="2"/>
          </w:tcPr>
          <w:p>
            <w:pPr>
              <w:ind w:left="7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6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share units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4"/>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865"/>
        </w:trPr>
        <w:tc>
          <w:tcPr>
            <w:tcW w:w="766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F-30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8"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The following is a summary of our capital stock and certain provisions of our third amended and restated certificate of incorporation (“Certificate of Incorporation”) and third amended and restated bylaws (“Bylaws”). This summary does not purport to be complete and is qualified by the provisions of our Certificate of Incorporation and Bylaws.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189" w:lineRule="exact"/>
        <w:rPr>
          <w:sz w:val="20"/>
          <w:szCs w:val="20"/>
          <w:color w:val="auto"/>
        </w:rPr>
      </w:pPr>
    </w:p>
    <w:p>
      <w:pPr>
        <w:ind w:right="380"/>
        <w:spacing w:after="0" w:line="237" w:lineRule="auto"/>
        <w:rPr>
          <w:sz w:val="20"/>
          <w:szCs w:val="20"/>
          <w:color w:val="auto"/>
        </w:rPr>
      </w:pPr>
      <w:r>
        <w:rPr>
          <w:rFonts w:ascii="Times New Roman" w:cs="Times New Roman" w:eastAsia="Times New Roman" w:hAnsi="Times New Roman"/>
          <w:sz w:val="18"/>
          <w:szCs w:val="18"/>
          <w:color w:val="auto"/>
        </w:rPr>
        <w:t>Our authorized capital stock consists of 155,000,000 shares of common stock, $0.001 par value, and 5,000,000 shares of undesignated preferred stock, $0.001 par value.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"PCTY."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2"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7"/>
          <w:szCs w:val="17"/>
          <w:color w:val="auto"/>
        </w:rPr>
        <w:t>The holders of common stock are entitled to one vote per share on all matters submitted to a vote of our stockholders and do not have cumulative voting rights. Accordingly, holders of a majority of the shares of common stock entitled to vote in any election of directors may elect all of the directors standing for election. Subject to preferences that may be applicable to any preferred stock outstanding at the time, the holders of outstanding shares of common</w:t>
      </w:r>
    </w:p>
    <w:p>
      <w:pPr>
        <w:ind w:right="20"/>
        <w:spacing w:after="0" w:line="208" w:lineRule="auto"/>
        <w:rPr>
          <w:sz w:val="20"/>
          <w:szCs w:val="20"/>
          <w:color w:val="auto"/>
        </w:rPr>
      </w:pPr>
      <w:r>
        <w:rPr>
          <w:rFonts w:ascii="Times New Roman" w:cs="Times New Roman" w:eastAsia="Times New Roman" w:hAnsi="Times New Roman"/>
          <w:sz w:val="18"/>
          <w:szCs w:val="18"/>
          <w:color w:val="auto"/>
        </w:rPr>
        <w:t>stock are entitled to receive ratably any dividends declared by our board of directors out of assets legally available. See the section titled "Dividend Policy." Upon our liquidation, dissolution or winding up, holders of our common stock are entitled to share ratably in all assets remaining after payment of liabilities and the liquidation preference of any then outstanding shares of preferred stock. Holders of common stock have no preemptive or conversion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or other subscription rights. There are no redemption or sinking fund provisions applicable to the common stock.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our Certificate of Incorporation, our board of directors has the authority, without further action by the stockholders, to issue from time to time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up to 5,000,000 shares of preferred stock, in one or more series. Our board will determine the rights, preferences, privileges and restrictions of the preferred stock, including dividend rights, conversion rights, voting rights, terms of redemption, liquidation preferences, sinking fund terms and the number of shares constituting any series or the designation of any series, any or all of which may be greater than or senior to the rights of the common stock. The issuance of</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preferred stock could adversely affect the voting power of holders of common stock and reduce the likelihood that such holders will receive dividend payments and payments upon liquidation, and the likelihood that holders of preferred stock will receive dividend payments and payments upon liquidation may have the effect of delaying, deterring or preventing a change in control, which could depress the market price of our common stock. We have no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plan to issue any shares of preferred stock.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Delaware law nor our Certificate of Incorporation requires our board of directors to declare dividends on our common stock. Any future</w:t>
      </w:r>
    </w:p>
    <w:p>
      <w:pPr>
        <w:spacing w:after="0" w:line="2" w:lineRule="exact"/>
        <w:rPr>
          <w:sz w:val="20"/>
          <w:szCs w:val="20"/>
          <w:color w:val="auto"/>
        </w:rPr>
      </w:pPr>
    </w:p>
    <w:p>
      <w:pPr>
        <w:ind w:right="240"/>
        <w:spacing w:after="0" w:line="218" w:lineRule="auto"/>
        <w:rPr>
          <w:sz w:val="20"/>
          <w:szCs w:val="20"/>
          <w:color w:val="auto"/>
        </w:rPr>
      </w:pPr>
      <w:r>
        <w:rPr>
          <w:rFonts w:ascii="Times New Roman" w:cs="Times New Roman" w:eastAsia="Times New Roman" w:hAnsi="Times New Roman"/>
          <w:sz w:val="18"/>
          <w:szCs w:val="18"/>
          <w:color w:val="auto"/>
        </w:rPr>
        <w:t>determination to declare cash dividends on our common stock will be made at the discretion of our board of directors and will depend on our financial condition, results of operations, capital requirements, general business conditions and other factors that our board of directors may deem relevant. We do not anticipate paying cash dividends on our common stock for the foreseeable future.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189"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17"/>
          <w:szCs w:val="17"/>
          <w:color w:val="auto"/>
        </w:rPr>
        <w:t>We are party to an amended and restated investor rights agreement with certain of our stockholders. The amended and restated investor rights agreement grants such stockholders certain registration rights, which include demand registration rights, piggyback registration rights and short-form registration</w:t>
      </w:r>
    </w:p>
    <w:p>
      <w:pPr>
        <w:ind w:right="240"/>
        <w:spacing w:after="0" w:line="226" w:lineRule="auto"/>
        <w:rPr>
          <w:sz w:val="20"/>
          <w:szCs w:val="20"/>
          <w:color w:val="auto"/>
        </w:rPr>
      </w:pPr>
      <w:r>
        <w:rPr>
          <w:rFonts w:ascii="Times New Roman" w:cs="Times New Roman" w:eastAsia="Times New Roman" w:hAnsi="Times New Roman"/>
          <w:sz w:val="18"/>
          <w:szCs w:val="18"/>
          <w:color w:val="auto"/>
        </w:rPr>
        <w:t>rights, with respect to shares of our common stock. This summary does not purport to be complete and is qualified by the provisions of the amended and restated investor rights agreement.</w:t>
      </w:r>
    </w:p>
    <w:p>
      <w:pPr>
        <w:sectPr>
          <w:pgSz w:w="11900" w:h="16838" w:orient="portrait"/>
          <w:cols w:equalWidth="0" w:num="1">
            <w:col w:w="11240"/>
          </w:cols>
          <w:pgMar w:left="320" w:top="1392" w:right="339" w:bottom="1440" w:gutter="0" w:footer="0" w:header="0"/>
        </w:sectPr>
      </w:pPr>
    </w:p>
    <w:bookmarkStart w:id="89" w:name="page90"/>
    <w:bookmarkEnd w:id="89"/>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Our Certificate of Incorporation and Bylaws contain certain provisions that may be deemed to have an anti-takeover effect and may delay, deter or</w:t>
      </w:r>
    </w:p>
    <w:p>
      <w:pPr>
        <w:spacing w:after="0" w:line="14"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8"/>
          <w:szCs w:val="18"/>
          <w:color w:val="auto"/>
        </w:rPr>
        <w:t>prevent a tender offer or take-over attempt that a stockholder might consider in its best interest, including those attempts that might result in a premium over the market price for the shares held by stockholders.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Bylaws</w:t>
      </w:r>
    </w:p>
    <w:p>
      <w:pPr>
        <w:spacing w:after="0" w:line="202" w:lineRule="exact"/>
        <w:rPr>
          <w:sz w:val="20"/>
          <w:szCs w:val="20"/>
          <w:color w:val="auto"/>
        </w:rPr>
      </w:pPr>
    </w:p>
    <w:p>
      <w:pPr>
        <w:ind w:right="540" w:firstLine="648"/>
        <w:spacing w:after="0" w:line="237" w:lineRule="auto"/>
        <w:rPr>
          <w:sz w:val="20"/>
          <w:szCs w:val="20"/>
          <w:color w:val="auto"/>
        </w:rPr>
      </w:pPr>
      <w:r>
        <w:rPr>
          <w:rFonts w:ascii="Times New Roman" w:cs="Times New Roman" w:eastAsia="Times New Roman" w:hAnsi="Times New Roman"/>
          <w:sz w:val="18"/>
          <w:szCs w:val="18"/>
          <w:color w:val="auto"/>
        </w:rPr>
        <w:t>Our Bylaws provide that any stockholder who wishes to bring business before a meeting of our stockholders, or to nominate candidates for election as directors at a meeting of our stockholders, must deliver advance notice of their proposals to us before the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Bylaws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Certificate of Incorporation and Bylaws grant our board of directors the power to adopt, amend or repeal the Bylaws.</w:t>
      </w:r>
    </w:p>
    <w:p>
      <w:pPr>
        <w:sectPr>
          <w:pgSz w:w="11900" w:h="16838" w:orient="portrait"/>
          <w:cols w:equalWidth="0" w:num="1">
            <w:col w:w="11200"/>
          </w:cols>
          <w:pgMar w:left="320" w:top="1440" w:right="37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189" w:lineRule="exact"/>
        <w:rPr>
          <w:sz w:val="20"/>
          <w:szCs w:val="20"/>
          <w:color w:val="auto"/>
        </w:rPr>
      </w:pPr>
    </w:p>
    <w:p>
      <w:pPr>
        <w:ind w:right="760" w:firstLine="648"/>
        <w:spacing w:after="0" w:line="259" w:lineRule="auto"/>
        <w:rPr>
          <w:sz w:val="20"/>
          <w:szCs w:val="20"/>
          <w:color w:val="auto"/>
        </w:rPr>
      </w:pPr>
      <w:r>
        <w:rPr>
          <w:rFonts w:ascii="Times New Roman" w:cs="Times New Roman" w:eastAsia="Times New Roman" w:hAnsi="Times New Roman"/>
          <w:sz w:val="20"/>
          <w:szCs w:val="20"/>
          <w:color w:val="auto"/>
        </w:rPr>
        <w:t>This Employment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and entered into by Paylocity Corporation, an Illinois corporation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Andrew Cappotelli (“</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effective as of May 13, 2024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parties agree as follows:</w:t>
      </w:r>
    </w:p>
    <w:p>
      <w:pPr>
        <w:spacing w:after="0" w:line="189" w:lineRule="exact"/>
        <w:rPr>
          <w:sz w:val="20"/>
          <w:szCs w:val="20"/>
          <w:color w:val="auto"/>
        </w:rPr>
      </w:pPr>
    </w:p>
    <w:p>
      <w:pPr>
        <w:ind w:right="380" w:firstLine="656"/>
        <w:spacing w:after="0" w:line="255" w:lineRule="auto"/>
        <w:tabs>
          <w:tab w:leader="none" w:pos="129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Employment</w:t>
      </w:r>
      <w:r>
        <w:rPr>
          <w:rFonts w:ascii="Times New Roman" w:cs="Times New Roman" w:eastAsia="Times New Roman" w:hAnsi="Times New Roman"/>
          <w:sz w:val="20"/>
          <w:szCs w:val="20"/>
          <w:color w:val="auto"/>
        </w:rPr>
        <w:t>. Company hereby employs Employee, and Employee hereby accepts such employment, upon the terms and conditions set forth herein.</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Duties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right="220" w:firstLine="1296"/>
        <w:spacing w:after="0" w:line="229"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Position</w:t>
      </w:r>
      <w:r>
        <w:rPr>
          <w:rFonts w:ascii="Times New Roman" w:cs="Times New Roman" w:eastAsia="Times New Roman" w:hAnsi="Times New Roman"/>
          <w:sz w:val="20"/>
          <w:szCs w:val="20"/>
          <w:color w:val="auto"/>
        </w:rPr>
        <w:t>. Employee is employed as Senior Vice President, Operations and shall have the duties and responsibilities assigned by Company’s Co-Chief Executive Officer (“</w:t>
      </w:r>
      <w:r>
        <w:rPr>
          <w:rFonts w:ascii="Times New Roman" w:cs="Times New Roman" w:eastAsia="Times New Roman" w:hAnsi="Times New Roman"/>
          <w:sz w:val="20"/>
          <w:szCs w:val="20"/>
          <w:b w:val="1"/>
          <w:bCs w:val="1"/>
          <w:i w:val="1"/>
          <w:iCs w:val="1"/>
          <w:color w:val="auto"/>
        </w:rPr>
        <w:t>CEO</w:t>
      </w:r>
      <w:r>
        <w:rPr>
          <w:rFonts w:ascii="Times New Roman" w:cs="Times New Roman" w:eastAsia="Times New Roman" w:hAnsi="Times New Roman"/>
          <w:sz w:val="20"/>
          <w:szCs w:val="20"/>
          <w:color w:val="auto"/>
        </w:rPr>
        <w:t>”). Employee shall perform faithfully and diligently all duties assigned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Employee. Company reserves the right to modify Employee’s position and duties at any time in its sole and absolute discretion.</w:t>
      </w:r>
    </w:p>
    <w:p>
      <w:pPr>
        <w:spacing w:after="0" w:line="180" w:lineRule="exact"/>
        <w:rPr>
          <w:sz w:val="20"/>
          <w:szCs w:val="20"/>
          <w:color w:val="auto"/>
        </w:rPr>
      </w:pPr>
    </w:p>
    <w:p>
      <w:pPr>
        <w:ind w:right="100" w:firstLine="1296"/>
        <w:spacing w:after="0" w:line="241" w:lineRule="auto"/>
        <w:rPr>
          <w:sz w:val="20"/>
          <w:szCs w:val="20"/>
          <w:color w:val="auto"/>
        </w:rPr>
      </w:pPr>
      <w:r>
        <w:rPr>
          <w:rFonts w:ascii="Times New Roman" w:cs="Times New Roman" w:eastAsia="Times New Roman" w:hAnsi="Times New Roman"/>
          <w:sz w:val="19"/>
          <w:szCs w:val="19"/>
          <w:color w:val="auto"/>
        </w:rPr>
        <w:t xml:space="preserve">2.2 </w:t>
      </w:r>
      <w:r>
        <w:rPr>
          <w:rFonts w:ascii="Times New Roman" w:cs="Times New Roman" w:eastAsia="Times New Roman" w:hAnsi="Times New Roman"/>
          <w:sz w:val="19"/>
          <w:szCs w:val="19"/>
          <w:u w:val="single" w:color="auto"/>
          <w:color w:val="auto"/>
        </w:rPr>
        <w:t>Best Efforts/Full-time</w:t>
      </w:r>
      <w:r>
        <w:rPr>
          <w:rFonts w:ascii="Times New Roman" w:cs="Times New Roman" w:eastAsia="Times New Roman" w:hAnsi="Times New Roman"/>
          <w:sz w:val="19"/>
          <w:szCs w:val="19"/>
          <w:color w:val="auto"/>
        </w:rPr>
        <w:t>. Employee will expend Employee’s best efforts on behalf of Company, and will abide by all policies and decisions made by Company, as well as all applicable federal, state and local laws, regulations or ordinances. Employee will act</w:t>
      </w:r>
    </w:p>
    <w:p>
      <w:pPr>
        <w:spacing w:after="0" w:line="227" w:lineRule="auto"/>
        <w:rPr>
          <w:sz w:val="20"/>
          <w:szCs w:val="20"/>
          <w:color w:val="auto"/>
        </w:rPr>
      </w:pPr>
      <w:r>
        <w:rPr>
          <w:rFonts w:ascii="Times New Roman" w:cs="Times New Roman" w:eastAsia="Times New Roman" w:hAnsi="Times New Roman"/>
          <w:sz w:val="20"/>
          <w:szCs w:val="20"/>
          <w:color w:val="auto"/>
        </w:rPr>
        <w:t>in the best interest of Company at all times. Employee shall devote Employee’s full business time and efforts to the performance of</w:t>
      </w:r>
    </w:p>
    <w:p>
      <w:pPr>
        <w:ind w:right="220"/>
        <w:spacing w:after="0" w:line="229" w:lineRule="auto"/>
        <w:rPr>
          <w:sz w:val="20"/>
          <w:szCs w:val="20"/>
          <w:color w:val="auto"/>
        </w:rPr>
      </w:pPr>
      <w:r>
        <w:rPr>
          <w:rFonts w:ascii="Times New Roman" w:cs="Times New Roman" w:eastAsia="Times New Roman" w:hAnsi="Times New Roman"/>
          <w:sz w:val="19"/>
          <w:szCs w:val="19"/>
          <w:color w:val="auto"/>
        </w:rPr>
        <w:t>Employee’s assigned duties for Company, unless Employee notifies the CEO in advance of Employee’s intent to engage in other paid work and receives the CEO’s express written consent to do so. Notwithstanding the foregoing, Employee will be permitted to serve as an outside</w:t>
      </w:r>
    </w:p>
    <w:p>
      <w:pPr>
        <w:spacing w:after="0" w:line="2"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0"/>
          <w:szCs w:val="20"/>
          <w:color w:val="auto"/>
        </w:rPr>
        <w:t>director on the board of directors for nonprofit or charitable entities or managing Employee’s personal financial and legal affairs, so long as the foregoing activities, provided such entities are not competitive with Company and subject to the provisions of Section 10 below.</w:t>
      </w:r>
    </w:p>
    <w:p>
      <w:pPr>
        <w:spacing w:after="0" w:line="160" w:lineRule="exact"/>
        <w:rPr>
          <w:sz w:val="20"/>
          <w:szCs w:val="20"/>
          <w:color w:val="auto"/>
        </w:rPr>
      </w:pPr>
    </w:p>
    <w:p>
      <w:pPr>
        <w:ind w:right="40" w:firstLine="656"/>
        <w:spacing w:after="0" w:line="230" w:lineRule="auto"/>
        <w:tabs>
          <w:tab w:leader="none" w:pos="129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At-Will Employment</w:t>
      </w:r>
      <w:r>
        <w:rPr>
          <w:rFonts w:ascii="Times New Roman" w:cs="Times New Roman" w:eastAsia="Times New Roman" w:hAnsi="Times New Roman"/>
          <w:sz w:val="20"/>
          <w:szCs w:val="20"/>
          <w:color w:val="auto"/>
        </w:rPr>
        <w:t>. Employee’s employment with Company is at-will and not for any specified period and may be terminated at any time, with or without cause (as defined below) or advance notice, by either Employee or Company. No representative of Company, other than the CEO or Company’s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has the authority to alter the at-will employment relationship. Any change to the at-will employment relationship must be by specific, written agreement signed by Employee and the CEO or a duly-authorized representative of the Board. Nothing in this Agreement is intended to or should be construed to contradict, modify or alter this at-will relationship.</w:t>
      </w:r>
    </w:p>
    <w:p>
      <w:pPr>
        <w:spacing w:after="0" w:line="17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00" w:firstLine="1296"/>
        <w:spacing w:after="0" w:line="236"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As compensation for Employee’s performance of Employee’s duties hereunder, Company shall pay to Employee an annual base salary of $400,000 less required deductions for state and federal withholding tax, social security and all other</w:t>
      </w:r>
    </w:p>
    <w:p>
      <w:pPr>
        <w:spacing w:after="0" w:line="2"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auto"/>
        </w:rPr>
        <w:t>employment taxes and payroll deductions, payable in accordance with the normal payroll practices of Company. Beginning in fiscal year 2025, the Compensation Committee of the Board shall conduct an annual review of Employee’s base salary based on third party comparison</w:t>
      </w:r>
    </w:p>
    <w:p>
      <w:pPr>
        <w:spacing w:after="0" w:line="227" w:lineRule="auto"/>
        <w:rPr>
          <w:sz w:val="20"/>
          <w:szCs w:val="20"/>
          <w:color w:val="auto"/>
        </w:rPr>
      </w:pPr>
      <w:r>
        <w:rPr>
          <w:rFonts w:ascii="Times New Roman" w:cs="Times New Roman" w:eastAsia="Times New Roman" w:hAnsi="Times New Roman"/>
          <w:sz w:val="20"/>
          <w:szCs w:val="20"/>
          <w:color w:val="auto"/>
        </w:rPr>
        <w:t>data and internal management recommendations. The salary change, if any, will be consistent with the timing of the salary adjustments of</w:t>
      </w:r>
    </w:p>
    <w:p>
      <w:pPr>
        <w:ind w:right="600"/>
        <w:spacing w:after="0" w:line="228" w:lineRule="auto"/>
        <w:rPr>
          <w:sz w:val="20"/>
          <w:szCs w:val="20"/>
          <w:color w:val="auto"/>
        </w:rPr>
      </w:pPr>
      <w:r>
        <w:rPr>
          <w:rFonts w:ascii="Times New Roman" w:cs="Times New Roman" w:eastAsia="Times New Roman" w:hAnsi="Times New Roman"/>
          <w:sz w:val="20"/>
          <w:szCs w:val="20"/>
          <w:color w:val="auto"/>
        </w:rPr>
        <w:t>other senior Employees of Company. In the event Employee’s employment under this Agreement is terminated by either party, for any reason, Employee will earn the base salary prorated to the date of termination.</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Incentive Compensation</w:t>
      </w:r>
      <w:r>
        <w:rPr>
          <w:rFonts w:ascii="Times New Roman" w:cs="Times New Roman" w:eastAsia="Times New Roman" w:hAnsi="Times New Roman"/>
          <w:sz w:val="19"/>
          <w:szCs w:val="19"/>
          <w:color w:val="auto"/>
        </w:rPr>
        <w:t>. Employee will be eligible to earn an annual incentive bonus, the target amount of which</w:t>
      </w:r>
    </w:p>
    <w:p>
      <w:pPr>
        <w:spacing w:after="0" w:line="8"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shall be a percentage as determined by the Company’s Compensation Committee (“</w:t>
      </w:r>
      <w:r>
        <w:rPr>
          <w:rFonts w:ascii="Times New Roman" w:cs="Times New Roman" w:eastAsia="Times New Roman" w:hAnsi="Times New Roman"/>
          <w:sz w:val="20"/>
          <w:szCs w:val="20"/>
          <w:b w:val="1"/>
          <w:bCs w:val="1"/>
          <w:i w:val="1"/>
          <w:iCs w:val="1"/>
          <w:color w:val="auto"/>
        </w:rPr>
        <w:t>Annual Bonus</w:t>
      </w:r>
      <w:r>
        <w:rPr>
          <w:rFonts w:ascii="Times New Roman" w:cs="Times New Roman" w:eastAsia="Times New Roman" w:hAnsi="Times New Roman"/>
          <w:sz w:val="20"/>
          <w:szCs w:val="20"/>
          <w:color w:val="auto"/>
        </w:rPr>
        <w:t>”). The target amount of the Annual Bonus for fiscal year 2024 shall be</w:t>
      </w:r>
    </w:p>
    <w:p>
      <w:pPr>
        <w:sectPr>
          <w:pgSz w:w="11900" w:h="16838" w:orient="portrait"/>
          <w:cols w:equalWidth="0" w:num="1">
            <w:col w:w="11240"/>
          </w:cols>
          <w:pgMar w:left="320" w:top="1395" w:right="339" w:bottom="1440" w:gutter="0" w:footer="0" w:header="0"/>
        </w:sectPr>
      </w:pPr>
    </w:p>
    <w:bookmarkStart w:id="91" w:name="page92"/>
    <w:bookmarkEnd w:id="91"/>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 of Employee’s annualized base salary. The Annual Bonus will be based on Employee’s achievement of certain goals, as well as</w:t>
      </w:r>
    </w:p>
    <w:p>
      <w:pPr>
        <w:spacing w:after="0" w:line="8" w:lineRule="exact"/>
        <w:rPr>
          <w:sz w:val="20"/>
          <w:szCs w:val="20"/>
          <w:color w:val="auto"/>
        </w:rPr>
      </w:pPr>
    </w:p>
    <w:p>
      <w:pPr>
        <w:ind w:right="260"/>
        <w:spacing w:after="0" w:line="228" w:lineRule="auto"/>
        <w:rPr>
          <w:sz w:val="20"/>
          <w:szCs w:val="20"/>
          <w:color w:val="auto"/>
        </w:rPr>
      </w:pPr>
      <w:r>
        <w:rPr>
          <w:rFonts w:ascii="Times New Roman" w:cs="Times New Roman" w:eastAsia="Times New Roman" w:hAnsi="Times New Roman"/>
          <w:sz w:val="20"/>
          <w:szCs w:val="20"/>
          <w:color w:val="auto"/>
        </w:rPr>
        <w:t>Company metrics which shall be established by the Company’s Board. The Annual Bonus shall be less all required taxes and withholdings and will be paid out within 60 days following the end of the fiscal year in which it is earned.</w:t>
      </w:r>
    </w:p>
    <w:p>
      <w:pPr>
        <w:spacing w:after="0" w:line="176" w:lineRule="exact"/>
        <w:rPr>
          <w:sz w:val="20"/>
          <w:szCs w:val="20"/>
          <w:color w:val="auto"/>
        </w:rPr>
      </w:pPr>
    </w:p>
    <w:p>
      <w:pPr>
        <w:ind w:right="60" w:firstLine="1296"/>
        <w:spacing w:after="0" w:line="255"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Equity Incentive Grants</w:t>
      </w:r>
      <w:r>
        <w:rPr>
          <w:rFonts w:ascii="Times New Roman" w:cs="Times New Roman" w:eastAsia="Times New Roman" w:hAnsi="Times New Roman"/>
          <w:sz w:val="20"/>
          <w:szCs w:val="20"/>
          <w:color w:val="auto"/>
        </w:rPr>
        <w:t>. Beginning in fiscal 2025, Employee shall be eligible to receive long-term equity incentives, as determined during the annual review conducted by the Compensation Committee and the Board.</w:t>
      </w:r>
    </w:p>
    <w:p>
      <w:pPr>
        <w:spacing w:after="0" w:line="146" w:lineRule="exact"/>
        <w:rPr>
          <w:sz w:val="20"/>
          <w:szCs w:val="20"/>
          <w:color w:val="auto"/>
        </w:rPr>
      </w:pPr>
    </w:p>
    <w:p>
      <w:pPr>
        <w:ind w:right="120" w:firstLine="1952"/>
        <w:spacing w:after="0" w:line="231" w:lineRule="auto"/>
        <w:tabs>
          <w:tab w:leader="none" w:pos="2582"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prior to the consummation of a Change in Control, the vesting of all unvested shares subject to outstanding equity awards with time-based vesting issued to Employee by Parent shall be accelerated in full and, if applicable, such equity awards shall become exercisable or shall be settled in full immediately prior to such Change in Control provided that Employee’s employment with Company or Parent has not terminated prior to such Change in Control. For the purposes of this Agreement, “</w:t>
      </w:r>
      <w:r>
        <w:rPr>
          <w:rFonts w:ascii="Times New Roman" w:cs="Times New Roman" w:eastAsia="Times New Roman" w:hAnsi="Times New Roman"/>
          <w:sz w:val="20"/>
          <w:szCs w:val="20"/>
          <w:b w:val="1"/>
          <w:bCs w:val="1"/>
          <w:i w:val="1"/>
          <w:iCs w:val="1"/>
          <w:color w:val="auto"/>
        </w:rPr>
        <w:t>Change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shall have the meaning set forth in Company’s 2023 Equity Incentive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right="80" w:firstLine="1952"/>
        <w:spacing w:after="0"/>
        <w:tabs>
          <w:tab w:leader="none" w:pos="2580" w:val="left"/>
        </w:tabs>
        <w:numPr>
          <w:ilvl w:val="2"/>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Employee’s employment with Company terminates due to Employee’s death or Employee’s Disability (as such term is defined in the Plan), (i) the vesting of all unvested shares subject to outstanding equity awards with time-based vesting issued to Employee by Parent shall be accelerated in full and, if applicable, such equity awards shall become exercisable or shall be settled in full and</w:t>
      </w:r>
    </w:p>
    <w:p>
      <w:pPr>
        <w:spacing w:after="0" w:line="1" w:lineRule="exact"/>
        <w:rPr>
          <w:rFonts w:ascii="Times New Roman" w:cs="Times New Roman" w:eastAsia="Times New Roman" w:hAnsi="Times New Roman"/>
          <w:sz w:val="19"/>
          <w:szCs w:val="19"/>
          <w:color w:val="auto"/>
        </w:rPr>
      </w:pPr>
    </w:p>
    <w:p>
      <w:pPr>
        <w:ind w:right="100" w:firstLine="8"/>
        <w:spacing w:after="0" w:line="226" w:lineRule="auto"/>
        <w:tabs>
          <w:tab w:leader="none" w:pos="29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unvested shares subject to outstanding equity awards with performance-based vesting shall remain outstanding, and vest based on actual achievement of the underlying performance goals, with Employee receiving a pro-rated portion of the performance-based award (based on the number of calendar days in the performance period that Employee was employed over the total number of calendar days in the performance period), and, if applicable, such equity awards shall become exercisable or shall be settled to the extent vested upon such determination.</w:t>
      </w:r>
    </w:p>
    <w:p>
      <w:pPr>
        <w:spacing w:after="0" w:line="164" w:lineRule="exact"/>
        <w:rPr>
          <w:rFonts w:ascii="Times New Roman" w:cs="Times New Roman" w:eastAsia="Times New Roman" w:hAnsi="Times New Roman"/>
          <w:sz w:val="20"/>
          <w:szCs w:val="20"/>
          <w:color w:val="auto"/>
        </w:rPr>
      </w:pPr>
    </w:p>
    <w:p>
      <w:pPr>
        <w:ind w:right="140" w:firstLine="656"/>
        <w:spacing w:after="0"/>
        <w:tabs>
          <w:tab w:leader="none" w:pos="1296"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Customary Fringe Benefits</w:t>
      </w:r>
      <w:r>
        <w:rPr>
          <w:rFonts w:ascii="Times New Roman" w:cs="Times New Roman" w:eastAsia="Times New Roman" w:hAnsi="Times New Roman"/>
          <w:sz w:val="20"/>
          <w:szCs w:val="20"/>
          <w:color w:val="auto"/>
        </w:rPr>
        <w:t>. Employee will be eligible for all customary and usual fringe benefits generally available to Employees of Company subject to the terms and conditions of Company’s benefit plan documents. Company reserves the right to change or eliminate the fringe benefits on a prospective basis, at any time, effective upon notice to Employee.</w:t>
      </w:r>
    </w:p>
    <w:p>
      <w:pPr>
        <w:spacing w:after="0" w:line="160" w:lineRule="exact"/>
        <w:rPr>
          <w:rFonts w:ascii="Times New Roman" w:cs="Times New Roman" w:eastAsia="Times New Roman" w:hAnsi="Times New Roman"/>
          <w:sz w:val="20"/>
          <w:szCs w:val="20"/>
          <w:color w:val="auto"/>
        </w:rPr>
      </w:pPr>
    </w:p>
    <w:p>
      <w:pPr>
        <w:ind w:right="100" w:firstLine="656"/>
        <w:spacing w:after="0" w:line="230" w:lineRule="auto"/>
        <w:tabs>
          <w:tab w:leader="none" w:pos="1296"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Employee will be reimbursed for all reasonable, out-of-pocket business expenses incurred in the performance of Employee’s duties on behalf of Company, including reasonable out-of-pocket expenses associated with Employee’s travel as approved by the CEO. To obtain reimbursement, expenses must be submitted promptly with appropriate supporting documentation and will be reimbursed in accordance with Company’s policies. Any reimbursement Employee is entitled to receive shall (a) be paid no later than the last day of Employee’s tax year following the tax year in which the expense was incurred, (b) not be affected by any other expenses that are eligible for reimbursement in any tax year and (c) not be subject to liquidation or exchange for another benefit.</w:t>
      </w:r>
    </w:p>
    <w:p>
      <w:pPr>
        <w:spacing w:after="0" w:line="17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Employee’s Employment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120" w:firstLine="1296"/>
        <w:spacing w:after="0" w:line="236"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Termination for Cause by Company</w:t>
      </w:r>
      <w:r>
        <w:rPr>
          <w:rFonts w:ascii="Times New Roman" w:cs="Times New Roman" w:eastAsia="Times New Roman" w:hAnsi="Times New Roman"/>
          <w:sz w:val="20"/>
          <w:szCs w:val="20"/>
          <w:color w:val="auto"/>
        </w:rPr>
        <w:t>. Company may terminate Employee’s employment immediately at any time for Cause. For purposes of this Agreement,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is defined as: (i) material dishonest or fraudulent behavior, or convictions of a felony; (ii)</w:t>
      </w:r>
    </w:p>
    <w:p>
      <w:pPr>
        <w:spacing w:after="0" w:line="2"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9"/>
          <w:szCs w:val="19"/>
          <w:color w:val="auto"/>
        </w:rPr>
        <w:t>the material breach of any covenant contained or referred to in this Agreement; (iii) the failure of Employee to meet fair and reasonable performance standards established by Company from time to time; (iv) Employee’s failure or refusal to perform specific directives of CEO,</w:t>
      </w:r>
    </w:p>
    <w:p>
      <w:pPr>
        <w:spacing w:after="0"/>
        <w:rPr>
          <w:sz w:val="20"/>
          <w:szCs w:val="20"/>
          <w:color w:val="auto"/>
        </w:rPr>
      </w:pPr>
      <w:r>
        <w:rPr>
          <w:rFonts w:ascii="Times New Roman" w:cs="Times New Roman" w:eastAsia="Times New Roman" w:hAnsi="Times New Roman"/>
          <w:sz w:val="19"/>
          <w:szCs w:val="19"/>
          <w:color w:val="auto"/>
        </w:rPr>
        <w:t>which directives are consistent with the scope and nature of Employee’s duties and responsibilities, and which are not remedied by Employee</w:t>
      </w:r>
    </w:p>
    <w:p>
      <w:pPr>
        <w:spacing w:after="0" w:line="229" w:lineRule="auto"/>
        <w:rPr>
          <w:sz w:val="20"/>
          <w:szCs w:val="20"/>
          <w:color w:val="auto"/>
        </w:rPr>
      </w:pPr>
      <w:r>
        <w:rPr>
          <w:rFonts w:ascii="Times New Roman" w:cs="Times New Roman" w:eastAsia="Times New Roman" w:hAnsi="Times New Roman"/>
          <w:sz w:val="19"/>
          <w:szCs w:val="19"/>
          <w:color w:val="auto"/>
        </w:rPr>
        <w:t>within thirty (30) days after written notice; (v) any violation of the covenant not to disclose confidential information regarding the business of Company and its products as set forth in Section 7 of this Agreement; or (vi) any act of material dishonesty by Employee which adversely</w:t>
      </w:r>
    </w:p>
    <w:p>
      <w:pPr>
        <w:spacing w:after="0" w:line="2"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0"/>
          <w:szCs w:val="20"/>
          <w:color w:val="auto"/>
        </w:rPr>
        <w:t>affects the business of Company. In the event Employee’s employment is terminated in accordance with this subsection 7.1, Employee shall be entitled</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receive only Employee’s base salary then in effect, prorated to the date of termination and all benefits accrued through the date of</w:t>
      </w:r>
    </w:p>
    <w:p>
      <w:pPr>
        <w:spacing w:after="0" w:line="8"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9"/>
          <w:szCs w:val="19"/>
          <w:color w:val="auto"/>
        </w:rPr>
        <w:t>termination (“</w:t>
      </w:r>
      <w:r>
        <w:rPr>
          <w:rFonts w:ascii="Times New Roman" w:cs="Times New Roman" w:eastAsia="Times New Roman" w:hAnsi="Times New Roman"/>
          <w:sz w:val="19"/>
          <w:szCs w:val="19"/>
          <w:b w:val="1"/>
          <w:bCs w:val="1"/>
          <w:i w:val="1"/>
          <w:iCs w:val="1"/>
          <w:color w:val="auto"/>
        </w:rPr>
        <w:t>Accrued Benefits</w:t>
      </w:r>
      <w:r>
        <w:rPr>
          <w:rFonts w:ascii="Times New Roman" w:cs="Times New Roman" w:eastAsia="Times New Roman" w:hAnsi="Times New Roman"/>
          <w:sz w:val="19"/>
          <w:szCs w:val="19"/>
          <w:color w:val="auto"/>
        </w:rPr>
        <w:t>”). All other Company obligations to Employee pursuant to this Agreement will become automatically terminated and completely extinguished. Employee will not be entitled to receive the Severance Payment described in subsection 7.2 below.</w:t>
      </w:r>
    </w:p>
    <w:p>
      <w:pPr>
        <w:spacing w:after="0" w:line="17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u w:val="single" w:color="auto"/>
          <w:color w:val="auto"/>
        </w:rPr>
        <w:t>Termination Without Cause by Company/Severance</w:t>
      </w:r>
      <w:r>
        <w:rPr>
          <w:rFonts w:ascii="Times New Roman" w:cs="Times New Roman" w:eastAsia="Times New Roman" w:hAnsi="Times New Roman"/>
          <w:sz w:val="19"/>
          <w:szCs w:val="19"/>
          <w:color w:val="auto"/>
        </w:rPr>
        <w:t>. Company may terminate Employee’s employment under this</w:t>
      </w:r>
    </w:p>
    <w:p>
      <w:pPr>
        <w:spacing w:after="0" w:line="8"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9"/>
          <w:szCs w:val="19"/>
          <w:color w:val="auto"/>
        </w:rPr>
        <w:t>Agreement without Cause at any time on thirty (30) days’ advance written notice to Employee. In the event of such termination, Employee will receive Employee’s base salary then in effect, prorated to the date of termination, and Accrued Benefits. In addition, Employee will</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9"/>
          <w:szCs w:val="19"/>
          <w:color w:val="auto"/>
        </w:rPr>
        <w:t>receive a “</w:t>
      </w:r>
      <w:r>
        <w:rPr>
          <w:rFonts w:ascii="Times New Roman" w:cs="Times New Roman" w:eastAsia="Times New Roman" w:hAnsi="Times New Roman"/>
          <w:sz w:val="19"/>
          <w:szCs w:val="19"/>
          <w:b w:val="1"/>
          <w:bCs w:val="1"/>
          <w:i w:val="1"/>
          <w:iCs w:val="1"/>
          <w:color w:val="auto"/>
        </w:rPr>
        <w:t>Severance Payment</w:t>
      </w:r>
      <w:r>
        <w:rPr>
          <w:rFonts w:ascii="Times New Roman" w:cs="Times New Roman" w:eastAsia="Times New Roman" w:hAnsi="Times New Roman"/>
          <w:sz w:val="19"/>
          <w:szCs w:val="19"/>
          <w:color w:val="auto"/>
        </w:rPr>
        <w:t>” equivalent to twelve (12) months of Employee’s base salary then in effect on the date of termination, payable as salary continuation in equal installments in accordance with Company’s regular payroll cycle over a twelve (12) month period, beginning</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on the first regular payday occurring 60 days following the termination date. Employee will only receive the Severance Payment if Employee executes a full general release in a form acceptable to Company, releasing all claims, known or unknown, that Employee may have against</w:t>
      </w:r>
    </w:p>
    <w:p>
      <w:pPr>
        <w:spacing w:after="0" w:line="227" w:lineRule="auto"/>
        <w:rPr>
          <w:sz w:val="20"/>
          <w:szCs w:val="20"/>
          <w:color w:val="auto"/>
        </w:rPr>
      </w:pPr>
      <w:r>
        <w:rPr>
          <w:rFonts w:ascii="Times New Roman" w:cs="Times New Roman" w:eastAsia="Times New Roman" w:hAnsi="Times New Roman"/>
          <w:sz w:val="20"/>
          <w:szCs w:val="20"/>
          <w:color w:val="auto"/>
        </w:rPr>
        <w:t>Company arising out of or any way related to Employee’s employment or termination of employment with Company, and such release has</w:t>
      </w:r>
    </w:p>
    <w:p>
      <w:pPr>
        <w:ind w:right="580"/>
        <w:spacing w:after="0" w:line="229" w:lineRule="auto"/>
        <w:rPr>
          <w:sz w:val="20"/>
          <w:szCs w:val="20"/>
          <w:color w:val="auto"/>
        </w:rPr>
      </w:pPr>
      <w:r>
        <w:rPr>
          <w:rFonts w:ascii="Times New Roman" w:cs="Times New Roman" w:eastAsia="Times New Roman" w:hAnsi="Times New Roman"/>
          <w:sz w:val="19"/>
          <w:szCs w:val="19"/>
          <w:color w:val="auto"/>
        </w:rPr>
        <w:t>become effective in accordance with its terms prior to the 60th day following the termination date. All other Company obligations to Employee will be automatically terminated and completely extinguished. If Employee’s employment with Company terminates due to</w:t>
      </w:r>
    </w:p>
    <w:p>
      <w:pPr>
        <w:spacing w:after="0" w:line="2" w:lineRule="exact"/>
        <w:rPr>
          <w:sz w:val="20"/>
          <w:szCs w:val="20"/>
          <w:color w:val="auto"/>
        </w:rPr>
      </w:pPr>
    </w:p>
    <w:p>
      <w:pPr>
        <w:ind w:right="1140"/>
        <w:spacing w:after="0" w:line="236" w:lineRule="auto"/>
        <w:rPr>
          <w:sz w:val="20"/>
          <w:szCs w:val="20"/>
          <w:color w:val="auto"/>
        </w:rPr>
      </w:pPr>
      <w:r>
        <w:rPr>
          <w:rFonts w:ascii="Times New Roman" w:cs="Times New Roman" w:eastAsia="Times New Roman" w:hAnsi="Times New Roman"/>
          <w:sz w:val="20"/>
          <w:szCs w:val="20"/>
          <w:color w:val="auto"/>
        </w:rPr>
        <w:t>Employee’s death or Employee’s inability to perform the essential functions of Employee’s position with or without reasonable accommodation, Employee shall not be entitled to the Severance Payment described above.</w:t>
      </w:r>
    </w:p>
    <w:p>
      <w:pPr>
        <w:spacing w:after="0" w:line="160" w:lineRule="exact"/>
        <w:rPr>
          <w:sz w:val="20"/>
          <w:szCs w:val="20"/>
          <w:color w:val="auto"/>
        </w:rPr>
      </w:pPr>
    </w:p>
    <w:p>
      <w:pPr>
        <w:ind w:right="100" w:firstLine="1296"/>
        <w:spacing w:after="0" w:line="249" w:lineRule="auto"/>
        <w:rPr>
          <w:sz w:val="20"/>
          <w:szCs w:val="20"/>
          <w:color w:val="auto"/>
        </w:rPr>
      </w:pPr>
      <w:r>
        <w:rPr>
          <w:rFonts w:ascii="Times New Roman" w:cs="Times New Roman" w:eastAsia="Times New Roman" w:hAnsi="Times New Roman"/>
          <w:sz w:val="19"/>
          <w:szCs w:val="19"/>
          <w:color w:val="auto"/>
        </w:rPr>
        <w:t xml:space="preserve">7.3 </w:t>
      </w:r>
      <w:r>
        <w:rPr>
          <w:rFonts w:ascii="Times New Roman" w:cs="Times New Roman" w:eastAsia="Times New Roman" w:hAnsi="Times New Roman"/>
          <w:sz w:val="19"/>
          <w:szCs w:val="19"/>
          <w:u w:val="single" w:color="auto"/>
          <w:color w:val="auto"/>
        </w:rPr>
        <w:t>Voluntary Resignation by Employee</w:t>
      </w:r>
      <w:r>
        <w:rPr>
          <w:rFonts w:ascii="Times New Roman" w:cs="Times New Roman" w:eastAsia="Times New Roman" w:hAnsi="Times New Roman"/>
          <w:sz w:val="19"/>
          <w:szCs w:val="19"/>
          <w:color w:val="auto"/>
        </w:rPr>
        <w:t>. Employee may voluntarily resign Employee’s position with Company at any time on thirty (30) days’ advance written notice. In the event of Employee’s voluntary resignation, Employee will be entitled to receive only</w:t>
      </w:r>
    </w:p>
    <w:p>
      <w:pPr>
        <w:spacing w:after="0" w:line="1" w:lineRule="exact"/>
        <w:rPr>
          <w:sz w:val="20"/>
          <w:szCs w:val="20"/>
          <w:color w:val="auto"/>
        </w:rPr>
      </w:pPr>
    </w:p>
    <w:p>
      <w:pPr>
        <w:ind w:right="440"/>
        <w:spacing w:after="0" w:line="229" w:lineRule="auto"/>
        <w:rPr>
          <w:sz w:val="20"/>
          <w:szCs w:val="20"/>
          <w:color w:val="auto"/>
        </w:rPr>
      </w:pPr>
      <w:r>
        <w:rPr>
          <w:rFonts w:ascii="Times New Roman" w:cs="Times New Roman" w:eastAsia="Times New Roman" w:hAnsi="Times New Roman"/>
          <w:sz w:val="19"/>
          <w:szCs w:val="19"/>
          <w:color w:val="auto"/>
        </w:rPr>
        <w:t>Accrued Benefits for the thirty-day notice period and no other amount. All other Company obligations to Employee pursuant to this Agreement will become automatically terminated and completely extinguished. In addition, Employee will not be entitled to receive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Severance Payment described in subsection 7.2 above.</w:t>
      </w:r>
    </w:p>
    <w:p>
      <w:pPr>
        <w:spacing w:after="0" w:line="180" w:lineRule="exact"/>
        <w:rPr>
          <w:sz w:val="20"/>
          <w:szCs w:val="20"/>
          <w:color w:val="auto"/>
        </w:rPr>
      </w:pPr>
    </w:p>
    <w:p>
      <w:pPr>
        <w:ind w:right="60" w:firstLine="656"/>
        <w:spacing w:after="0"/>
        <w:tabs>
          <w:tab w:leader="none" w:pos="129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of Board or Other Positions</w:t>
      </w:r>
      <w:r>
        <w:rPr>
          <w:rFonts w:ascii="Times New Roman" w:cs="Times New Roman" w:eastAsia="Times New Roman" w:hAnsi="Times New Roman"/>
          <w:sz w:val="20"/>
          <w:szCs w:val="20"/>
          <w:color w:val="auto"/>
        </w:rPr>
        <w:t>. Upon the termination of Employee’s employment for any reason, Employee agrees to immediately resign all other positions (including Board membership) Employee may hold on behalf of Company.</w:t>
      </w:r>
    </w:p>
    <w:p>
      <w:pPr>
        <w:spacing w:after="0" w:line="17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Section 409A</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right="40" w:firstLine="1952"/>
        <w:spacing w:after="0" w:line="225" w:lineRule="auto"/>
        <w:tabs>
          <w:tab w:leader="none" w:pos="2582"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set forth in this Agreement to the contrary, no amount payable pursuant to this Agreement which constitutes a “deferral of compensation” within the meaning of the Treasury Regulations issued pursuant to Section 409A of the Code (the “</w:t>
      </w:r>
      <w:r>
        <w:rPr>
          <w:rFonts w:ascii="Times New Roman" w:cs="Times New Roman" w:eastAsia="Times New Roman" w:hAnsi="Times New Roman"/>
          <w:sz w:val="20"/>
          <w:szCs w:val="20"/>
          <w:b w:val="1"/>
          <w:bCs w:val="1"/>
          <w:i w:val="1"/>
          <w:iCs w:val="1"/>
          <w:color w:val="auto"/>
        </w:rPr>
        <w:t>Section 409A Regulations</w:t>
      </w:r>
      <w:r>
        <w:rPr>
          <w:rFonts w:ascii="Times New Roman" w:cs="Times New Roman" w:eastAsia="Times New Roman" w:hAnsi="Times New Roman"/>
          <w:sz w:val="20"/>
          <w:szCs w:val="20"/>
          <w:color w:val="auto"/>
        </w:rPr>
        <w:t>”) shall be paid unless and until Employee has incurred a “separation from service” within the meaning of the Section 409A Regulations. Furthermore, to the extent that Employee is a “specified employee” within the meaning of the Section 409A Regulations as of the date of Employee’s separation from service, no amount that constitutes a deferral of compensation which is payable on account of Employee’s separation from service shall be paid to Employee before the date (the “</w:t>
      </w:r>
      <w:r>
        <w:rPr>
          <w:rFonts w:ascii="Times New Roman" w:cs="Times New Roman" w:eastAsia="Times New Roman" w:hAnsi="Times New Roman"/>
          <w:sz w:val="20"/>
          <w:szCs w:val="20"/>
          <w:b w:val="1"/>
          <w:bCs w:val="1"/>
          <w:i w:val="1"/>
          <w:iCs w:val="1"/>
          <w:color w:val="auto"/>
        </w:rPr>
        <w:t>Delayed Payment Date</w:t>
      </w:r>
      <w:r>
        <w:rPr>
          <w:rFonts w:ascii="Times New Roman" w:cs="Times New Roman" w:eastAsia="Times New Roman" w:hAnsi="Times New Roman"/>
          <w:sz w:val="20"/>
          <w:szCs w:val="20"/>
          <w:color w:val="auto"/>
        </w:rPr>
        <w:t>”) which is first day of the seventh month after the date of Employee’s separation from service or, if earlier, the date of Employee’s death following such separation from service. All such amounts that would, but for this Section, become payable prior to the Delayed Payment Date will be accumulated and paid on the Delayed Payment Date.</w:t>
      </w:r>
    </w:p>
    <w:p>
      <w:pPr>
        <w:spacing w:after="0" w:line="179" w:lineRule="exact"/>
        <w:rPr>
          <w:rFonts w:ascii="Times New Roman" w:cs="Times New Roman" w:eastAsia="Times New Roman" w:hAnsi="Times New Roman"/>
          <w:sz w:val="20"/>
          <w:szCs w:val="20"/>
          <w:color w:val="auto"/>
        </w:rPr>
      </w:pPr>
    </w:p>
    <w:p>
      <w:pPr>
        <w:ind w:right="160" w:firstLine="1952"/>
        <w:spacing w:after="0" w:line="231" w:lineRule="auto"/>
        <w:tabs>
          <w:tab w:leader="none" w:pos="258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Company intends that income provided to Employee pursuant to this Agreement will not be subject to taxation under Section 409A of the Code. The provisions of this Agreement shall be interpreted and construed in favor of satisfying any applicable requirements of Section 409A of the Code. </w:t>
      </w:r>
      <w:r>
        <w:rPr>
          <w:rFonts w:ascii="Times New Roman" w:cs="Times New Roman" w:eastAsia="Times New Roman" w:hAnsi="Times New Roman"/>
          <w:sz w:val="20"/>
          <w:szCs w:val="20"/>
          <w:b w:val="1"/>
          <w:bCs w:val="1"/>
          <w:color w:val="auto"/>
        </w:rPr>
        <w:t>However, Company does not guarantee any particular tax effect for 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provided to Employee pursuant to this Agreement. </w:t>
      </w:r>
      <w:r>
        <w:rPr>
          <w:rFonts w:ascii="Times New Roman" w:cs="Times New Roman" w:eastAsia="Times New Roman" w:hAnsi="Times New Roman"/>
          <w:sz w:val="20"/>
          <w:szCs w:val="20"/>
          <w:color w:val="auto"/>
        </w:rPr>
        <w:t>In any event, except for Company’s responsibility to withhold applicable income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taxes from compensation paid or provided</w:t>
      </w:r>
    </w:p>
    <w:p>
      <w:pPr>
        <w:sectPr>
          <w:pgSz w:w="11900" w:h="16838" w:orient="portrait"/>
          <w:cols w:equalWidth="0" w:num="1">
            <w:col w:w="11220"/>
          </w:cols>
          <w:pgMar w:left="320" w:top="1440" w:right="359" w:bottom="1440" w:gutter="0" w:footer="0" w:header="0"/>
        </w:sectPr>
      </w:pPr>
    </w:p>
    <w:bookmarkStart w:id="93" w:name="page94"/>
    <w:bookmarkEnd w:id="93"/>
    <w:p>
      <w:pPr>
        <w:spacing w:after="0" w:line="176"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20"/>
          <w:szCs w:val="20"/>
          <w:color w:val="auto"/>
        </w:rPr>
        <w:t>to Employee, Company shall not be responsible for the payment of any applicable taxes on compensation paid or provided to Employee pursuant to this Agreement.</w:t>
      </w:r>
    </w:p>
    <w:p>
      <w:pPr>
        <w:spacing w:after="0" w:line="146" w:lineRule="exact"/>
        <w:rPr>
          <w:sz w:val="20"/>
          <w:szCs w:val="20"/>
          <w:color w:val="auto"/>
        </w:rPr>
      </w:pPr>
    </w:p>
    <w:p>
      <w:pPr>
        <w:ind w:firstLine="1952"/>
        <w:spacing w:after="0" w:line="230" w:lineRule="auto"/>
        <w:tabs>
          <w:tab w:leader="none" w:pos="2582"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 reimbursement of expenses or in-kind benefits provided pursuant to this Agreement shall be subject to the following conditions: (1) the expenses eligible for reimbursement or in-kind benefits in one taxable year shall not affect the expenses eligible for reimbursement or in-kind benefits in any other taxable year; (2) the reimbursement of eligible expenses or in-kind benefits shall be made promptly, subject to Company’s applicable policies, but in no event later than the end of the year after the year in which such expense was incurred; and (3) the right to reimbursement or in-kind benefits shall not be subject to liquidation or exchange for another benefit</w:t>
      </w:r>
      <w:r>
        <w:rPr>
          <w:rFonts w:ascii="Times New Roman" w:cs="Times New Roman" w:eastAsia="Times New Roman" w:hAnsi="Times New Roman"/>
          <w:sz w:val="20"/>
          <w:szCs w:val="20"/>
          <w:b w:val="1"/>
          <w:bCs w:val="1"/>
          <w:color w:val="auto"/>
        </w:rPr>
        <w:t>.</w:t>
      </w:r>
    </w:p>
    <w:p>
      <w:pPr>
        <w:spacing w:after="0" w:line="176" w:lineRule="exact"/>
        <w:rPr>
          <w:rFonts w:ascii="Times New Roman" w:cs="Times New Roman" w:eastAsia="Times New Roman" w:hAnsi="Times New Roman"/>
          <w:sz w:val="20"/>
          <w:szCs w:val="20"/>
          <w:color w:val="auto"/>
        </w:rPr>
      </w:pPr>
    </w:p>
    <w:p>
      <w:pPr>
        <w:ind w:right="900" w:firstLine="1952"/>
        <w:spacing w:after="0"/>
        <w:tabs>
          <w:tab w:leader="none" w:pos="258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Section 409A of the Code, the right to a series of installment payments under this Agreement shall be treated as a right to a series of separate payments.</w:t>
      </w:r>
    </w:p>
    <w:p>
      <w:pPr>
        <w:spacing w:after="0" w:line="174" w:lineRule="exact"/>
        <w:rPr>
          <w:rFonts w:ascii="Times New Roman" w:cs="Times New Roman" w:eastAsia="Times New Roman" w:hAnsi="Times New Roman"/>
          <w:sz w:val="20"/>
          <w:szCs w:val="20"/>
          <w:color w:val="auto"/>
        </w:rPr>
      </w:pPr>
    </w:p>
    <w:p>
      <w:pPr>
        <w:ind w:right="160" w:firstLine="656"/>
        <w:spacing w:after="0" w:line="227" w:lineRule="auto"/>
        <w:tabs>
          <w:tab w:leader="none" w:pos="128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Conflict of Interest</w:t>
      </w:r>
      <w:r>
        <w:rPr>
          <w:rFonts w:ascii="Times New Roman" w:cs="Times New Roman" w:eastAsia="Times New Roman" w:hAnsi="Times New Roman"/>
          <w:sz w:val="20"/>
          <w:szCs w:val="20"/>
          <w:color w:val="auto"/>
        </w:rPr>
        <w:t>. During the term of Employee’s employment with Company, Employee agrees not to engage in any work, paid or unpaid, or other activities that create a conflict of interest. Such work and/or activities shall include, but is not limited to, directly or indirectly competing with Company in any way, or acting as an officer, director, employee, consultant, stockholder, volunteer, lender, or agent of any business enterprise of the same nature as, or which is in direct competition with, the business in which Company is now engaged or in which Company becomes engaged during the term of Employee’s employment with Company, as may be determined by Company in its sole discretion. If Company believes such a conflict exists during the term of this Agreement, Company may ask Employee to, and Employee shall, discontinue the other work and/or activities or resign employment with Company.</w:t>
      </w:r>
    </w:p>
    <w:p>
      <w:pPr>
        <w:spacing w:after="0" w:line="178" w:lineRule="exact"/>
        <w:rPr>
          <w:rFonts w:ascii="Times New Roman" w:cs="Times New Roman" w:eastAsia="Times New Roman" w:hAnsi="Times New Roman"/>
          <w:sz w:val="20"/>
          <w:szCs w:val="20"/>
          <w:color w:val="auto"/>
        </w:rPr>
      </w:pPr>
    </w:p>
    <w:p>
      <w:pPr>
        <w:ind w:right="120" w:firstLine="656"/>
        <w:spacing w:after="0" w:line="227" w:lineRule="auto"/>
        <w:tabs>
          <w:tab w:leader="none" w:pos="1279"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 Employee agrees that during Employee’s employment with Company and for a period of twelve (12) months immediately following termination of such employment for any reason (the “</w:t>
      </w:r>
      <w:r>
        <w:rPr>
          <w:rFonts w:ascii="Times New Roman" w:cs="Times New Roman" w:eastAsia="Times New Roman" w:hAnsi="Times New Roman"/>
          <w:sz w:val="20"/>
          <w:szCs w:val="20"/>
          <w:b w:val="1"/>
          <w:bCs w:val="1"/>
          <w:i w:val="1"/>
          <w:iCs w:val="1"/>
          <w:color w:val="auto"/>
        </w:rPr>
        <w:t>Non-competition Period</w:t>
      </w:r>
      <w:r>
        <w:rPr>
          <w:rFonts w:ascii="Times New Roman" w:cs="Times New Roman" w:eastAsia="Times New Roman" w:hAnsi="Times New Roman"/>
          <w:sz w:val="20"/>
          <w:szCs w:val="20"/>
          <w:color w:val="auto"/>
        </w:rPr>
        <w:t>”), Employee shall not in any manner, directly or indirectly, through any person, firm or corporation, alone or as a member of a partnership or as an officer, director, stockholder, investor or employee of or consultant to any other corporation or enterprise or otherwise, engage or be engaged, or assist any other person, firm, corporation or enterprise in engaging or being engaged, in any business, in which Employee was involved or had knowledge, being conducted by, or contemplated by, Company or any of its subsidiaries as of the termination of Employee’s employment in any geographic area in which Company or any of its subsidiaries is then conducting such business.</w:t>
      </w:r>
    </w:p>
    <w:p>
      <w:pPr>
        <w:spacing w:after="0" w:line="178" w:lineRule="exact"/>
        <w:rPr>
          <w:rFonts w:ascii="Times New Roman" w:cs="Times New Roman" w:eastAsia="Times New Roman" w:hAnsi="Times New Roman"/>
          <w:sz w:val="20"/>
          <w:szCs w:val="20"/>
          <w:color w:val="auto"/>
        </w:rPr>
      </w:pPr>
    </w:p>
    <w:p>
      <w:pPr>
        <w:ind w:right="80" w:firstLine="656"/>
        <w:spacing w:after="0" w:line="232" w:lineRule="auto"/>
        <w:tabs>
          <w:tab w:leader="none" w:pos="128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Non-Solicitation</w:t>
      </w:r>
      <w:r>
        <w:rPr>
          <w:rFonts w:ascii="Times New Roman" w:cs="Times New Roman" w:eastAsia="Times New Roman" w:hAnsi="Times New Roman"/>
          <w:sz w:val="20"/>
          <w:szCs w:val="20"/>
          <w:color w:val="auto"/>
        </w:rPr>
        <w:t>. Employee acknowledges that Company’s relationship with its clients, employees, vendors, suppliers and other persons with whom Company has a business relationship (hereinafter referred to as “</w:t>
      </w:r>
      <w:r>
        <w:rPr>
          <w:rFonts w:ascii="Times New Roman" w:cs="Times New Roman" w:eastAsia="Times New Roman" w:hAnsi="Times New Roman"/>
          <w:sz w:val="20"/>
          <w:szCs w:val="20"/>
          <w:b w:val="1"/>
          <w:bCs w:val="1"/>
          <w:i w:val="1"/>
          <w:iCs w:val="1"/>
          <w:color w:val="auto"/>
        </w:rPr>
        <w:t>Prohibited Persons</w:t>
      </w:r>
      <w:r>
        <w:rPr>
          <w:rFonts w:ascii="Times New Roman" w:cs="Times New Roman" w:eastAsia="Times New Roman" w:hAnsi="Times New Roman"/>
          <w:sz w:val="20"/>
          <w:szCs w:val="20"/>
          <w:color w:val="auto"/>
        </w:rPr>
        <w:t>”), are special and unique, and that Company’s relationship with the Prohibited Persons may not be able to be replaced by Company. Employee further acknowledges that the protection of Company’s Prohibited Persons is essential.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Therefore, Employee expressly covenants and agrees that during Employee’s employment with Company and for a period of twenty-four</w:t>
      </w:r>
    </w:p>
    <w:p>
      <w:pPr>
        <w:spacing w:after="0" w:line="8" w:lineRule="exact"/>
        <w:rPr>
          <w:sz w:val="20"/>
          <w:szCs w:val="20"/>
          <w:color w:val="auto"/>
        </w:rPr>
      </w:pPr>
    </w:p>
    <w:p>
      <w:pPr>
        <w:ind w:right="60" w:firstLine="8"/>
        <w:spacing w:after="0" w:line="227" w:lineRule="auto"/>
        <w:tabs>
          <w:tab w:leader="none" w:pos="379"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immediately following termination of Employee’s employment for any reason (the “</w:t>
      </w:r>
      <w:r>
        <w:rPr>
          <w:rFonts w:ascii="Times New Roman" w:cs="Times New Roman" w:eastAsia="Times New Roman" w:hAnsi="Times New Roman"/>
          <w:sz w:val="20"/>
          <w:szCs w:val="20"/>
          <w:b w:val="1"/>
          <w:bCs w:val="1"/>
          <w:i w:val="1"/>
          <w:iCs w:val="1"/>
          <w:color w:val="auto"/>
        </w:rPr>
        <w:t>Non-solicitation Period</w:t>
      </w:r>
      <w:r>
        <w:rPr>
          <w:rFonts w:ascii="Times New Roman" w:cs="Times New Roman" w:eastAsia="Times New Roman" w:hAnsi="Times New Roman"/>
          <w:sz w:val="20"/>
          <w:szCs w:val="20"/>
          <w:color w:val="auto"/>
        </w:rPr>
        <w:t>”), Employee will not at any time for himself or on behalf of any other person, firm, partnership or corporation: (1) induce, or attempt to induce, any Prohibited Persons either to refrain, or to cease doing business with Company; or (2) directly or indirectly solicit, hire, induce or otherwise engage a Prohibited Person in any competitive business.</w:t>
      </w:r>
    </w:p>
    <w:p>
      <w:pPr>
        <w:spacing w:after="0" w:line="17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Nondisclosure of Confidential Information</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00" w:firstLine="1296"/>
        <w:spacing w:after="0" w:line="249" w:lineRule="auto"/>
        <w:rPr>
          <w:sz w:val="20"/>
          <w:szCs w:val="20"/>
          <w:color w:val="auto"/>
        </w:rPr>
      </w:pPr>
      <w:r>
        <w:rPr>
          <w:rFonts w:ascii="Times New Roman" w:cs="Times New Roman" w:eastAsia="Times New Roman" w:hAnsi="Times New Roman"/>
          <w:sz w:val="19"/>
          <w:szCs w:val="19"/>
          <w:color w:val="auto"/>
        </w:rPr>
        <w:t>13.1 Employee recognizes that the knowledge and information about, and relationships with business associates, customers, clients and agents of Company and its affiliated companies, and the business methods, systems, plans, and policies of Company</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and of its affiliated companies, which Employee may receive, obtain, or establish as an employee of Company are valuable and unique assets of Company or its affiliates. Employee agrees that, during any Employment Period and</w:t>
      </w:r>
    </w:p>
    <w:p>
      <w:pPr>
        <w:sectPr>
          <w:pgSz w:w="11900" w:h="16838" w:orient="portrait"/>
          <w:cols w:equalWidth="0" w:num="1">
            <w:col w:w="11220"/>
          </w:cols>
          <w:pgMar w:left="320" w:top="1440" w:right="359" w:bottom="1440" w:gutter="0" w:footer="0" w:header="0"/>
        </w:sectPr>
      </w:pPr>
    </w:p>
    <w:bookmarkStart w:id="94" w:name="page95"/>
    <w:bookmarkEnd w:id="94"/>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thereafter, Employee shall not disclose or remove, without the written consent of Company, (i) any material or substantial, confidential, or</w:t>
      </w:r>
    </w:p>
    <w:p>
      <w:pPr>
        <w:spacing w:after="0" w:line="8" w:lineRule="exact"/>
        <w:rPr>
          <w:sz w:val="20"/>
          <w:szCs w:val="20"/>
          <w:color w:val="auto"/>
        </w:rPr>
      </w:pPr>
    </w:p>
    <w:p>
      <w:pPr>
        <w:ind w:right="320"/>
        <w:spacing w:after="0" w:line="229" w:lineRule="auto"/>
        <w:rPr>
          <w:sz w:val="20"/>
          <w:szCs w:val="20"/>
          <w:color w:val="auto"/>
        </w:rPr>
      </w:pPr>
      <w:r>
        <w:rPr>
          <w:rFonts w:ascii="Times New Roman" w:cs="Times New Roman" w:eastAsia="Times New Roman" w:hAnsi="Times New Roman"/>
          <w:sz w:val="19"/>
          <w:szCs w:val="19"/>
          <w:color w:val="auto"/>
        </w:rPr>
        <w:t>proprietary know-how, data, or information, including, but not limited to software, data, information relating to customers, pricing, safety manuals, training manuals, Quality Assurance/Quality Control manuals, mandatory processes and means or techniques pertaining to</w:t>
      </w:r>
    </w:p>
    <w:p>
      <w:pPr>
        <w:spacing w:after="0"/>
        <w:rPr>
          <w:sz w:val="20"/>
          <w:szCs w:val="20"/>
          <w:color w:val="auto"/>
        </w:rPr>
      </w:pPr>
      <w:r>
        <w:rPr>
          <w:rFonts w:ascii="Times New Roman" w:cs="Times New Roman" w:eastAsia="Times New Roman" w:hAnsi="Times New Roman"/>
          <w:sz w:val="19"/>
          <w:szCs w:val="19"/>
          <w:color w:val="auto"/>
        </w:rPr>
        <w:t>Company or its affiliates, and (ii) any business plans, strategies, targets, or directives, to any person, firm, corporation, or any other entity, for</w:t>
      </w:r>
    </w:p>
    <w:p>
      <w:pPr>
        <w:ind w:right="280"/>
        <w:spacing w:after="0" w:line="229" w:lineRule="auto"/>
        <w:rPr>
          <w:sz w:val="20"/>
          <w:szCs w:val="20"/>
          <w:color w:val="auto"/>
        </w:rPr>
      </w:pPr>
      <w:r>
        <w:rPr>
          <w:rFonts w:ascii="Times New Roman" w:cs="Times New Roman" w:eastAsia="Times New Roman" w:hAnsi="Times New Roman"/>
          <w:sz w:val="19"/>
          <w:szCs w:val="19"/>
          <w:color w:val="auto"/>
        </w:rPr>
        <w:t>any reason or purpose whatsoever. Employee acknowledges and agrees that all memoranda, notes, records, clients lists, client information and other documents, computer software, data or material in any form made or compiled by Employee or made available to Employee</w:t>
      </w:r>
    </w:p>
    <w:p>
      <w:pPr>
        <w:spacing w:after="0" w:line="2" w:lineRule="exact"/>
        <w:rPr>
          <w:sz w:val="20"/>
          <w:szCs w:val="20"/>
          <w:color w:val="auto"/>
        </w:rPr>
      </w:pPr>
    </w:p>
    <w:p>
      <w:pPr>
        <w:ind w:right="680"/>
        <w:spacing w:after="0" w:line="236" w:lineRule="auto"/>
        <w:rPr>
          <w:sz w:val="20"/>
          <w:szCs w:val="20"/>
          <w:color w:val="auto"/>
        </w:rPr>
      </w:pPr>
      <w:r>
        <w:rPr>
          <w:rFonts w:ascii="Times New Roman" w:cs="Times New Roman" w:eastAsia="Times New Roman" w:hAnsi="Times New Roman"/>
          <w:sz w:val="20"/>
          <w:szCs w:val="20"/>
          <w:color w:val="auto"/>
        </w:rPr>
        <w:t>concerning Company’s business is and shall be Company’s exclusive property and shall be delivered by Employee to Company upon termination of Employee’s employment or at any other time upon the request of Company.</w:t>
      </w:r>
    </w:p>
    <w:p>
      <w:pPr>
        <w:spacing w:after="0" w:line="174" w:lineRule="exact"/>
        <w:rPr>
          <w:sz w:val="20"/>
          <w:szCs w:val="20"/>
          <w:color w:val="auto"/>
        </w:rPr>
      </w:pPr>
    </w:p>
    <w:p>
      <w:pPr>
        <w:ind w:right="120" w:firstLine="1296"/>
        <w:spacing w:after="0" w:line="241" w:lineRule="auto"/>
        <w:rPr>
          <w:sz w:val="20"/>
          <w:szCs w:val="20"/>
          <w:color w:val="auto"/>
        </w:rPr>
      </w:pPr>
      <w:r>
        <w:rPr>
          <w:rFonts w:ascii="Times New Roman" w:cs="Times New Roman" w:eastAsia="Times New Roman" w:hAnsi="Times New Roman"/>
          <w:sz w:val="19"/>
          <w:szCs w:val="19"/>
          <w:color w:val="auto"/>
        </w:rPr>
        <w:t>13.2 The restrictions in the above paragraph shall not apply to: (1) information that at the time of disclosure is in the public domain through no fault of Employee’s; (2) information received from a third party outside of Company that was disclosed without a</w:t>
      </w:r>
    </w:p>
    <w:p>
      <w:pPr>
        <w:spacing w:after="0" w:line="227" w:lineRule="auto"/>
        <w:rPr>
          <w:sz w:val="20"/>
          <w:szCs w:val="20"/>
          <w:color w:val="auto"/>
        </w:rPr>
      </w:pPr>
      <w:r>
        <w:rPr>
          <w:rFonts w:ascii="Times New Roman" w:cs="Times New Roman" w:eastAsia="Times New Roman" w:hAnsi="Times New Roman"/>
          <w:sz w:val="20"/>
          <w:szCs w:val="20"/>
          <w:color w:val="auto"/>
        </w:rPr>
        <w:t>breach of any confidentiality obligation; (3) information approved for release by written authorization of Company; or (4) information that</w:t>
      </w:r>
    </w:p>
    <w:p>
      <w:pPr>
        <w:ind w:right="100"/>
        <w:spacing w:after="0" w:line="229" w:lineRule="auto"/>
        <w:rPr>
          <w:sz w:val="20"/>
          <w:szCs w:val="20"/>
          <w:color w:val="auto"/>
        </w:rPr>
      </w:pPr>
      <w:r>
        <w:rPr>
          <w:rFonts w:ascii="Times New Roman" w:cs="Times New Roman" w:eastAsia="Times New Roman" w:hAnsi="Times New Roman"/>
          <w:sz w:val="19"/>
          <w:szCs w:val="19"/>
          <w:color w:val="auto"/>
        </w:rPr>
        <w:t>may be required by law or an order of any court, agency or proceeding to be disclosed. Employee shall provide Company notice of any such required disclosure once Employee has knowledge of it and will help Company to the extent reasonable to obtain an appropriate protective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order.</w:t>
      </w:r>
    </w:p>
    <w:p>
      <w:pPr>
        <w:spacing w:after="0" w:line="180" w:lineRule="exact"/>
        <w:rPr>
          <w:sz w:val="20"/>
          <w:szCs w:val="20"/>
          <w:color w:val="auto"/>
        </w:rPr>
      </w:pPr>
    </w:p>
    <w:p>
      <w:pPr>
        <w:ind w:right="60" w:firstLine="1296"/>
        <w:spacing w:after="0"/>
        <w:rPr>
          <w:sz w:val="20"/>
          <w:szCs w:val="20"/>
          <w:color w:val="auto"/>
        </w:rPr>
      </w:pPr>
      <w:r>
        <w:rPr>
          <w:rFonts w:ascii="Times New Roman" w:cs="Times New Roman" w:eastAsia="Times New Roman" w:hAnsi="Times New Roman"/>
          <w:sz w:val="20"/>
          <w:szCs w:val="20"/>
          <w:color w:val="auto"/>
        </w:rPr>
        <w:t>13.3 Company acknowledges that Employee has had significant prior work experience in the industry in which Company is engaged, and that Employee enters into this Agreement with significant prior knowledge, information and relationships in such industry.</w:t>
      </w:r>
    </w:p>
    <w:p>
      <w:pPr>
        <w:spacing w:after="0" w:line="175"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 Remedies, Construction</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right="440" w:firstLine="1296"/>
        <w:spacing w:after="0" w:line="241" w:lineRule="auto"/>
        <w:rPr>
          <w:sz w:val="20"/>
          <w:szCs w:val="20"/>
          <w:color w:val="auto"/>
        </w:rPr>
      </w:pPr>
      <w:r>
        <w:rPr>
          <w:rFonts w:ascii="Times New Roman" w:cs="Times New Roman" w:eastAsia="Times New Roman" w:hAnsi="Times New Roman"/>
          <w:sz w:val="19"/>
          <w:szCs w:val="19"/>
          <w:color w:val="auto"/>
        </w:rPr>
        <w:t>14.1 Employee covenants, agrees, and recognizes the breach or threatened breach of the covenants, or any of them, contained in Sections 11, 12 and 13 will result in immediate and irreparable injury to Company and that Company shall be entitled to an</w:t>
      </w:r>
    </w:p>
    <w:p>
      <w:pPr>
        <w:spacing w:after="0" w:line="227" w:lineRule="auto"/>
        <w:rPr>
          <w:sz w:val="20"/>
          <w:szCs w:val="20"/>
          <w:color w:val="auto"/>
        </w:rPr>
      </w:pPr>
      <w:r>
        <w:rPr>
          <w:rFonts w:ascii="Times New Roman" w:cs="Times New Roman" w:eastAsia="Times New Roman" w:hAnsi="Times New Roman"/>
          <w:sz w:val="20"/>
          <w:szCs w:val="20"/>
          <w:color w:val="auto"/>
        </w:rPr>
        <w:t>injunction restraining Employee or any of his affiliates from any violation of Sections 11, 12 and 13 to the fullest extent allowed by law.</w:t>
      </w:r>
    </w:p>
    <w:p>
      <w:pPr>
        <w:ind w:right="540"/>
        <w:spacing w:after="0" w:line="229" w:lineRule="auto"/>
        <w:rPr>
          <w:sz w:val="20"/>
          <w:szCs w:val="20"/>
          <w:color w:val="auto"/>
        </w:rPr>
      </w:pPr>
      <w:r>
        <w:rPr>
          <w:rFonts w:ascii="Times New Roman" w:cs="Times New Roman" w:eastAsia="Times New Roman" w:hAnsi="Times New Roman"/>
          <w:sz w:val="19"/>
          <w:szCs w:val="19"/>
          <w:color w:val="auto"/>
        </w:rPr>
        <w:t>Employee further covenants and agrees that in the event of a violation of any of his respective covenants and agreements contained in Sections 11, 12 and 13 hereof, Company shall be entitled to an accounting of all profits, compensation, commissions, remunerations or</w:t>
      </w:r>
    </w:p>
    <w:p>
      <w:pPr>
        <w:spacing w:after="0" w:line="2"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9"/>
          <w:szCs w:val="19"/>
          <w:color w:val="auto"/>
        </w:rPr>
        <w:t>benefits which Employee directly or indirectly has realized and/or may realize as a result of, growing out of or in connection with any such violation and shall be entitled to receive all such amounts to which Company would be entitled as damages under law or at equity. Nothing</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herein shall be construed as prohibiting Company from pursuing any other legal or equitable remedies that may be available to it for any such breach or threatened breach.</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14.2</w:t>
      </w:r>
      <w:r>
        <w:rPr>
          <w:sz w:val="20"/>
          <w:szCs w:val="20"/>
          <w:color w:val="auto"/>
        </w:rPr>
        <w:tab/>
      </w:r>
      <w:r>
        <w:rPr>
          <w:rFonts w:ascii="Times New Roman" w:cs="Times New Roman" w:eastAsia="Times New Roman" w:hAnsi="Times New Roman"/>
          <w:sz w:val="19"/>
          <w:szCs w:val="19"/>
          <w:color w:val="auto"/>
        </w:rPr>
        <w:t>Employee agrees that in the event he breaches the covenants, or any of them, contained in Sections 11 and 12, then</w:t>
      </w:r>
    </w:p>
    <w:p>
      <w:pPr>
        <w:spacing w:after="0" w:line="8"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20"/>
          <w:szCs w:val="20"/>
          <w:color w:val="auto"/>
        </w:rPr>
        <w:t>the Non-competition Period or Non-solicitation Period, as applicable, shall be automatically extended by the length of time any such breach remains continuing.</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14.3</w:t>
      </w:r>
      <w:r>
        <w:rPr>
          <w:sz w:val="20"/>
          <w:szCs w:val="20"/>
          <w:color w:val="auto"/>
        </w:rPr>
        <w:tab/>
      </w:r>
      <w:r>
        <w:rPr>
          <w:rFonts w:ascii="Times New Roman" w:cs="Times New Roman" w:eastAsia="Times New Roman" w:hAnsi="Times New Roman"/>
          <w:sz w:val="19"/>
          <w:szCs w:val="19"/>
          <w:color w:val="auto"/>
        </w:rPr>
        <w:t>Employee hereby expressly acknowledges and agrees as follows:</w:t>
      </w:r>
    </w:p>
    <w:p>
      <w:pPr>
        <w:spacing w:after="0" w:line="202" w:lineRule="exact"/>
        <w:rPr>
          <w:sz w:val="20"/>
          <w:szCs w:val="20"/>
          <w:color w:val="auto"/>
        </w:rPr>
      </w:pPr>
    </w:p>
    <w:p>
      <w:pPr>
        <w:ind w:right="260" w:firstLine="1952"/>
        <w:spacing w:after="0" w:line="235" w:lineRule="auto"/>
        <w:tabs>
          <w:tab w:leader="none" w:pos="258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he has read the covenants set forth above in Sections 11, 12 and 13, has had an opportunity to discuss them with an attorney and that such covenants are reasonable in all respects and are necessary to protect the legitimate business and competitive interests of Company; and</w:t>
      </w:r>
    </w:p>
    <w:p>
      <w:pPr>
        <w:spacing w:after="0" w:line="174" w:lineRule="exact"/>
        <w:rPr>
          <w:rFonts w:ascii="Times New Roman" w:cs="Times New Roman" w:eastAsia="Times New Roman" w:hAnsi="Times New Roman"/>
          <w:sz w:val="20"/>
          <w:szCs w:val="20"/>
          <w:color w:val="auto"/>
        </w:rPr>
      </w:pPr>
    </w:p>
    <w:p>
      <w:pPr>
        <w:ind w:firstLine="1952"/>
        <w:spacing w:after="0" w:line="228" w:lineRule="auto"/>
        <w:tabs>
          <w:tab w:leader="none" w:pos="25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each of the covenants set forth in Sections 11, 12 and 13 and the subdivisions thereof are separately and independently given, and each such covenant is intended to be enforceable separately and independently of the other such covenants, including, without limitation, enforcement by injunction without the necessity of proving actual damages or posting any bond or other security; provided, however, that the invalidity or unenforceability of this Agreement in any respect shall not affect the validity or enforceability of this Agreement in any other respect. In the event that any provision of this Agreement shall be held invalid or unenforceable by a court of competent jurisdiction by</w:t>
      </w:r>
    </w:p>
    <w:p>
      <w:pPr>
        <w:sectPr>
          <w:pgSz w:w="11900" w:h="16838" w:orient="portrait"/>
          <w:cols w:equalWidth="0" w:num="1">
            <w:col w:w="11220"/>
          </w:cols>
          <w:pgMar w:left="320" w:top="1440" w:right="359" w:bottom="1440" w:gutter="0" w:footer="0" w:header="0"/>
        </w:sectPr>
      </w:pPr>
    </w:p>
    <w:bookmarkStart w:id="95" w:name="page96"/>
    <w:bookmarkEnd w:id="95"/>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reason of the geographic or business scope or the duration thereof or for any other reason, such invalidity or unenforceability shall attach</w:t>
      </w:r>
    </w:p>
    <w:p>
      <w:pPr>
        <w:spacing w:after="0" w:line="8"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9"/>
          <w:szCs w:val="19"/>
          <w:color w:val="auto"/>
        </w:rPr>
        <w:t>only to the particular aspect of such provision found invalid or unenforceable as applied and shall not affect or render invalid or unenforceable any other provision of this Agreement or the enforcement of such provision in other circumstances, and, to the fullest extent</w:t>
      </w:r>
    </w:p>
    <w:p>
      <w:pPr>
        <w:spacing w:after="0" w:line="2"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permitted by law, this Agreement shall be construed as if the geographic or business scope or the duration of such provision or other basis on which such provision has been challenged had been more narrowly drafted so as not to be invalid or unenforceable.</w:t>
      </w:r>
    </w:p>
    <w:p>
      <w:pPr>
        <w:spacing w:after="0" w:line="160" w:lineRule="exact"/>
        <w:rPr>
          <w:sz w:val="20"/>
          <w:szCs w:val="20"/>
          <w:color w:val="auto"/>
        </w:rPr>
      </w:pPr>
    </w:p>
    <w:p>
      <w:pPr>
        <w:ind w:right="60" w:firstLine="1296"/>
        <w:spacing w:after="0"/>
        <w:rPr>
          <w:sz w:val="20"/>
          <w:szCs w:val="20"/>
          <w:color w:val="auto"/>
        </w:rPr>
      </w:pPr>
      <w:r>
        <w:rPr>
          <w:rFonts w:ascii="Times New Roman" w:cs="Times New Roman" w:eastAsia="Times New Roman" w:hAnsi="Times New Roman"/>
          <w:sz w:val="20"/>
          <w:szCs w:val="20"/>
          <w:color w:val="auto"/>
        </w:rPr>
        <w:t>14.4 Nothing in Sections 10 and 11 shall prohibit Employee from being (i) a stockholder in a mutual fund or a diversified investment company or (ii) an owner of not more than two percent of the outstanding stock of any class of a corporation, any securities of which are publicly traded, so long as Employee has no active participation in the business of such corporation.</w:t>
      </w:r>
    </w:p>
    <w:p>
      <w:pPr>
        <w:spacing w:after="0" w:line="174"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Provisions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40" w:firstLine="1296"/>
        <w:spacing w:after="0"/>
        <w:rPr>
          <w:sz w:val="20"/>
          <w:szCs w:val="20"/>
          <w:color w:val="auto"/>
        </w:rPr>
      </w:pPr>
      <w:r>
        <w:rPr>
          <w:rFonts w:ascii="Times New Roman" w:cs="Times New Roman" w:eastAsia="Times New Roman" w:hAnsi="Times New Roman"/>
          <w:sz w:val="20"/>
          <w:szCs w:val="20"/>
          <w:color w:val="auto"/>
        </w:rPr>
        <w:t xml:space="preserve">15.1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rights and obligations of Company under this Agreement shall inure to the benefit of and shall be binding upon the successors and assigns of Company. Employee shall not be entitled to assign any of Employee’s rights or obligations under this Agreement.</w:t>
      </w:r>
    </w:p>
    <w:p>
      <w:pPr>
        <w:spacing w:after="0" w:line="161" w:lineRule="exact"/>
        <w:rPr>
          <w:sz w:val="20"/>
          <w:szCs w:val="20"/>
          <w:color w:val="auto"/>
        </w:rPr>
      </w:pPr>
    </w:p>
    <w:p>
      <w:pPr>
        <w:ind w:right="460" w:firstLine="1296"/>
        <w:spacing w:after="0" w:line="255" w:lineRule="auto"/>
        <w:rPr>
          <w:sz w:val="20"/>
          <w:szCs w:val="20"/>
          <w:color w:val="auto"/>
        </w:rPr>
      </w:pPr>
      <w:r>
        <w:rPr>
          <w:rFonts w:ascii="Times New Roman" w:cs="Times New Roman" w:eastAsia="Times New Roman" w:hAnsi="Times New Roman"/>
          <w:sz w:val="20"/>
          <w:szCs w:val="20"/>
          <w:color w:val="auto"/>
        </w:rPr>
        <w:t xml:space="preserve">15.2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59" w:lineRule="exact"/>
        <w:rPr>
          <w:sz w:val="20"/>
          <w:szCs w:val="20"/>
          <w:color w:val="auto"/>
        </w:rPr>
      </w:pPr>
    </w:p>
    <w:p>
      <w:pPr>
        <w:ind w:right="140" w:firstLine="1296"/>
        <w:spacing w:after="0"/>
        <w:rPr>
          <w:sz w:val="20"/>
          <w:szCs w:val="20"/>
          <w:color w:val="auto"/>
        </w:rPr>
      </w:pPr>
      <w:r>
        <w:rPr>
          <w:rFonts w:ascii="Times New Roman" w:cs="Times New Roman" w:eastAsia="Times New Roman" w:hAnsi="Times New Roman"/>
          <w:sz w:val="20"/>
          <w:szCs w:val="20"/>
          <w:color w:val="auto"/>
        </w:rPr>
        <w:t xml:space="preserve">15.3 </w:t>
      </w: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Each side will bear its own attorneys’ fees in any dispute unless a statutory section at issue, if any, authorizes the award of attorneys’ fees to the prevailing party.</w:t>
      </w:r>
    </w:p>
    <w:p>
      <w:pPr>
        <w:spacing w:after="0" w:line="17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15.4</w:t>
      </w:r>
      <w:r>
        <w:rPr>
          <w:sz w:val="20"/>
          <w:szCs w:val="20"/>
          <w:color w:val="auto"/>
        </w:rPr>
        <w:tab/>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the event any provision of this Agreement is found to be unenforceable by a court of competent</w:t>
      </w:r>
    </w:p>
    <w:p>
      <w:pPr>
        <w:spacing w:after="0" w:line="8"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9"/>
          <w:szCs w:val="19"/>
          <w:color w:val="auto"/>
        </w:rPr>
        <w:t>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w:t>
      </w:r>
    </w:p>
    <w:p>
      <w:pPr>
        <w:spacing w:after="0" w:line="2" w:lineRule="exact"/>
        <w:rPr>
          <w:sz w:val="20"/>
          <w:szCs w:val="20"/>
          <w:color w:val="auto"/>
        </w:rPr>
      </w:pPr>
    </w:p>
    <w:p>
      <w:pPr>
        <w:ind w:right="360"/>
        <w:spacing w:after="0" w:line="236" w:lineRule="auto"/>
        <w:rPr>
          <w:sz w:val="20"/>
          <w:szCs w:val="20"/>
          <w:color w:val="auto"/>
        </w:rPr>
      </w:pPr>
      <w:r>
        <w:rPr>
          <w:rFonts w:ascii="Times New Roman" w:cs="Times New Roman" w:eastAsia="Times New Roman" w:hAnsi="Times New Roman"/>
          <w:sz w:val="20"/>
          <w:szCs w:val="20"/>
          <w:color w:val="auto"/>
        </w:rPr>
        <w:t>satisfactory in the judgment of such court, the unenforceable provision shall be deemed deleted, and the validity and enforceability of the remaining provisions shall not be affected thereby.</w:t>
      </w:r>
    </w:p>
    <w:p>
      <w:pPr>
        <w:spacing w:after="0" w:line="160"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19"/>
          <w:szCs w:val="19"/>
          <w:color w:val="auto"/>
        </w:rPr>
        <w:t xml:space="preserve">15.5 </w:t>
      </w:r>
      <w:r>
        <w:rPr>
          <w:rFonts w:ascii="Times New Roman" w:cs="Times New Roman" w:eastAsia="Times New Roman" w:hAnsi="Times New Roman"/>
          <w:sz w:val="19"/>
          <w:szCs w:val="19"/>
          <w:u w:val="single" w:color="auto"/>
          <w:color w:val="auto"/>
        </w:rPr>
        <w:t>Interpretation; Construction</w:t>
      </w:r>
      <w:r>
        <w:rPr>
          <w:rFonts w:ascii="Times New Roman" w:cs="Times New Roman" w:eastAsia="Times New Roman" w:hAnsi="Times New Roman"/>
          <w:sz w:val="19"/>
          <w:szCs w:val="19"/>
          <w:color w:val="auto"/>
        </w:rPr>
        <w:t>. The headings set forth in this Agreement are for convenience only and shall not be used in interpreting this Agreement. This Agreement has been drafted by legal counsel representing Company, but Employee has participated in the negotiation of its terms. Furthermore, Employee acknowledges that Employee has had an opportunity to review and revise the Agreement</w:t>
      </w:r>
    </w:p>
    <w:p>
      <w:pPr>
        <w:spacing w:after="0" w:line="1" w:lineRule="exact"/>
        <w:rPr>
          <w:sz w:val="20"/>
          <w:szCs w:val="20"/>
          <w:color w:val="auto"/>
        </w:rPr>
      </w:pPr>
    </w:p>
    <w:p>
      <w:pPr>
        <w:ind w:right="280"/>
        <w:spacing w:after="0" w:line="228" w:lineRule="auto"/>
        <w:rPr>
          <w:sz w:val="20"/>
          <w:szCs w:val="20"/>
          <w:color w:val="auto"/>
        </w:rPr>
      </w:pPr>
      <w:r>
        <w:rPr>
          <w:rFonts w:ascii="Times New Roman" w:cs="Times New Roman" w:eastAsia="Times New Roman" w:hAnsi="Times New Roman"/>
          <w:sz w:val="20"/>
          <w:szCs w:val="20"/>
          <w:color w:val="auto"/>
        </w:rPr>
        <w:t>and have it reviewed by legal counsel, if desired, and, therefore, the normal rule of construction to the effect that any ambiguities are to be resolved against the drafting party shall not be employed in the interpretation of this Agreement.</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15.6</w:t>
      </w:r>
      <w:r>
        <w:rPr>
          <w:sz w:val="20"/>
          <w:szCs w:val="20"/>
          <w:color w:val="auto"/>
        </w:rPr>
        <w:tab/>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will be governed by and construed in accordance with the laws of the United States</w:t>
      </w:r>
    </w:p>
    <w:p>
      <w:pPr>
        <w:spacing w:after="0" w:line="8" w:lineRule="exact"/>
        <w:rPr>
          <w:sz w:val="20"/>
          <w:szCs w:val="20"/>
          <w:color w:val="auto"/>
        </w:rPr>
      </w:pPr>
    </w:p>
    <w:p>
      <w:pPr>
        <w:ind w:right="220"/>
        <w:spacing w:after="0" w:line="228" w:lineRule="auto"/>
        <w:rPr>
          <w:sz w:val="20"/>
          <w:szCs w:val="20"/>
          <w:color w:val="auto"/>
        </w:rPr>
      </w:pPr>
      <w:r>
        <w:rPr>
          <w:rFonts w:ascii="Times New Roman" w:cs="Times New Roman" w:eastAsia="Times New Roman" w:hAnsi="Times New Roman"/>
          <w:sz w:val="20"/>
          <w:szCs w:val="20"/>
          <w:color w:val="auto"/>
        </w:rPr>
        <w:t>and the State of Illinois. Each party consents to the jurisdiction and venue of the state or federal courts in Chicago, Illinois, if applicable, in any action, suit, or proceeding arising out of or relating to this Agreement.</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15.7</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 required or permitted by this Agreement shall be in writing and shall be delivered as follows</w:t>
      </w:r>
    </w:p>
    <w:p>
      <w:pPr>
        <w:spacing w:after="0" w:line="8"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9"/>
          <w:szCs w:val="19"/>
          <w:color w:val="auto"/>
        </w:rPr>
        <w:t>with notice deemed given as indicated: (a) by personal delivery when delivered personally; (b) by overnight courier upon written verification of receipt; (c) by telecopy or facsimile transmission upon acknowledgment of receipt of electronic transmission; or (d) by certified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registered mail, return receipt requested, upon verification of receipt. All notices shall be addressed as follows:</w:t>
      </w:r>
    </w:p>
    <w:p>
      <w:pPr>
        <w:sectPr>
          <w:pgSz w:w="11900" w:h="16838" w:orient="portrait"/>
          <w:cols w:equalWidth="0" w:num="1">
            <w:col w:w="11220"/>
          </w:cols>
          <w:pgMar w:left="320" w:top="1440" w:right="359" w:bottom="1440" w:gutter="0" w:footer="0" w:header="0"/>
        </w:sectPr>
      </w:pPr>
    </w:p>
    <w:bookmarkStart w:id="96" w:name="page97"/>
    <w:bookmarkEnd w:id="96"/>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Andrew Cappotelli</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[REDACTED]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Paylocity Corporation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1400 American LN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Schaumburg, IL 60173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Amber Livingston, General Counsel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at such changed addresses as the parties may designate in writing.</w:t>
      </w:r>
    </w:p>
    <w:p>
      <w:pPr>
        <w:spacing w:after="0" w:line="189" w:lineRule="exact"/>
        <w:rPr>
          <w:sz w:val="20"/>
          <w:szCs w:val="20"/>
          <w:color w:val="auto"/>
        </w:rPr>
      </w:pPr>
    </w:p>
    <w:p>
      <w:pPr>
        <w:ind w:right="240" w:firstLine="1296"/>
        <w:spacing w:after="0" w:line="236" w:lineRule="auto"/>
        <w:rPr>
          <w:sz w:val="20"/>
          <w:szCs w:val="20"/>
          <w:color w:val="auto"/>
        </w:rPr>
      </w:pPr>
      <w:r>
        <w:rPr>
          <w:rFonts w:ascii="Times New Roman" w:cs="Times New Roman" w:eastAsia="Times New Roman" w:hAnsi="Times New Roman"/>
          <w:sz w:val="20"/>
          <w:szCs w:val="20"/>
          <w:color w:val="auto"/>
        </w:rPr>
        <w:t xml:space="preserve">15.8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Sections 7.2 (Termination Without Cause by Company/Severance), 9 (Application of Section 409A), 10 (“No Conflict of Interest”), 11 (“Non-Competition”), 12 (“Non-Solicitation”), 13 (“Nondisclosure of Confidential Information”), 14</w:t>
      </w:r>
    </w:p>
    <w:p>
      <w:pPr>
        <w:spacing w:after="0" w:line="2" w:lineRule="exact"/>
        <w:rPr>
          <w:sz w:val="20"/>
          <w:szCs w:val="20"/>
          <w:color w:val="auto"/>
        </w:rPr>
      </w:pPr>
    </w:p>
    <w:p>
      <w:pPr>
        <w:ind w:right="500"/>
        <w:spacing w:after="0" w:line="228" w:lineRule="auto"/>
        <w:rPr>
          <w:sz w:val="20"/>
          <w:szCs w:val="20"/>
          <w:color w:val="auto"/>
        </w:rPr>
      </w:pPr>
      <w:r>
        <w:rPr>
          <w:rFonts w:ascii="Times New Roman" w:cs="Times New Roman" w:eastAsia="Times New Roman" w:hAnsi="Times New Roman"/>
          <w:sz w:val="20"/>
          <w:szCs w:val="20"/>
          <w:color w:val="auto"/>
        </w:rPr>
        <w:t>(“Enforcement, Remedies and Construction”), 15 (“General Provisions”) and 16 (“Entire Agreement”) of this Agreement shall survive Employee’s employment by Company.</w:t>
      </w:r>
    </w:p>
    <w:p>
      <w:pPr>
        <w:spacing w:after="0" w:line="176" w:lineRule="exact"/>
        <w:rPr>
          <w:sz w:val="20"/>
          <w:szCs w:val="20"/>
          <w:color w:val="auto"/>
        </w:rPr>
      </w:pPr>
    </w:p>
    <w:p>
      <w:pPr>
        <w:ind w:firstLine="656"/>
        <w:spacing w:after="0" w:line="232" w:lineRule="auto"/>
        <w:tabs>
          <w:tab w:leader="none" w:pos="128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Employee and the Company. No oral waiver, amendment or modification will be effective under any circumstances whatsoever.</w:t>
      </w:r>
    </w:p>
    <w:p>
      <w:pPr>
        <w:spacing w:after="0" w:line="17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[Signatures appear on following page]</w:t>
      </w:r>
    </w:p>
    <w:p>
      <w:pPr>
        <w:sectPr>
          <w:pgSz w:w="11900" w:h="16838" w:orient="portrait"/>
          <w:cols w:equalWidth="0" w:num="1">
            <w:col w:w="11180"/>
          </w:cols>
          <w:pgMar w:left="320" w:top="1440" w:right="3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color w:val="auto"/>
        </w:rPr>
        <w:t>THE PARTIES TO THIS AGREEMENT HAVE READ THE FOREGOING AGREEMENT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FULLY UNDERSTAND EACH AND EVERY PROVISION CONTAINED HEREIN.</w:t>
      </w:r>
    </w:p>
    <w:p>
      <w:pPr>
        <w:spacing w:after="0" w:line="6" w:lineRule="exact"/>
        <w:rPr>
          <w:sz w:val="20"/>
          <w:szCs w:val="20"/>
          <w:color w:val="auto"/>
        </w:rPr>
      </w:pPr>
    </w:p>
    <w:p>
      <w:pPr>
        <w:ind w:right="3680"/>
        <w:spacing w:after="0" w:line="260" w:lineRule="auto"/>
        <w:rPr>
          <w:sz w:val="20"/>
          <w:szCs w:val="20"/>
          <w:color w:val="auto"/>
        </w:rPr>
      </w:pPr>
      <w:r>
        <w:rPr>
          <w:rFonts w:ascii="Times New Roman" w:cs="Times New Roman" w:eastAsia="Times New Roman" w:hAnsi="Times New Roman"/>
          <w:sz w:val="20"/>
          <w:szCs w:val="20"/>
          <w:color w:val="auto"/>
        </w:rPr>
        <w:t>WHEREFORE, THE PARTIES HAVE EXECUTED THIS AGREEMENT ON THE DATES SHOWN BELOW.</w:t>
      </w:r>
    </w:p>
    <w:p>
      <w:pPr>
        <w:spacing w:after="0" w:line="200" w:lineRule="exact"/>
        <w:rPr>
          <w:sz w:val="20"/>
          <w:szCs w:val="20"/>
          <w:color w:val="auto"/>
        </w:rPr>
      </w:pPr>
    </w:p>
    <w:p>
      <w:pPr>
        <w:spacing w:after="0" w:line="279" w:lineRule="exact"/>
        <w:rPr>
          <w:sz w:val="20"/>
          <w:szCs w:val="20"/>
          <w:color w:val="auto"/>
        </w:rPr>
      </w:pPr>
    </w:p>
    <w:tbl>
      <w:tblPr>
        <w:tblLayout w:type="fixed"/>
        <w:tblInd w:w="4560" w:type="dxa"/>
        <w:tblCellMar>
          <w:top w:w="0" w:type="dxa"/>
          <w:left w:w="0" w:type="dxa"/>
          <w:bottom w:w="0" w:type="dxa"/>
          <w:right w:w="0" w:type="dxa"/>
        </w:tblCellMar>
      </w:tblPr>
      <w:tr>
        <w:trPr>
          <w:trHeight w:val="256"/>
        </w:trPr>
        <w:tc>
          <w:tcPr>
            <w:tcW w:w="840" w:type="dxa"/>
            <w:vAlign w:val="bottom"/>
          </w:tcPr>
          <w:p>
            <w:pPr>
              <w:spacing w:after="0"/>
              <w:rPr>
                <w:sz w:val="22"/>
                <w:szCs w:val="22"/>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Andrew Cappotelli</w:t>
            </w:r>
          </w:p>
        </w:tc>
      </w:tr>
      <w:tr>
        <w:trPr>
          <w:trHeight w:val="262"/>
        </w:trPr>
        <w:tc>
          <w:tcPr>
            <w:tcW w:w="840" w:type="dxa"/>
            <w:vAlign w:val="bottom"/>
          </w:tcPr>
          <w:p>
            <w:pPr>
              <w:spacing w:after="0"/>
              <w:rPr>
                <w:sz w:val="22"/>
                <w:szCs w:val="22"/>
                <w:color w:val="auto"/>
              </w:rPr>
            </w:pPr>
          </w:p>
        </w:tc>
        <w:tc>
          <w:tcPr>
            <w:tcW w:w="5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 Andrew Cappotelli</w:t>
            </w:r>
          </w:p>
        </w:tc>
      </w:tr>
      <w:tr>
        <w:trPr>
          <w:trHeight w:val="501"/>
        </w:trPr>
        <w:tc>
          <w:tcPr>
            <w:tcW w:w="840" w:type="dxa"/>
            <w:vAlign w:val="bottom"/>
          </w:tcPr>
          <w:p>
            <w:pPr>
              <w:spacing w:after="0"/>
              <w:rPr>
                <w:sz w:val="24"/>
                <w:szCs w:val="24"/>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Paylocity Corporation</w:t>
            </w: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 Toby J. Williams</w:t>
            </w:r>
          </w:p>
        </w:tc>
      </w:tr>
      <w:tr>
        <w:trPr>
          <w:trHeight w:val="24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Toby J. Williams</w:t>
            </w:r>
          </w:p>
        </w:tc>
      </w:tr>
      <w:tr>
        <w:trPr>
          <w:trHeight w:val="25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President and Co-Chief Executive Officer</w:t>
            </w:r>
          </w:p>
        </w:tc>
      </w:tr>
    </w:tbl>
    <w:p>
      <w:pPr>
        <w:sectPr>
          <w:pgSz w:w="11900" w:h="16838" w:orient="portrait"/>
          <w:cols w:equalWidth="0" w:num="1">
            <w:col w:w="11060"/>
          </w:cols>
          <w:pgMar w:left="320" w:top="1413" w:right="51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PAYLOCITY HOLDING CORPORATION</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Revised April 30, 2015 and March 30, 2023</w:t>
      </w:r>
    </w:p>
    <w:p>
      <w:pPr>
        <w:spacing w:after="0" w:line="200" w:lineRule="exact"/>
        <w:rPr>
          <w:sz w:val="20"/>
          <w:szCs w:val="20"/>
          <w:color w:val="auto"/>
        </w:rPr>
      </w:pPr>
    </w:p>
    <w:p>
      <w:pPr>
        <w:spacing w:after="0" w:line="219" w:lineRule="exact"/>
        <w:rPr>
          <w:sz w:val="20"/>
          <w:szCs w:val="20"/>
          <w:color w:val="auto"/>
        </w:rPr>
      </w:pPr>
    </w:p>
    <w:p>
      <w:pPr>
        <w:ind w:right="700" w:firstLine="8"/>
        <w:spacing w:after="0" w:line="287" w:lineRule="auto"/>
        <w:tabs>
          <w:tab w:leader="none" w:pos="639" w:val="left"/>
        </w:tabs>
        <w:numPr>
          <w:ilvl w:val="0"/>
          <w:numId w:val="6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TRADING IN COMPANY SECURITIES WHILE IN POSSESSION OF MATERIAL NONPUBLIC INFORMATION IS PROHIBITED</w:t>
      </w:r>
    </w:p>
    <w:p>
      <w:pPr>
        <w:spacing w:after="0" w:line="15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purchase or sale of securities by any person who possesses material nonpublic information is a violation of federal and state securities laws. Furthermore, it is important that the </w:t>
      </w:r>
      <w:r>
        <w:rPr>
          <w:rFonts w:ascii="Times New Roman" w:cs="Times New Roman" w:eastAsia="Times New Roman" w:hAnsi="Times New Roman"/>
          <w:sz w:val="20"/>
          <w:szCs w:val="20"/>
          <w:i w:val="1"/>
          <w:iCs w:val="1"/>
          <w:color w:val="auto"/>
        </w:rPr>
        <w:t>appearance</w:t>
      </w:r>
      <w:r>
        <w:rPr>
          <w:rFonts w:ascii="Times New Roman" w:cs="Times New Roman" w:eastAsia="Times New Roman" w:hAnsi="Times New Roman"/>
          <w:sz w:val="20"/>
          <w:szCs w:val="20"/>
          <w:color w:val="auto"/>
        </w:rPr>
        <w:t>, as well as the fact, of trading on the basis of material nonpublic information be avoided. Therefore, it is the policy of Paylocity Holding Corporation, and its subsidiaries,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that any person subject to this Policy who possesses material nonpublic information pertaining to the Company may not trade in the Company’s securities, advise anyone else to do so, or communicate the information to anyone else until such person knows that the information has been disseminated to the public.</w:t>
      </w:r>
    </w:p>
    <w:p>
      <w:pPr>
        <w:spacing w:after="0" w:line="17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No director, officer, employee or consultant of the Company who is aware of material nonpublic information relating to the Company may, directly or through family members or other persons or entities,</w:t>
      </w:r>
    </w:p>
    <w:p>
      <w:pPr>
        <w:spacing w:after="0" w:line="146" w:lineRule="exact"/>
        <w:rPr>
          <w:sz w:val="20"/>
          <w:szCs w:val="20"/>
          <w:color w:val="auto"/>
        </w:rPr>
      </w:pPr>
    </w:p>
    <w:p>
      <w:pPr>
        <w:ind w:left="1300" w:right="200" w:hanging="320"/>
        <w:spacing w:after="0" w:line="283" w:lineRule="auto"/>
        <w:tabs>
          <w:tab w:leader="none" w:pos="128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 or sell securities of the Company, other than pursuant to a trading plan that complies with Rule 10b5-1 promulgated by the Securities and Exchange Commission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any other action to take personal advantage of that information, or</w:t>
      </w:r>
    </w:p>
    <w:p>
      <w:pPr>
        <w:spacing w:after="0" w:line="21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pass that information on to others outside the Company, including friends and family (a practice referred to as “tipping”).</w:t>
      </w:r>
    </w:p>
    <w:p>
      <w:pPr>
        <w:spacing w:after="0" w:line="229" w:lineRule="exact"/>
        <w:rPr>
          <w:sz w:val="20"/>
          <w:szCs w:val="20"/>
          <w:color w:val="auto"/>
        </w:rPr>
      </w:pPr>
    </w:p>
    <w:p>
      <w:pPr>
        <w:jc w:val="both"/>
        <w:ind w:right="260" w:firstLine="1944"/>
        <w:spacing w:after="0" w:line="261" w:lineRule="auto"/>
        <w:rPr>
          <w:sz w:val="20"/>
          <w:szCs w:val="20"/>
          <w:color w:val="auto"/>
        </w:rPr>
      </w:pPr>
      <w:r>
        <w:rPr>
          <w:rFonts w:ascii="Times New Roman" w:cs="Times New Roman" w:eastAsia="Times New Roman" w:hAnsi="Times New Roman"/>
          <w:sz w:val="20"/>
          <w:szCs w:val="20"/>
          <w:color w:val="auto"/>
        </w:rPr>
        <w:t>In addition, it is the policy of the Company that no officer, director, employee or consultant who, in the course of working for the Company, learns of material nonpublic information of another company with which the Company does business, such as a customer or supplier, may trade in that company’s securities until that information becomes public or is no longer material.</w:t>
      </w:r>
    </w:p>
    <w:p>
      <w:pPr>
        <w:spacing w:after="0" w:line="164" w:lineRule="exact"/>
        <w:rPr>
          <w:sz w:val="20"/>
          <w:szCs w:val="20"/>
          <w:color w:val="auto"/>
        </w:rPr>
      </w:pPr>
    </w:p>
    <w:p>
      <w:pPr>
        <w:ind w:right="380" w:firstLine="8"/>
        <w:spacing w:after="0" w:line="287" w:lineRule="auto"/>
        <w:tabs>
          <w:tab w:leader="none" w:pos="635" w:val="left"/>
        </w:tabs>
        <w:numPr>
          <w:ilvl w:val="0"/>
          <w:numId w:val="6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ALL EMPLOYEES, OFFICERS, DIRECTORS AND THEIR FAMILY MEMBERS AND AFFILIATES ARE SUBJECT TO THIS POLICY</w:t>
      </w:r>
    </w:p>
    <w:p>
      <w:pPr>
        <w:spacing w:after="0" w:line="156"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This Policy applies to all directors, officers, employees and consultants of the Company and entities (such as trusts, limited partnerships and corporations) over which such individuals have or share voting or investment control. For the purposes of this Policy, officers, outside directors and consultants are included within the term “</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This Policy also applies to any other persons whom the Company’s insider trading Compliance Officer may designate because they have access to material nonpublic information concerning the Company, as well as any person who receives material nonpublic information from any Company insider. Employees, officers and directors are responsible for ensuring compliance by family members and members of their households and by entities over which they exercise voting or investment control and should provide each of these persons or entities with a copy of this Policy.</w:t>
      </w:r>
    </w:p>
    <w:p>
      <w:pPr>
        <w:sectPr>
          <w:pgSz w:w="11900" w:h="16838" w:orient="portrait"/>
          <w:cols w:equalWidth="0" w:num="1">
            <w:col w:w="11240"/>
          </w:cols>
          <w:pgMar w:left="320" w:top="1394" w:right="339" w:bottom="1440" w:gutter="0" w:footer="0" w:header="0"/>
        </w:sectPr>
      </w:pPr>
    </w:p>
    <w:bookmarkStart w:id="99" w:name="page100"/>
    <w:bookmarkEnd w:id="99"/>
    <w:p>
      <w:pPr>
        <w:spacing w:after="0" w:line="185"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Executive Officers, Directors and Certain Named Employees Are Subject to Additional Restrictions</w:t>
      </w:r>
    </w:p>
    <w:p>
      <w:pPr>
        <w:spacing w:after="0" w:line="233" w:lineRule="exact"/>
        <w:rPr>
          <w:rFonts w:ascii="Times New Roman" w:cs="Times New Roman" w:eastAsia="Times New Roman" w:hAnsi="Times New Roman"/>
          <w:sz w:val="20"/>
          <w:szCs w:val="20"/>
          <w:b w:val="1"/>
          <w:bCs w:val="1"/>
          <w:i w:val="1"/>
          <w:iCs w:val="1"/>
          <w:color w:val="auto"/>
        </w:rPr>
      </w:pPr>
    </w:p>
    <w:p>
      <w:pPr>
        <w:ind w:firstLine="656"/>
        <w:spacing w:after="0" w:line="253" w:lineRule="auto"/>
        <w:tabs>
          <w:tab w:leader="none" w:pos="128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16 Insiders</w:t>
      </w:r>
      <w:r>
        <w:rPr>
          <w:rFonts w:ascii="Times New Roman" w:cs="Times New Roman" w:eastAsia="Times New Roman" w:hAnsi="Times New Roman"/>
          <w:sz w:val="20"/>
          <w:szCs w:val="20"/>
          <w:color w:val="auto"/>
        </w:rPr>
        <w:t xml:space="preserve">. The Company has designated those persons listed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as the directors and executive officers who are subject to the reporting provisions and trading restrictions of Section 16 of the Securities Exchange Act of 1934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underlying rules and regulations promulgated by the SEC. Each person listed on Exhibit A is referred to herein as a “</w:t>
      </w:r>
      <w:r>
        <w:rPr>
          <w:rFonts w:ascii="Times New Roman" w:cs="Times New Roman" w:eastAsia="Times New Roman" w:hAnsi="Times New Roman"/>
          <w:sz w:val="20"/>
          <w:szCs w:val="20"/>
          <w:b w:val="1"/>
          <w:bCs w:val="1"/>
          <w:i w:val="1"/>
          <w:iCs w:val="1"/>
          <w:color w:val="auto"/>
        </w:rPr>
        <w:t>Section 16 Insider</w:t>
      </w:r>
      <w:r>
        <w:rPr>
          <w:rFonts w:ascii="Times New Roman" w:cs="Times New Roman" w:eastAsia="Times New Roman" w:hAnsi="Times New Roman"/>
          <w:sz w:val="20"/>
          <w:szCs w:val="20"/>
          <w:color w:val="auto"/>
        </w:rPr>
        <w:t xml:space="preserve">.” The Company will amend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from time to time as necessary to reflect the addition and the resignation or departure of Section 16 Insiders.</w:t>
      </w:r>
    </w:p>
    <w:p>
      <w:pPr>
        <w:spacing w:after="0" w:line="191" w:lineRule="exact"/>
        <w:rPr>
          <w:rFonts w:ascii="Times New Roman" w:cs="Times New Roman" w:eastAsia="Times New Roman" w:hAnsi="Times New Roman"/>
          <w:sz w:val="20"/>
          <w:szCs w:val="20"/>
          <w:color w:val="auto"/>
        </w:rPr>
      </w:pPr>
    </w:p>
    <w:p>
      <w:pPr>
        <w:ind w:right="180" w:firstLine="656"/>
        <w:spacing w:after="0" w:line="261" w:lineRule="auto"/>
        <w:tabs>
          <w:tab w:leader="none" w:pos="1288"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Insider Employees</w:t>
      </w:r>
      <w:r>
        <w:rPr>
          <w:rFonts w:ascii="Times New Roman" w:cs="Times New Roman" w:eastAsia="Times New Roman" w:hAnsi="Times New Roman"/>
          <w:sz w:val="20"/>
          <w:szCs w:val="20"/>
          <w:color w:val="auto"/>
        </w:rPr>
        <w:t xml:space="preserve">. The Company has designated those persons listed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as employees who have frequent access to material nonpublic information concerning the Company (“</w:t>
      </w:r>
      <w:r>
        <w:rPr>
          <w:rFonts w:ascii="Times New Roman" w:cs="Times New Roman" w:eastAsia="Times New Roman" w:hAnsi="Times New Roman"/>
          <w:sz w:val="20"/>
          <w:szCs w:val="20"/>
          <w:b w:val="1"/>
          <w:bCs w:val="1"/>
          <w:i w:val="1"/>
          <w:iCs w:val="1"/>
          <w:color w:val="auto"/>
        </w:rPr>
        <w:t>Insider Employees</w:t>
      </w:r>
      <w:r>
        <w:rPr>
          <w:rFonts w:ascii="Times New Roman" w:cs="Times New Roman" w:eastAsia="Times New Roman" w:hAnsi="Times New Roman"/>
          <w:sz w:val="20"/>
          <w:szCs w:val="20"/>
          <w:color w:val="auto"/>
        </w:rPr>
        <w:t xml:space="preserve">”). The Company will amend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from time to time as necessary to reflect the addition and departure of Inside Employees.</w:t>
      </w:r>
    </w:p>
    <w:p>
      <w:pPr>
        <w:spacing w:after="0" w:line="167" w:lineRule="exact"/>
        <w:rPr>
          <w:rFonts w:ascii="Times New Roman" w:cs="Times New Roman" w:eastAsia="Times New Roman" w:hAnsi="Times New Roman"/>
          <w:sz w:val="20"/>
          <w:szCs w:val="20"/>
          <w:color w:val="auto"/>
        </w:rPr>
      </w:pPr>
    </w:p>
    <w:p>
      <w:pPr>
        <w:jc w:val="both"/>
        <w:ind w:right="60" w:firstLine="656"/>
        <w:spacing w:after="0" w:line="258" w:lineRule="auto"/>
        <w:tabs>
          <w:tab w:leader="none" w:pos="1288"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Restrictions</w:t>
      </w:r>
      <w:r>
        <w:rPr>
          <w:rFonts w:ascii="Times New Roman" w:cs="Times New Roman" w:eastAsia="Times New Roman" w:hAnsi="Times New Roman"/>
          <w:sz w:val="20"/>
          <w:szCs w:val="20"/>
          <w:color w:val="auto"/>
        </w:rPr>
        <w:t xml:space="preserve">. Because Section 16 Insiders and Insider Employees are more likely than other employees to possess material nonpublic information about the Company, and in light of the reporting requirements to which Section 16 Insiders are subject under Section 16 of the Exchange Act, Section 16 Insiders and Insider Employees are subject to the additional restrictions set forth in </w:t>
      </w:r>
      <w:r>
        <w:rPr>
          <w:rFonts w:ascii="Times New Roman" w:cs="Times New Roman" w:eastAsia="Times New Roman" w:hAnsi="Times New Roman"/>
          <w:sz w:val="20"/>
          <w:szCs w:val="20"/>
          <w:u w:val="single" w:color="auto"/>
          <w:color w:val="auto"/>
        </w:rPr>
        <w:t>Appendix I</w:t>
      </w:r>
      <w:r>
        <w:rPr>
          <w:rFonts w:ascii="Times New Roman" w:cs="Times New Roman" w:eastAsia="Times New Roman" w:hAnsi="Times New Roman"/>
          <w:sz w:val="20"/>
          <w:szCs w:val="20"/>
          <w:color w:val="auto"/>
        </w:rPr>
        <w:t xml:space="preserve"> hereto. For purposes of this Policy, Section 16 Insiders and Insider Employees are each referred to as “</w:t>
      </w:r>
      <w:r>
        <w:rPr>
          <w:rFonts w:ascii="Times New Roman" w:cs="Times New Roman" w:eastAsia="Times New Roman" w:hAnsi="Times New Roman"/>
          <w:sz w:val="20"/>
          <w:szCs w:val="20"/>
          <w:b w:val="1"/>
          <w:bCs w:val="1"/>
          <w:i w:val="1"/>
          <w:iCs w:val="1"/>
          <w:color w:val="auto"/>
        </w:rPr>
        <w:t>Insiders</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i w:val="1"/>
          <w:iCs w:val="1"/>
          <w:color w:val="auto"/>
        </w:rPr>
        <w:t>IV.</w:t>
      </w:r>
      <w:r>
        <w:rPr>
          <w:sz w:val="20"/>
          <w:szCs w:val="20"/>
          <w:color w:val="auto"/>
        </w:rPr>
        <w:tab/>
      </w:r>
      <w:r>
        <w:rPr>
          <w:rFonts w:ascii="Times New Roman" w:cs="Times New Roman" w:eastAsia="Times New Roman" w:hAnsi="Times New Roman"/>
          <w:sz w:val="20"/>
          <w:szCs w:val="20"/>
          <w:b w:val="1"/>
          <w:bCs w:val="1"/>
          <w:i w:val="1"/>
          <w:iCs w:val="1"/>
          <w:color w:val="auto"/>
        </w:rPr>
        <w:t>INSIDER TRADING COMPLIANCE OFFICER</w:t>
      </w:r>
    </w:p>
    <w:p>
      <w:pPr>
        <w:spacing w:after="0" w:line="216" w:lineRule="exact"/>
        <w:rPr>
          <w:sz w:val="20"/>
          <w:szCs w:val="20"/>
          <w:color w:val="auto"/>
        </w:rPr>
      </w:pPr>
    </w:p>
    <w:p>
      <w:pPr>
        <w:jc w:val="both"/>
        <w:ind w:right="380" w:firstLine="648"/>
        <w:spacing w:after="0" w:line="270" w:lineRule="auto"/>
        <w:rPr>
          <w:sz w:val="20"/>
          <w:szCs w:val="20"/>
          <w:color w:val="auto"/>
        </w:rPr>
      </w:pPr>
      <w:r>
        <w:rPr>
          <w:rFonts w:ascii="Times New Roman" w:cs="Times New Roman" w:eastAsia="Times New Roman" w:hAnsi="Times New Roman"/>
          <w:sz w:val="20"/>
          <w:szCs w:val="20"/>
          <w:color w:val="auto"/>
        </w:rPr>
        <w:t>The Company has designated the General Counsel of the Company as the Insider Trading Compliance Officer (the “</w:t>
      </w:r>
      <w:r>
        <w:rPr>
          <w:rFonts w:ascii="Times New Roman" w:cs="Times New Roman" w:eastAsia="Times New Roman" w:hAnsi="Times New Roman"/>
          <w:sz w:val="20"/>
          <w:szCs w:val="20"/>
          <w:b w:val="1"/>
          <w:bCs w:val="1"/>
          <w:i w:val="1"/>
          <w:iCs w:val="1"/>
          <w:color w:val="auto"/>
        </w:rPr>
        <w:t>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Officer</w:t>
      </w:r>
      <w:r>
        <w:rPr>
          <w:rFonts w:ascii="Times New Roman" w:cs="Times New Roman" w:eastAsia="Times New Roman" w:hAnsi="Times New Roman"/>
          <w:sz w:val="20"/>
          <w:szCs w:val="20"/>
          <w:color w:val="auto"/>
        </w:rPr>
        <w:t>”). The Company may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change this designation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from time to time as necessary to reflect the addition and departure of one or more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Compliance Officers.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duties of the Compliance Officer will include the following:</w:t>
      </w:r>
    </w:p>
    <w:p>
      <w:pPr>
        <w:spacing w:after="0" w:line="229" w:lineRule="exact"/>
        <w:rPr>
          <w:sz w:val="20"/>
          <w:szCs w:val="20"/>
          <w:color w:val="auto"/>
        </w:rPr>
      </w:pPr>
    </w:p>
    <w:p>
      <w:pPr>
        <w:ind w:left="1300" w:hanging="320"/>
        <w:spacing w:after="0"/>
        <w:tabs>
          <w:tab w:leader="none" w:pos="13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Administering this Policy and monitoring and enforcing compliance with all policy provisions and procedures.</w:t>
      </w:r>
    </w:p>
    <w:p>
      <w:pPr>
        <w:spacing w:after="0" w:line="21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Responding to all inquiries relating to this policy and its procedures.</w:t>
      </w:r>
    </w:p>
    <w:p>
      <w:pPr>
        <w:spacing w:after="0" w:line="22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Designating and announcing special trading blackout periods during which no Insiders may trade in Company securities.</w:t>
      </w:r>
    </w:p>
    <w:p>
      <w:pPr>
        <w:spacing w:after="0" w:line="215" w:lineRule="exact"/>
        <w:rPr>
          <w:rFonts w:ascii="Times New Roman" w:cs="Times New Roman" w:eastAsia="Times New Roman" w:hAnsi="Times New Roman"/>
          <w:sz w:val="20"/>
          <w:szCs w:val="20"/>
          <w:color w:val="auto"/>
        </w:rPr>
      </w:pPr>
    </w:p>
    <w:p>
      <w:pPr>
        <w:ind w:left="1300" w:right="140" w:hanging="320"/>
        <w:spacing w:after="0" w:line="268" w:lineRule="auto"/>
        <w:tabs>
          <w:tab w:leader="none" w:pos="128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copies of this Policy and other appropriate materials to all current and new directors, officers and employees, and such other persons as the Compliance Officer determines have access to material nonpublic information concerning the Company.</w:t>
      </w:r>
    </w:p>
    <w:p>
      <w:pPr>
        <w:spacing w:after="0" w:line="161" w:lineRule="exact"/>
        <w:rPr>
          <w:rFonts w:ascii="Times New Roman" w:cs="Times New Roman" w:eastAsia="Times New Roman" w:hAnsi="Times New Roman"/>
          <w:sz w:val="20"/>
          <w:szCs w:val="20"/>
          <w:color w:val="auto"/>
        </w:rPr>
      </w:pPr>
    </w:p>
    <w:p>
      <w:pPr>
        <w:ind w:left="1300" w:right="120" w:hanging="320"/>
        <w:spacing w:after="0" w:line="258" w:lineRule="auto"/>
        <w:tabs>
          <w:tab w:leader="none" w:pos="128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Administering, monitoring and enforcing compliance with federal and state insider trading laws and regulations; and assisting in the preparation and filing of all required SEC reports relating to insider trading laws and regulations and trading in Company securities, including without limitation Forms 3, 4, 5 and 144 and Schedules 13D and 13G and required disclosures on quarterly and annual reports.</w:t>
      </w:r>
    </w:p>
    <w:p>
      <w:pPr>
        <w:spacing w:after="0" w:line="18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Selecting designated brokers through which Insiders are authorized to trade Company securities.</w:t>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189" w:lineRule="exact"/>
        <w:rPr>
          <w:sz w:val="20"/>
          <w:szCs w:val="20"/>
          <w:color w:val="auto"/>
        </w:rPr>
      </w:pPr>
    </w:p>
    <w:p>
      <w:pPr>
        <w:ind w:left="1300" w:hanging="320"/>
        <w:spacing w:after="0"/>
        <w:tabs>
          <w:tab w:leader="none" w:pos="13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Revising the Policy as necessary to reflect changes in federal or state insider trading laws and regulations.</w:t>
      </w:r>
    </w:p>
    <w:p>
      <w:pPr>
        <w:spacing w:after="0" w:line="229" w:lineRule="exact"/>
        <w:rPr>
          <w:rFonts w:ascii="Times New Roman" w:cs="Times New Roman" w:eastAsia="Times New Roman" w:hAnsi="Times New Roman"/>
          <w:sz w:val="20"/>
          <w:szCs w:val="20"/>
          <w:color w:val="auto"/>
        </w:rPr>
      </w:pPr>
    </w:p>
    <w:p>
      <w:pPr>
        <w:ind w:left="1300" w:right="280" w:hanging="320"/>
        <w:spacing w:after="0" w:line="260" w:lineRule="auto"/>
        <w:tabs>
          <w:tab w:leader="none" w:pos="1288"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as Company records originals or copies of all documents required by the provisions of this Policy or the procedures set forth herein, and copies of all required SEC reports relating to insider trading, including without limitation Forms 3, 4, 5 and 144 and Schedules 13D and 13G.</w:t>
      </w:r>
    </w:p>
    <w:p>
      <w:pPr>
        <w:spacing w:after="0" w:line="169" w:lineRule="exact"/>
        <w:rPr>
          <w:rFonts w:ascii="Arial" w:cs="Arial" w:eastAsia="Arial" w:hAnsi="Arial"/>
          <w:sz w:val="20"/>
          <w:szCs w:val="20"/>
          <w:color w:val="auto"/>
        </w:rPr>
      </w:pPr>
    </w:p>
    <w:p>
      <w:pPr>
        <w:ind w:left="1300" w:right="200" w:hanging="320"/>
        <w:spacing w:after="0" w:line="283" w:lineRule="auto"/>
        <w:tabs>
          <w:tab w:leader="none" w:pos="128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Maintaining the accuracy of the list of Section 16 Individuals as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the list of Insider Employees as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and updating such lists periodically as necessary to reflect additions or deletions.</w:t>
      </w:r>
    </w:p>
    <w:p>
      <w:pPr>
        <w:spacing w:after="0" w:line="15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Designing and requiring training about the obligations of this Policy as the Compliance Officer considers appropriate.</w:t>
      </w:r>
    </w:p>
    <w:p>
      <w:pPr>
        <w:spacing w:after="0" w:line="21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The Compliance Officer may designate one or more individuals who may perform the Compliance Officer’s duties in the event that the Compliance Officer is unable or unavailable to perform such duties. In fulfilling his or her duties under this Policy, the Compliance Officer shall be authorized to consult with the Company’s outside counsel.</w:t>
      </w:r>
    </w:p>
    <w:p>
      <w:pPr>
        <w:spacing w:after="0" w:line="177" w:lineRule="exact"/>
        <w:rPr>
          <w:sz w:val="20"/>
          <w:szCs w:val="20"/>
          <w:color w:val="auto"/>
        </w:rPr>
      </w:pPr>
    </w:p>
    <w:p>
      <w:pPr>
        <w:ind w:left="620" w:hanging="612"/>
        <w:spacing w:after="0"/>
        <w:tabs>
          <w:tab w:leader="none" w:pos="620" w:val="left"/>
        </w:tabs>
        <w:numPr>
          <w:ilvl w:val="0"/>
          <w:numId w:val="6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APPLICABILITY OF THIS POLICY TO TRANSACTIONS IN COMPANY SECURITIES</w:t>
      </w:r>
    </w:p>
    <w:p>
      <w:pPr>
        <w:spacing w:after="0" w:line="233" w:lineRule="exact"/>
        <w:rPr>
          <w:rFonts w:ascii="Times New Roman" w:cs="Times New Roman" w:eastAsia="Times New Roman" w:hAnsi="Times New Roman"/>
          <w:sz w:val="20"/>
          <w:szCs w:val="20"/>
          <w:b w:val="1"/>
          <w:bCs w:val="1"/>
          <w:i w:val="1"/>
          <w:iCs w:val="1"/>
          <w:color w:val="auto"/>
        </w:rPr>
      </w:pPr>
    </w:p>
    <w:p>
      <w:pPr>
        <w:ind w:right="260" w:firstLine="656"/>
        <w:spacing w:after="0" w:line="254" w:lineRule="auto"/>
        <w:tabs>
          <w:tab w:leader="none" w:pos="128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Rule</w:t>
      </w:r>
      <w:r>
        <w:rPr>
          <w:rFonts w:ascii="Times New Roman" w:cs="Times New Roman" w:eastAsia="Times New Roman" w:hAnsi="Times New Roman"/>
          <w:sz w:val="20"/>
          <w:szCs w:val="20"/>
          <w:color w:val="auto"/>
        </w:rPr>
        <w:t>. This Policy applies to all transactions in the Company’s securities, including common stock and any other securities the Company may issue from time to time, such as preferred stock, warrants and convertible debentures, as well as to derivative securities relating to the Company’s stock, whether or not issued by the Company, such as exchange-traded options. For purposes of this Policy, the term “</w:t>
      </w:r>
      <w:r>
        <w:rPr>
          <w:rFonts w:ascii="Times New Roman" w:cs="Times New Roman" w:eastAsia="Times New Roman" w:hAnsi="Times New Roman"/>
          <w:sz w:val="20"/>
          <w:szCs w:val="20"/>
          <w:b w:val="1"/>
          <w:bCs w:val="1"/>
          <w:i w:val="1"/>
          <w:iCs w:val="1"/>
          <w:color w:val="auto"/>
        </w:rPr>
        <w:t>trade</w:t>
      </w:r>
      <w:r>
        <w:rPr>
          <w:rFonts w:ascii="Times New Roman" w:cs="Times New Roman" w:eastAsia="Times New Roman" w:hAnsi="Times New Roman"/>
          <w:sz w:val="20"/>
          <w:szCs w:val="20"/>
          <w:color w:val="auto"/>
        </w:rPr>
        <w:t>” includes any transaction in the Company’s securities, including gifts and pledges.</w:t>
      </w:r>
    </w:p>
    <w:p>
      <w:pPr>
        <w:spacing w:after="0" w:line="18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Benefit Plans.</w:t>
      </w:r>
    </w:p>
    <w:p>
      <w:pPr>
        <w:spacing w:after="0" w:line="22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9"/>
          <w:szCs w:val="19"/>
          <w:i w:val="1"/>
          <w:iCs w:val="1"/>
          <w:color w:val="auto"/>
        </w:rPr>
        <w:t xml:space="preserve">Equity Incentive Plans. </w:t>
      </w:r>
      <w:r>
        <w:rPr>
          <w:rFonts w:ascii="Times New Roman" w:cs="Times New Roman" w:eastAsia="Times New Roman" w:hAnsi="Times New Roman"/>
          <w:sz w:val="19"/>
          <w:szCs w:val="19"/>
          <w:color w:val="auto"/>
        </w:rPr>
        <w:t>The trading prohibitions and restrictions set forth in this Policy do not apply to the exercise of stock options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other equity awards for cash, but do apply to all sales of securities acquired through the exercise of stock options or other equity awards. Thus, this Policy does apply to the “same-day sale” or cashless exercise of Company stock options. These restrictions also apply to the same-day sale of shares received on the settlement of restricted stock units or similar awards to cover applicable tax withholding, but do not apply to automatic withholding of shares by the Company to cover applicable taxes on the settlement of restricted stock units or similar awards.</w:t>
      </w:r>
    </w:p>
    <w:p>
      <w:pPr>
        <w:spacing w:after="0" w:line="157"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19"/>
          <w:szCs w:val="19"/>
          <w:i w:val="1"/>
          <w:iCs w:val="1"/>
          <w:color w:val="auto"/>
        </w:rPr>
        <w:t xml:space="preserve">Employee Stock Purchase Plans. </w:t>
      </w:r>
      <w:r>
        <w:rPr>
          <w:rFonts w:ascii="Times New Roman" w:cs="Times New Roman" w:eastAsia="Times New Roman" w:hAnsi="Times New Roman"/>
          <w:sz w:val="19"/>
          <w:szCs w:val="19"/>
          <w:color w:val="auto"/>
        </w:rPr>
        <w:t>The trading prohibitions and restrictions set forth in this Policy do not apply to periodic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contributions by the Company or employees to employee stock purchase plans or employee benefit plans (e.g., a pension or 401(k) plan) which are used to purchase Company securities pursuant to the employee’s advance instructions. However, no officers or employees may alter their instructions regarding the level of withholding or the purchase of Company securities in such plans while in the possession of material nonpublic information. Any sale of securities acquired under such plans is subject to the prohibitions and restrictions of this Policy.</w:t>
      </w:r>
    </w:p>
    <w:p>
      <w:pPr>
        <w:sectPr>
          <w:pgSz w:w="11900" w:h="16838" w:orient="portrait"/>
          <w:cols w:equalWidth="0" w:num="1">
            <w:col w:w="11200"/>
          </w:cols>
          <w:pgMar w:left="320" w:top="1440" w:right="379" w:bottom="1440" w:gutter="0" w:footer="0" w:header="0"/>
        </w:sectPr>
      </w:pPr>
    </w:p>
    <w:bookmarkStart w:id="101" w:name="page102"/>
    <w:bookmarkEnd w:id="101"/>
    <w:p>
      <w:pPr>
        <w:spacing w:after="0" w:line="189"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Exceptions.</w:t>
      </w:r>
    </w:p>
    <w:p>
      <w:pPr>
        <w:spacing w:after="0" w:line="22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Transactions Under a Trading Plan that Complies with SEC Rules</w:t>
      </w:r>
      <w:r>
        <w:rPr>
          <w:rFonts w:ascii="Times New Roman" w:cs="Times New Roman" w:eastAsia="Times New Roman" w:hAnsi="Times New Roman"/>
          <w:sz w:val="20"/>
          <w:szCs w:val="20"/>
          <w:color w:val="auto"/>
        </w:rPr>
        <w:t>. The SEC has enacted rules that provide an affirmative defense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against alleged violations of U.S. federal insider trading laws for transactions under trading plans that meet certain requirements. In general, these rules, as set forth in Rule 10b5-1 under the Securities Exchange Act, provide for an affirmative defense if you enter into a contract, provide instructions or adopt a written plan for trading securities when you are not aware of material nonpublic information.</w:t>
      </w:r>
    </w:p>
    <w:p>
      <w:pPr>
        <w:spacing w:after="0" w:line="188" w:lineRule="exact"/>
        <w:rPr>
          <w:sz w:val="20"/>
          <w:szCs w:val="20"/>
          <w:color w:val="auto"/>
        </w:rPr>
      </w:pPr>
    </w:p>
    <w:p>
      <w:pPr>
        <w:jc w:val="both"/>
        <w:ind w:right="140" w:firstLine="648"/>
        <w:spacing w:after="0" w:line="253" w:lineRule="auto"/>
        <w:rPr>
          <w:sz w:val="20"/>
          <w:szCs w:val="20"/>
          <w:color w:val="auto"/>
        </w:rPr>
      </w:pPr>
      <w:r>
        <w:rPr>
          <w:rFonts w:ascii="Times New Roman" w:cs="Times New Roman" w:eastAsia="Times New Roman" w:hAnsi="Times New Roman"/>
          <w:sz w:val="20"/>
          <w:szCs w:val="20"/>
          <w:color w:val="auto"/>
        </w:rPr>
        <w:t xml:space="preserve">Employees who have a high level of access to material nonpublic information in the usual course of their job duties may be eligible to enter into a trading plan with the approval of the Compliance Officer. Transactions under a written trading plan will not be subject to the restrictions in this Policy against trades made while aware of material nonpublic information or to the pre-clearance procedures or blackout periods established under this Policy if the trading plan is approved by the Compliance Officer and complies with the Company’s “Special Guidelines for 10b5-1 Trading Plans” set forth in </w:t>
      </w:r>
      <w:r>
        <w:rPr>
          <w:rFonts w:ascii="Times New Roman" w:cs="Times New Roman" w:eastAsia="Times New Roman" w:hAnsi="Times New Roman"/>
          <w:sz w:val="20"/>
          <w:szCs w:val="20"/>
          <w:u w:val="single" w:color="auto"/>
          <w:color w:val="auto"/>
        </w:rPr>
        <w:t>Appendix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XII</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right="240" w:firstLine="648"/>
        <w:spacing w:after="0" w:line="283" w:lineRule="auto"/>
        <w:rPr>
          <w:sz w:val="20"/>
          <w:szCs w:val="20"/>
          <w:color w:val="auto"/>
        </w:rPr>
      </w:pPr>
      <w:r>
        <w:rPr>
          <w:rFonts w:ascii="Times New Roman" w:cs="Times New Roman" w:eastAsia="Times New Roman" w:hAnsi="Times New Roman"/>
          <w:sz w:val="20"/>
          <w:szCs w:val="20"/>
          <w:color w:val="auto"/>
        </w:rPr>
        <w:t>Final, executed trading plans approved by the Compliance Officer must be delivered to the Company. The Company may publicly disclose information regarding trading plans that you may enter.</w:t>
      </w:r>
    </w:p>
    <w:p>
      <w:pPr>
        <w:spacing w:after="0" w:line="14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Stock Splits, Stock Dividends and Similar Transactions</w:t>
      </w:r>
      <w:r>
        <w:rPr>
          <w:rFonts w:ascii="Times New Roman" w:cs="Times New Roman" w:eastAsia="Times New Roman" w:hAnsi="Times New Roman"/>
          <w:sz w:val="20"/>
          <w:szCs w:val="20"/>
          <w:color w:val="auto"/>
        </w:rPr>
        <w:t>. The trading prohibitions and restrictions set forth in this Policy do not apply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a change in the number of securities held as a result of a stock split or stock dividend applying equally to all securities of a class, or similar transactions.</w:t>
      </w:r>
    </w:p>
    <w:p>
      <w:pPr>
        <w:spacing w:after="0" w:line="175" w:lineRule="exact"/>
        <w:rPr>
          <w:sz w:val="20"/>
          <w:szCs w:val="20"/>
          <w:color w:val="auto"/>
        </w:rPr>
      </w:pPr>
    </w:p>
    <w:p>
      <w:pPr>
        <w:ind w:right="160"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Change in Form of Ownership</w:t>
      </w:r>
      <w:r>
        <w:rPr>
          <w:rFonts w:ascii="Times New Roman" w:cs="Times New Roman" w:eastAsia="Times New Roman" w:hAnsi="Times New Roman"/>
          <w:sz w:val="20"/>
          <w:szCs w:val="20"/>
          <w:color w:val="auto"/>
        </w:rPr>
        <w:t>. The trading prohibitions and restrictions set forth in this Policy do not apply to transactions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involve merely a change in the form in which you own securities. For example, you may transfer shares to an inter vivos trust of which you are the sole beneficiary during your lifetime.</w:t>
      </w:r>
    </w:p>
    <w:p>
      <w:pPr>
        <w:spacing w:after="0" w:line="175"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Other Exceptions</w:t>
      </w:r>
      <w:r>
        <w:rPr>
          <w:rFonts w:ascii="Times New Roman" w:cs="Times New Roman" w:eastAsia="Times New Roman" w:hAnsi="Times New Roman"/>
          <w:sz w:val="20"/>
          <w:szCs w:val="20"/>
          <w:color w:val="auto"/>
        </w:rPr>
        <w:t>. Any other exception from this Policy must be approved by the Compliance Officer, in consultation with the Board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Directors or the Nominating and Governance Committee of the Board of Directors or its designated chair.</w:t>
      </w:r>
    </w:p>
    <w:p>
      <w:pPr>
        <w:spacing w:after="0" w:line="16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20"/>
          <w:szCs w:val="20"/>
          <w:b w:val="1"/>
          <w:bCs w:val="1"/>
          <w:i w:val="1"/>
          <w:iCs w:val="1"/>
          <w:color w:val="auto"/>
        </w:rPr>
        <w:t>DEFINITION OF “MATERIAL NONPUBLIC INFORMATION”</w:t>
      </w:r>
    </w:p>
    <w:p>
      <w:pPr>
        <w:spacing w:after="0" w:line="216" w:lineRule="exact"/>
        <w:rPr>
          <w:sz w:val="20"/>
          <w:szCs w:val="20"/>
          <w:color w:val="auto"/>
        </w:rPr>
      </w:pPr>
    </w:p>
    <w:p>
      <w:pPr>
        <w:ind w:firstLine="656"/>
        <w:spacing w:after="0" w:line="254" w:lineRule="auto"/>
        <w:tabs>
          <w:tab w:leader="none" w:pos="128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w:t>
      </w:r>
      <w:r>
        <w:rPr>
          <w:rFonts w:ascii="Times New Roman" w:cs="Times New Roman" w:eastAsia="Times New Roman" w:hAnsi="Times New Roman"/>
          <w:sz w:val="20"/>
          <w:szCs w:val="20"/>
          <w:color w:val="auto"/>
        </w:rPr>
        <w:t>”. Information about the Company is “material” if it would be expected to affect the investment or voting decisions of a reasonable shareholder or investor, or if the disclosure of the information would be expected to significantly alter the total mix of the information in the marketplace about the Company. In simple terms, material information is any type of information which could reasonably be expected to affect the market price of the Company’s securities. Both positive and negative information may be material and information need not be certain or definitive to be material. While it is not possible to identify all information that would be deemed material, the following types of information ordinarily would be considered material:</w:t>
      </w:r>
    </w:p>
    <w:p>
      <w:pPr>
        <w:spacing w:after="0" w:line="190" w:lineRule="exact"/>
        <w:rPr>
          <w:rFonts w:ascii="Times New Roman" w:cs="Times New Roman" w:eastAsia="Times New Roman" w:hAnsi="Times New Roman"/>
          <w:sz w:val="20"/>
          <w:szCs w:val="20"/>
          <w:color w:val="auto"/>
        </w:rPr>
      </w:pPr>
    </w:p>
    <w:p>
      <w:pPr>
        <w:ind w:left="1300" w:right="80" w:hanging="320"/>
        <w:spacing w:after="0" w:line="283" w:lineRule="auto"/>
        <w:tabs>
          <w:tab w:leader="none" w:pos="1288"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performance, especially quarterly and year-end operating results, and significant changes in financial performance or liquidity.</w:t>
      </w:r>
    </w:p>
    <w:p>
      <w:pPr>
        <w:spacing w:after="0" w:line="14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projections and strategic plans.</w:t>
      </w:r>
    </w:p>
    <w:p>
      <w:pPr>
        <w:sectPr>
          <w:pgSz w:w="11900" w:h="16838" w:orient="portrait"/>
          <w:cols w:equalWidth="0" w:num="1">
            <w:col w:w="11200"/>
          </w:cols>
          <w:pgMar w:left="320" w:top="1440" w:right="379" w:bottom="1440" w:gutter="0" w:footer="0" w:header="0"/>
        </w:sectPr>
      </w:pPr>
    </w:p>
    <w:bookmarkStart w:id="102" w:name="page103"/>
    <w:bookmarkEnd w:id="102"/>
    <w:p>
      <w:pPr>
        <w:spacing w:after="0" w:line="189" w:lineRule="exact"/>
        <w:rPr>
          <w:sz w:val="20"/>
          <w:szCs w:val="20"/>
          <w:color w:val="auto"/>
        </w:rPr>
      </w:pPr>
    </w:p>
    <w:p>
      <w:pPr>
        <w:ind w:left="1300" w:hanging="320"/>
        <w:spacing w:after="0"/>
        <w:tabs>
          <w:tab w:leader="none" w:pos="13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mergers or acquisitions, the sale of Company assets or subsidiaries or major partnering agreements.</w:t>
      </w:r>
    </w:p>
    <w:p>
      <w:pPr>
        <w:spacing w:after="0" w:line="22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major contracts, orders, suppliers, customers or finance sources or the loss thereof.</w:t>
      </w:r>
    </w:p>
    <w:p>
      <w:pPr>
        <w:spacing w:after="0" w:line="21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discoveries or significant changes or developments in products or product lines, research or technologies.</w:t>
      </w:r>
    </w:p>
    <w:p>
      <w:pPr>
        <w:spacing w:after="0" w:line="229" w:lineRule="exact"/>
        <w:rPr>
          <w:rFonts w:ascii="Times New Roman" w:cs="Times New Roman" w:eastAsia="Times New Roman" w:hAnsi="Times New Roman"/>
          <w:sz w:val="20"/>
          <w:szCs w:val="20"/>
          <w:color w:val="auto"/>
        </w:rPr>
      </w:pPr>
    </w:p>
    <w:p>
      <w:pPr>
        <w:ind w:left="1300" w:right="620" w:hanging="320"/>
        <w:spacing w:after="0" w:line="268" w:lineRule="auto"/>
        <w:tabs>
          <w:tab w:leader="none" w:pos="1288" w:val="left"/>
        </w:tabs>
        <w:numPr>
          <w:ilvl w:val="1"/>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changes or developments in supplies or inventory, including significant product defects, recalls or product returns.</w:t>
      </w:r>
    </w:p>
    <w:p>
      <w:pPr>
        <w:spacing w:after="0" w:line="173" w:lineRule="exact"/>
        <w:rPr>
          <w:rFonts w:ascii="Arial" w:cs="Arial" w:eastAsia="Arial" w:hAnsi="Arial"/>
          <w:sz w:val="20"/>
          <w:szCs w:val="20"/>
          <w:color w:val="auto"/>
        </w:rPr>
      </w:pPr>
    </w:p>
    <w:p>
      <w:pPr>
        <w:ind w:left="1300" w:hanging="320"/>
        <w:spacing w:after="0"/>
        <w:tabs>
          <w:tab w:leader="none" w:pos="13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pricing changes.</w:t>
      </w:r>
    </w:p>
    <w:p>
      <w:pPr>
        <w:spacing w:after="0" w:line="22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splits, public or private securities/debt offerings, or changes in Company dividend policies or amounts.</w:t>
      </w:r>
    </w:p>
    <w:p>
      <w:pPr>
        <w:spacing w:after="0" w:line="21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in senior management or membership of the Board of Directors.</w:t>
      </w:r>
    </w:p>
    <w:p>
      <w:pPr>
        <w:spacing w:after="0" w:line="22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labor disputes or negotiations.</w:t>
      </w:r>
    </w:p>
    <w:p>
      <w:pPr>
        <w:spacing w:after="0" w:line="21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threatened major litigation, or the resolution of such litigation.</w:t>
      </w:r>
    </w:p>
    <w:p>
      <w:pPr>
        <w:spacing w:after="0" w:line="22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or denial of regulatory approval for products.</w:t>
      </w:r>
    </w:p>
    <w:p>
      <w:pPr>
        <w:spacing w:after="0" w:line="22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gain or loss of a significant customer or changes in sales to or orders from significant customers.</w:t>
      </w:r>
    </w:p>
    <w:p>
      <w:pPr>
        <w:spacing w:after="0" w:line="215" w:lineRule="exact"/>
        <w:rPr>
          <w:rFonts w:ascii="Times New Roman" w:cs="Times New Roman" w:eastAsia="Times New Roman" w:hAnsi="Times New Roman"/>
          <w:sz w:val="20"/>
          <w:szCs w:val="20"/>
          <w:color w:val="auto"/>
        </w:rPr>
      </w:pPr>
    </w:p>
    <w:p>
      <w:pPr>
        <w:ind w:left="1300" w:right="200" w:hanging="320"/>
        <w:spacing w:after="0" w:line="283" w:lineRule="auto"/>
        <w:tabs>
          <w:tab w:leader="none" w:pos="128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cybersecurity incident, such as a data breach or a significant disruption or unauthorized access to information technology structure.</w:t>
      </w:r>
    </w:p>
    <w:p>
      <w:pPr>
        <w:spacing w:after="0" w:line="142" w:lineRule="exact"/>
        <w:rPr>
          <w:rFonts w:ascii="Times New Roman" w:cs="Times New Roman" w:eastAsia="Times New Roman" w:hAnsi="Times New Roman"/>
          <w:sz w:val="20"/>
          <w:szCs w:val="20"/>
          <w:color w:val="auto"/>
        </w:rPr>
      </w:pPr>
    </w:p>
    <w:p>
      <w:pPr>
        <w:jc w:val="both"/>
        <w:ind w:right="240" w:firstLine="656"/>
        <w:spacing w:after="0" w:line="260" w:lineRule="auto"/>
        <w:tabs>
          <w:tab w:leader="none" w:pos="128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Nonpublic</w:t>
      </w:r>
      <w:r>
        <w:rPr>
          <w:rFonts w:ascii="Times New Roman" w:cs="Times New Roman" w:eastAsia="Times New Roman" w:hAnsi="Times New Roman"/>
          <w:sz w:val="20"/>
          <w:szCs w:val="20"/>
          <w:color w:val="auto"/>
        </w:rPr>
        <w:t>”. Material information is “nonpublic” if it has not been widely disseminated to the general public through a report filed with the SEC or through major newswire services, national news services or financial news services. For the purpose of this Policy, information will be considered public after the close of trading on the second full trading day following the Company’s widespread public release of the information.</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8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Consult the Compliance Officer When in Doubt</w:t>
      </w:r>
      <w:r>
        <w:rPr>
          <w:rFonts w:ascii="Times New Roman" w:cs="Times New Roman" w:eastAsia="Times New Roman" w:hAnsi="Times New Roman"/>
          <w:sz w:val="20"/>
          <w:szCs w:val="20"/>
          <w:color w:val="auto"/>
        </w:rPr>
        <w:t>. Any employees who are unsure whether the information that they possess is material or nonpublic must consult the Compliance Officer for guidance before trading in any Company securities.</w:t>
      </w:r>
    </w:p>
    <w:p>
      <w:pPr>
        <w:spacing w:after="0" w:line="169" w:lineRule="exact"/>
        <w:rPr>
          <w:sz w:val="20"/>
          <w:szCs w:val="20"/>
          <w:color w:val="auto"/>
        </w:rPr>
      </w:pPr>
    </w:p>
    <w:p>
      <w:pPr>
        <w:ind w:right="16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VII. EMPLOYEES MAY NOT DISCLOSE MATERIAL NONPUBLIC INFORMATION TO OTHERS OR MAKE RECOMMENDATIONS REGARDING TRADING IN COMPANY SECURITIES</w:t>
      </w:r>
    </w:p>
    <w:p>
      <w:pPr>
        <w:spacing w:after="0" w:line="16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No employee may disclose material nonpublic information concerning the Company to any other person (including family members) where such information may be used by such person to his or her advantage in the trading of the securities of companies to which such information relates, a practice commonly known as “tipping.” No employee or related person may make recommendations or express opinions as to trading in the Company’s securities while in possession of material nonpublic information,</w:t>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except such person may advise others not to trade in the Company’s securities if doing so might violate the law or this policy.</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i w:val="1"/>
          <w:iCs w:val="1"/>
          <w:color w:val="auto"/>
        </w:rPr>
        <w:t>VIII.</w:t>
        <w:tab/>
        <w:t>EMPLOYEES MAY NOT PARTICIPATE IN BLOGS OR SOCIAL MEDIA</w:t>
      </w:r>
    </w:p>
    <w:p>
      <w:pPr>
        <w:spacing w:after="0" w:line="220" w:lineRule="exact"/>
        <w:rPr>
          <w:sz w:val="20"/>
          <w:szCs w:val="20"/>
          <w:color w:val="auto"/>
        </w:rPr>
      </w:pPr>
    </w:p>
    <w:p>
      <w:pPr>
        <w:ind w:right="180" w:firstLine="648"/>
        <w:spacing w:after="0" w:line="283" w:lineRule="auto"/>
        <w:rPr>
          <w:sz w:val="20"/>
          <w:szCs w:val="20"/>
          <w:color w:val="auto"/>
        </w:rPr>
      </w:pPr>
      <w:r>
        <w:rPr>
          <w:rFonts w:ascii="Times New Roman" w:cs="Times New Roman" w:eastAsia="Times New Roman" w:hAnsi="Times New Roman"/>
          <w:sz w:val="20"/>
          <w:szCs w:val="20"/>
          <w:color w:val="auto"/>
        </w:rPr>
        <w:t>Employees are prohibited from participating in blog discussions or other Internet forums, including for the avoidance of doubt, any forms of social media (e.g. Facebook or Twitter) regarding the Company’s securities or business.</w:t>
      </w:r>
    </w:p>
    <w:p>
      <w:pPr>
        <w:spacing w:after="0" w:line="142"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IX. ONLY DESIGNATED COMPANY SPOKESPERSONS ARE AUTHORIZED TO DISCLOSE MATERIAL NONPUBLIC INFORMATION</w:t>
      </w:r>
    </w:p>
    <w:p>
      <w:pPr>
        <w:spacing w:after="0" w:line="156" w:lineRule="exact"/>
        <w:rPr>
          <w:sz w:val="20"/>
          <w:szCs w:val="20"/>
          <w:color w:val="auto"/>
        </w:rPr>
      </w:pPr>
    </w:p>
    <w:p>
      <w:pPr>
        <w:ind w:right="220" w:firstLine="648"/>
        <w:spacing w:after="0" w:line="270" w:lineRule="auto"/>
        <w:rPr>
          <w:sz w:val="20"/>
          <w:szCs w:val="20"/>
          <w:color w:val="auto"/>
        </w:rPr>
      </w:pPr>
      <w:r>
        <w:rPr>
          <w:rFonts w:ascii="Times New Roman" w:cs="Times New Roman" w:eastAsia="Times New Roman" w:hAnsi="Times New Roman"/>
          <w:sz w:val="19"/>
          <w:szCs w:val="19"/>
          <w:color w:val="auto"/>
        </w:rPr>
        <w:t>The Company is required under the federal securities laws to avoid the selective disclosure of material nonpublic information. The Company has established procedures for releasing material information in a manner that is designed to achieve broad dissemination of the information immediately upon its release. Employees may not, therefore, disclose material information to anyone outside the Company, including family members and friends, other than in accordance with those established procedures. Any inquiries from outsiders regarding material nonpublic information about the Company should be forwarded to the Compliance Officer or the Chief Executive Officer.</w:t>
      </w:r>
    </w:p>
    <w:p>
      <w:pPr>
        <w:spacing w:after="0" w:line="171" w:lineRule="exact"/>
        <w:rPr>
          <w:sz w:val="20"/>
          <w:szCs w:val="20"/>
          <w:color w:val="auto"/>
        </w:rPr>
      </w:pPr>
    </w:p>
    <w:p>
      <w:pPr>
        <w:ind w:left="640" w:hanging="632"/>
        <w:spacing w:after="0"/>
        <w:tabs>
          <w:tab w:leader="none" w:pos="640" w:val="left"/>
        </w:tabs>
        <w:numPr>
          <w:ilvl w:val="0"/>
          <w:numId w:val="7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CERTAIN TYPES OF TRANSACTIONS ARE PROHIBITED</w:t>
      </w:r>
    </w:p>
    <w:p>
      <w:pPr>
        <w:spacing w:after="0" w:line="219" w:lineRule="exact"/>
        <w:rPr>
          <w:rFonts w:ascii="Times New Roman" w:cs="Times New Roman" w:eastAsia="Times New Roman" w:hAnsi="Times New Roman"/>
          <w:sz w:val="20"/>
          <w:szCs w:val="20"/>
          <w:b w:val="1"/>
          <w:bCs w:val="1"/>
          <w:i w:val="1"/>
          <w:iCs w:val="1"/>
          <w:color w:val="auto"/>
        </w:rPr>
      </w:pPr>
    </w:p>
    <w:p>
      <w:pPr>
        <w:ind w:right="160" w:firstLine="656"/>
        <w:spacing w:after="0" w:line="257" w:lineRule="auto"/>
        <w:tabs>
          <w:tab w:leader="none" w:pos="1286"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Short Sales</w:t>
      </w:r>
      <w:r>
        <w:rPr>
          <w:rFonts w:ascii="Times New Roman" w:cs="Times New Roman" w:eastAsia="Times New Roman" w:hAnsi="Times New Roman"/>
          <w:sz w:val="20"/>
          <w:szCs w:val="20"/>
          <w:color w:val="auto"/>
        </w:rPr>
        <w:t>.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Exchange Act expressly prohibits executive officers and directors from engaging in short sales.</w:t>
      </w:r>
    </w:p>
    <w:p>
      <w:pPr>
        <w:spacing w:after="0" w:line="172" w:lineRule="exact"/>
        <w:rPr>
          <w:rFonts w:ascii="Times New Roman" w:cs="Times New Roman" w:eastAsia="Times New Roman" w:hAnsi="Times New Roman"/>
          <w:sz w:val="20"/>
          <w:szCs w:val="20"/>
          <w:color w:val="auto"/>
        </w:rPr>
      </w:pPr>
    </w:p>
    <w:p>
      <w:pPr>
        <w:ind w:right="20" w:firstLine="656"/>
        <w:spacing w:after="0" w:line="253" w:lineRule="auto"/>
        <w:tabs>
          <w:tab w:leader="none" w:pos="1288"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Publicly Traded Options</w:t>
      </w:r>
      <w:r>
        <w:rPr>
          <w:rFonts w:ascii="Times New Roman" w:cs="Times New Roman" w:eastAsia="Times New Roman" w:hAnsi="Times New Roman"/>
          <w:sz w:val="20"/>
          <w:szCs w:val="20"/>
          <w:color w:val="auto"/>
        </w:rPr>
        <w:t>. A transaction in options is, in effect, a bet on the short-term movement of the Company’s stock and therefore creates the appearance that the director or employee is trading based on inside information. Transactions in options also may focus the director’s or employee’s attention on short-term performance at the expense of the Company’s long-term objectives. Accordingly, transactions in puts, calls or other derivative securities involving the Company’s stock, on an exchange or in any other organized market, are prohibited by this Policy. (Option positions arising from certain types of hedging transactions are governed by the section below captioned “</w:t>
      </w:r>
      <w:r>
        <w:rPr>
          <w:rFonts w:ascii="Times New Roman" w:cs="Times New Roman" w:eastAsia="Times New Roman" w:hAnsi="Times New Roman"/>
          <w:sz w:val="20"/>
          <w:szCs w:val="20"/>
          <w:b w:val="1"/>
          <w:bCs w:val="1"/>
          <w:i w:val="1"/>
          <w:iCs w:val="1"/>
          <w:color w:val="auto"/>
        </w:rPr>
        <w:t>Hedging Transactions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right="200" w:firstLine="656"/>
        <w:spacing w:after="0" w:line="253" w:lineRule="auto"/>
        <w:tabs>
          <w:tab w:leader="none" w:pos="1288"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Hedging Transactions</w:t>
      </w:r>
      <w:r>
        <w:rPr>
          <w:rFonts w:ascii="Times New Roman" w:cs="Times New Roman" w:eastAsia="Times New Roman" w:hAnsi="Times New Roman"/>
          <w:sz w:val="20"/>
          <w:szCs w:val="20"/>
          <w:color w:val="auto"/>
        </w:rPr>
        <w:t>. Certain forms of hedging or monetization transactions, such as zero-cost collars and forward sale contracts, allow an employee to lock in much of the value of his or her stock holdings, often in exchange for all or part of the potential for upside appreciation in the stock. These transactions allow the employee to continue to own the covered securities, but without the full risks and rewards of ownership. When that occurs, the employee may no longer have the same objectives as the Company’s other shareholders. Therefore, such transactions involving the Company’s securities are prohibited by this Policy.</w:t>
      </w:r>
    </w:p>
    <w:p>
      <w:pPr>
        <w:spacing w:after="0" w:line="191"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6"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Margin Accounts and Pledges</w:t>
      </w:r>
      <w:r>
        <w:rPr>
          <w:rFonts w:ascii="Times New Roman" w:cs="Times New Roman" w:eastAsia="Times New Roman" w:hAnsi="Times New Roman"/>
          <w:sz w:val="20"/>
          <w:szCs w:val="20"/>
          <w:color w:val="auto"/>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w:t>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189" w:lineRule="exact"/>
        <w:rPr>
          <w:sz w:val="20"/>
          <w:szCs w:val="20"/>
          <w:color w:val="auto"/>
        </w:rPr>
      </w:pPr>
    </w:p>
    <w:p>
      <w:pPr>
        <w:ind w:right="640"/>
        <w:spacing w:after="0" w:line="283" w:lineRule="auto"/>
        <w:rPr>
          <w:sz w:val="20"/>
          <w:szCs w:val="20"/>
          <w:color w:val="auto"/>
        </w:rPr>
      </w:pPr>
      <w:r>
        <w:rPr>
          <w:rFonts w:ascii="Times New Roman" w:cs="Times New Roman" w:eastAsia="Times New Roman" w:hAnsi="Times New Roman"/>
          <w:sz w:val="20"/>
          <w:szCs w:val="20"/>
          <w:color w:val="auto"/>
        </w:rPr>
        <w:t>officers and other employees are prohibited from holding Company securities in a margin account or pledging Company securities as collateral for a loan.</w:t>
      </w:r>
    </w:p>
    <w:p>
      <w:pPr>
        <w:spacing w:after="0" w:line="14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i w:val="1"/>
          <w:iCs w:val="1"/>
          <w:color w:val="auto"/>
        </w:rPr>
        <w:t>XI.</w:t>
      </w:r>
      <w:r>
        <w:rPr>
          <w:sz w:val="20"/>
          <w:szCs w:val="20"/>
          <w:color w:val="auto"/>
        </w:rPr>
        <w:tab/>
      </w:r>
      <w:r>
        <w:rPr>
          <w:rFonts w:ascii="Times New Roman" w:cs="Times New Roman" w:eastAsia="Times New Roman" w:hAnsi="Times New Roman"/>
          <w:sz w:val="20"/>
          <w:szCs w:val="20"/>
          <w:b w:val="1"/>
          <w:bCs w:val="1"/>
          <w:i w:val="1"/>
          <w:iCs w:val="1"/>
          <w:color w:val="auto"/>
        </w:rPr>
        <w:t>THE COMPANY MAY SUSPEND ALL TRADING ACTIVITIES BY EMPLOYEES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In order to avoid any questions and to protect both employees and the Company from any potential liability, from time to time the Company may impose a “blackout” period during which some or all of the Company’s employees may not buy or sell the Company’s securities. The Compliance Officer will impose such a blackout period if, in his judgment, there exists nonpublic information that would make trades by the Company’s employees (or certain of the Company’s employees) inappropriate in light of the risk that such trades could be viewed as violating applicable securities laws.</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i w:val="1"/>
          <w:iCs w:val="1"/>
          <w:color w:val="auto"/>
        </w:rPr>
        <w:t>XII.</w:t>
      </w:r>
      <w:r>
        <w:rPr>
          <w:sz w:val="20"/>
          <w:szCs w:val="20"/>
          <w:color w:val="auto"/>
        </w:rPr>
        <w:tab/>
      </w:r>
      <w:r>
        <w:rPr>
          <w:rFonts w:ascii="Times New Roman" w:cs="Times New Roman" w:eastAsia="Times New Roman" w:hAnsi="Times New Roman"/>
          <w:sz w:val="20"/>
          <w:szCs w:val="20"/>
          <w:b w:val="1"/>
          <w:bCs w:val="1"/>
          <w:i w:val="1"/>
          <w:iCs w:val="1"/>
          <w:color w:val="auto"/>
        </w:rPr>
        <w:t>VIOLATIONS OF INSIDER TRADING LAWS OR THIS POLICY CAN RESULT IN SEVERE CONSEQUENCES</w:t>
      </w:r>
    </w:p>
    <w:p>
      <w:pPr>
        <w:spacing w:after="0" w:line="220" w:lineRule="exact"/>
        <w:rPr>
          <w:sz w:val="20"/>
          <w:szCs w:val="20"/>
          <w:color w:val="auto"/>
        </w:rPr>
      </w:pPr>
    </w:p>
    <w:p>
      <w:pPr>
        <w:ind w:right="40" w:firstLine="656"/>
        <w:spacing w:after="0" w:line="257" w:lineRule="auto"/>
        <w:tabs>
          <w:tab w:leader="none" w:pos="128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Civil and Criminal Penalties</w:t>
      </w:r>
      <w:r>
        <w:rPr>
          <w:rFonts w:ascii="Times New Roman" w:cs="Times New Roman" w:eastAsia="Times New Roman" w:hAnsi="Times New Roman"/>
          <w:sz w:val="20"/>
          <w:szCs w:val="20"/>
          <w:color w:val="auto"/>
        </w:rPr>
        <w:t>. The consequences of prohibited insider trading or tipping can be severe. Persons violating insider trading or tipping rules may be required to disgorge the profit made or the loss avoided by the trading, pay civil penalties up to three times the profit made or loss avoided, face private action for damages, as well as being subject to criminal penalties, including up to 20 years in prison and fines of up to $5 million. The Company and/or the supervisors of the person violating the rules may also be required to pay major civil or criminal penalties.</w:t>
      </w:r>
    </w:p>
    <w:p>
      <w:pPr>
        <w:spacing w:after="0" w:line="172" w:lineRule="exact"/>
        <w:rPr>
          <w:rFonts w:ascii="Times New Roman" w:cs="Times New Roman" w:eastAsia="Times New Roman" w:hAnsi="Times New Roman"/>
          <w:sz w:val="20"/>
          <w:szCs w:val="20"/>
          <w:color w:val="auto"/>
        </w:rPr>
      </w:pPr>
    </w:p>
    <w:p>
      <w:pPr>
        <w:ind w:firstLine="656"/>
        <w:spacing w:after="0" w:line="268" w:lineRule="auto"/>
        <w:tabs>
          <w:tab w:leader="none" w:pos="128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Discipline</w:t>
      </w:r>
      <w:r>
        <w:rPr>
          <w:rFonts w:ascii="Times New Roman" w:cs="Times New Roman" w:eastAsia="Times New Roman" w:hAnsi="Times New Roman"/>
          <w:sz w:val="20"/>
          <w:szCs w:val="20"/>
          <w:color w:val="auto"/>
        </w:rPr>
        <w:t>. Violation of this Policy or federal or state insider trading laws by any director, officer or employee may subject the director to removal proceedings and the officer or employee to disciplinary action by the Company, including termination for cause.</w:t>
      </w:r>
    </w:p>
    <w:p>
      <w:pPr>
        <w:spacing w:after="0" w:line="161" w:lineRule="exact"/>
        <w:rPr>
          <w:rFonts w:ascii="Times New Roman" w:cs="Times New Roman" w:eastAsia="Times New Roman" w:hAnsi="Times New Roman"/>
          <w:sz w:val="20"/>
          <w:szCs w:val="20"/>
          <w:color w:val="auto"/>
        </w:rPr>
      </w:pPr>
    </w:p>
    <w:p>
      <w:pPr>
        <w:ind w:firstLine="656"/>
        <w:spacing w:after="0" w:line="253" w:lineRule="auto"/>
        <w:tabs>
          <w:tab w:leader="none" w:pos="128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Reporting Violations</w:t>
      </w:r>
      <w:r>
        <w:rPr>
          <w:rFonts w:ascii="Times New Roman" w:cs="Times New Roman" w:eastAsia="Times New Roman" w:hAnsi="Times New Roman"/>
          <w:sz w:val="20"/>
          <w:szCs w:val="20"/>
          <w:color w:val="auto"/>
        </w:rPr>
        <w:t>. Any person who violates this Policy or any federal or state laws governing insider trading, or knows of any such violation by any other person, must report the violation immediately to the Compliance Officer or the Audit Committee of the Company’s Board of Directors. Upon learning of any such violation, the Compliance Officer or Audit Committee, in consultation with the Company’s legal counsel, will determine whether the Company should release any material nonpublic information or whether the Company should report the violation to the SEC or other appropriate governmental authority.</w:t>
      </w:r>
    </w:p>
    <w:p>
      <w:pPr>
        <w:spacing w:after="0" w:line="18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i w:val="1"/>
          <w:iCs w:val="1"/>
          <w:color w:val="auto"/>
        </w:rPr>
        <w:t>XIII.</w:t>
        <w:tab/>
        <w:t>EVERY INDIVIDUAL IS RESPONSIBLE</w:t>
      </w:r>
    </w:p>
    <w:p>
      <w:pPr>
        <w:spacing w:after="0" w:line="233"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20"/>
          <w:szCs w:val="20"/>
          <w:color w:val="auto"/>
        </w:rPr>
        <w:t>Every employee has the individual responsibility to comply with this Policy against illegal insider trading. An employee may, from time to time, have to forego a proposed transaction in the Company’s securities even if he or she planned to make the transaction before learning of the material nonpublic information and even though the employee believes that he or she may suffer an economic loss or forego anticipated profit by waiting.</w:t>
      </w:r>
    </w:p>
    <w:p>
      <w:pPr>
        <w:spacing w:after="0" w:line="18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i w:val="1"/>
          <w:iCs w:val="1"/>
          <w:color w:val="auto"/>
        </w:rPr>
        <w:t>XIV.</w:t>
        <w:tab/>
        <w:t>THIS POLICY CONTINUES TO APPLY FOLLOWING TERMINATION OF EMPLOYMENT</w:t>
      </w:r>
    </w:p>
    <w:p>
      <w:pPr>
        <w:spacing w:after="0" w:line="23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The Policy continues to apply to transactions in the Company’s securities even after termination of employment. If an employee is in possession of material nonpublic information when his or her employment terminates, he or she may not trade in the Company’s securities until that information has become public or is no longer material.</w:t>
      </w:r>
    </w:p>
    <w:p>
      <w:pPr>
        <w:sectPr>
          <w:pgSz w:w="11900" w:h="16838" w:orient="portrait"/>
          <w:cols w:equalWidth="0" w:num="1">
            <w:col w:w="11200"/>
          </w:cols>
          <w:pgMar w:left="320" w:top="1440" w:right="379" w:bottom="1440" w:gutter="0" w:footer="0" w:header="0"/>
        </w:sectPr>
      </w:pPr>
    </w:p>
    <w:bookmarkStart w:id="105" w:name="page106"/>
    <w:bookmarkEnd w:id="105"/>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i w:val="1"/>
          <w:iCs w:val="1"/>
          <w:color w:val="auto"/>
        </w:rPr>
        <w:t>XV.</w:t>
      </w:r>
      <w:r>
        <w:rPr>
          <w:sz w:val="20"/>
          <w:szCs w:val="20"/>
          <w:color w:val="auto"/>
        </w:rPr>
        <w:tab/>
      </w:r>
      <w:r>
        <w:rPr>
          <w:rFonts w:ascii="Times New Roman" w:cs="Times New Roman" w:eastAsia="Times New Roman" w:hAnsi="Times New Roman"/>
          <w:sz w:val="20"/>
          <w:szCs w:val="20"/>
          <w:b w:val="1"/>
          <w:bCs w:val="1"/>
          <w:i w:val="1"/>
          <w:iCs w:val="1"/>
          <w:color w:val="auto"/>
        </w:rPr>
        <w:t>THE COMPLIANCE OFFICER IS AVAILABLE TO ANSWER QUESTIONS ABOUT THIS POLICY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Please direct all inquiries regarding any of the provisions or procedures of this Policy to the Compliance Officer.</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i w:val="1"/>
          <w:iCs w:val="1"/>
          <w:color w:val="auto"/>
        </w:rPr>
        <w:t>XVI.</w:t>
        <w:tab/>
        <w:t>THIS POLICY IS SUBJECT TO REVISION</w:t>
      </w:r>
    </w:p>
    <w:p>
      <w:pPr>
        <w:spacing w:after="0" w:line="233"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The Company may change the terms of this Policy from time to time to respond to developments in law and practice. The Company will take steps to inform all affected persons of any material change to this Policy.</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i w:val="1"/>
          <w:iCs w:val="1"/>
          <w:color w:val="auto"/>
        </w:rPr>
        <w:t>XVII.</w:t>
      </w:r>
      <w:r>
        <w:rPr>
          <w:sz w:val="20"/>
          <w:szCs w:val="20"/>
          <w:color w:val="auto"/>
        </w:rPr>
        <w:tab/>
      </w:r>
      <w:r>
        <w:rPr>
          <w:rFonts w:ascii="Times New Roman" w:cs="Times New Roman" w:eastAsia="Times New Roman" w:hAnsi="Times New Roman"/>
          <w:sz w:val="19"/>
          <w:szCs w:val="19"/>
          <w:b w:val="1"/>
          <w:bCs w:val="1"/>
          <w:i w:val="1"/>
          <w:iCs w:val="1"/>
          <w:color w:val="auto"/>
        </w:rPr>
        <w:t>ALL EMPLOYEES MUST ACKNOWLEDGE THEIR AGREEMENT TO COMPLY WITH THIS POLICY</w:t>
      </w:r>
    </w:p>
    <w:p>
      <w:pPr>
        <w:spacing w:after="0" w:line="23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Policy will be made available on the Company’s internal website. Upon first receiving a copy of the Policy or any revised versions, each employee must sign an acknowledgment that he or she has received a copy and agrees to comply with the Policy’s terms. This acknowledgment and agreement will constitute consent for the Company to impose sanctions for violation of this Policy and to issue any necessary stop-transfer orders to the Company’s transfer agent to enforce compliance with this Policy.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XVIII. AMENDMENTS</w:t>
      </w:r>
    </w:p>
    <w:p>
      <w:pPr>
        <w:spacing w:after="0" w:line="2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We are committed to continuously reviewing and updating our policies and procedures. The Company therefore reserves the right to amend, alter or terminate this Policy at any time and for any reason, subject to applicable law. A current copy of the Company’s policies regarding insider trading may be obtained by contacting the Compliance Officer.</w:t>
      </w:r>
    </w:p>
    <w:p>
      <w:pPr>
        <w:sectPr>
          <w:pgSz w:w="11900" w:h="16838" w:orient="portrait"/>
          <w:cols w:equalWidth="0" w:num="1">
            <w:col w:w="11160"/>
          </w:cols>
          <w:pgMar w:left="320" w:top="1440" w:right="419" w:bottom="1440" w:gutter="0" w:footer="0" w:header="0"/>
        </w:sectPr>
      </w:pPr>
    </w:p>
    <w:bookmarkStart w:id="106" w:name="page107"/>
    <w:bookmarkEnd w:id="106"/>
    <w:p>
      <w:pPr>
        <w:spacing w:after="0" w:line="18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b w:val="1"/>
          <w:bCs w:val="1"/>
          <w:color w:val="auto"/>
        </w:rPr>
        <w:t>APPENDIX I</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Special Restrictions on Transactions in Company Securities by Executive Officers, Directors, and Insider Employees</w:t>
      </w:r>
    </w:p>
    <w:p>
      <w:pPr>
        <w:spacing w:after="0" w:line="212" w:lineRule="exact"/>
        <w:rPr>
          <w:sz w:val="20"/>
          <w:szCs w:val="20"/>
          <w:color w:val="auto"/>
        </w:rPr>
      </w:pPr>
    </w:p>
    <w:p>
      <w:pPr>
        <w:ind w:left="640" w:hanging="632"/>
        <w:spacing w:after="0"/>
        <w:tabs>
          <w:tab w:leader="none" w:pos="640" w:val="left"/>
        </w:tabs>
        <w:numPr>
          <w:ilvl w:val="0"/>
          <w:numId w:val="7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OVERVIEW</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To minimize the risk of apparent or actual violations of the rules governing insider trading, we have adopted these special restrictions relating to transactions in Company securities by Insiders. As with the other provisions of this Policy, Insiders are responsible for ensuring compliance with this Appendix I, including restrictions on all trading during certain periods, by family members and members of their households and by entities over which they exercise voting or investment control. Insiders should provide each of these persons or entities with a copy of this Policy.</w:t>
      </w:r>
    </w:p>
    <w:p>
      <w:pPr>
        <w:spacing w:after="0" w:line="188" w:lineRule="exact"/>
        <w:rPr>
          <w:sz w:val="20"/>
          <w:szCs w:val="20"/>
          <w:color w:val="auto"/>
        </w:rPr>
      </w:pPr>
    </w:p>
    <w:p>
      <w:pPr>
        <w:ind w:left="640" w:hanging="632"/>
        <w:spacing w:after="0"/>
        <w:tabs>
          <w:tab w:leader="none" w:pos="64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TRADING WINDOW</w:t>
      </w:r>
    </w:p>
    <w:p>
      <w:pPr>
        <w:spacing w:after="0" w:line="22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color w:val="auto"/>
        </w:rPr>
        <w:t xml:space="preserve">In addition to the restrictions that are applicable to all employees, any trade by an Insider that is subject to the Insider Trading Policy will be permitted only during an open “trading window.” The trading window generally opens </w:t>
      </w:r>
      <w:r>
        <w:rPr>
          <w:rFonts w:ascii="Times New Roman" w:cs="Times New Roman" w:eastAsia="Times New Roman" w:hAnsi="Times New Roman"/>
          <w:sz w:val="20"/>
          <w:szCs w:val="20"/>
          <w:b w:val="1"/>
          <w:bCs w:val="1"/>
          <w:color w:val="auto"/>
        </w:rPr>
        <w:t>following the close of trading on the second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full trading day </w:t>
      </w:r>
      <w:r>
        <w:rPr>
          <w:rFonts w:ascii="Times New Roman" w:cs="Times New Roman" w:eastAsia="Times New Roman" w:hAnsi="Times New Roman"/>
          <w:sz w:val="20"/>
          <w:szCs w:val="20"/>
          <w:color w:val="auto"/>
        </w:rPr>
        <w:t>following the public issuance of the Company’s earnings release for the most recent fiscal quarter (which generally occurs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approximately five weeks following the close of each quarter) and closes at the close of trading on the </w:t>
      </w:r>
      <w:r>
        <w:rPr>
          <w:rFonts w:ascii="Times New Roman" w:cs="Times New Roman" w:eastAsia="Times New Roman" w:hAnsi="Times New Roman"/>
          <w:sz w:val="20"/>
          <w:szCs w:val="20"/>
          <w:b w:val="1"/>
          <w:bCs w:val="1"/>
          <w:color w:val="auto"/>
        </w:rPr>
        <w:t>tenth business day prior to the end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 the fiscal quarter</w:t>
      </w:r>
      <w:r>
        <w:rPr>
          <w:rFonts w:ascii="Times New Roman" w:cs="Times New Roman" w:eastAsia="Times New Roman" w:hAnsi="Times New Roman"/>
          <w:sz w:val="20"/>
          <w:szCs w:val="20"/>
          <w:color w:val="auto"/>
        </w:rPr>
        <w:t>. In addition to the times when the trading window is scheduled to be closed, the Company may impose a special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blackout period at its discretion due to the existence of material nonpublic information, such as a pending acquisition, that is likely to be widely known among Insiders. Following termination of employment or other service, Insiders will be subject to the trading window, as well as any special blackout period in effect at the time of termination, for one full fiscal quarter thereafter. Even when the window is open, Insiders and other Company personnel are prohibited from trading in the Company’s securities while in possession of material nonpublic information. The Company’s Compliance Officer will advise Insiders when the trading window opens and closes.</w:t>
      </w:r>
    </w:p>
    <w:p>
      <w:pPr>
        <w:spacing w:after="0" w:line="173"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HARDSHIP EXEMPTIONS</w:t>
      </w:r>
    </w:p>
    <w:p>
      <w:pPr>
        <w:spacing w:after="0" w:line="23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The Compliance Officer may, on a case by case basis, authorize a transaction in the Company’s securities outside of the trading window (but in no event during a special blackout period) due to financial or other hardship. Any request for a hardship exemption must be in writing and must describe the amount and nature of the proposed transaction and the circumstances of the hardship. (The request may be made as part of a pre-clearance request, so long as it is in writing.) The Insider requesting the hardship exemption must also certify to the Compliance Officer within two business days prior to the date of the proposed trade that he or she is not in possession of material nonpublic information concerning the Company.</w:t>
      </w:r>
    </w:p>
    <w:p>
      <w:pPr>
        <w:spacing w:after="0" w:line="179"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The existence of the foregoing procedure does not in any way obligate the Compliance Officer to approve any hardship exemption requested by an Insider.</w:t>
      </w:r>
    </w:p>
    <w:p>
      <w:pPr>
        <w:spacing w:after="0" w:line="15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i w:val="1"/>
          <w:iCs w:val="1"/>
          <w:color w:val="auto"/>
        </w:rPr>
        <w:t>IV.</w:t>
      </w:r>
      <w:r>
        <w:rPr>
          <w:sz w:val="20"/>
          <w:szCs w:val="20"/>
          <w:color w:val="auto"/>
        </w:rPr>
        <w:tab/>
      </w:r>
      <w:r>
        <w:rPr>
          <w:rFonts w:ascii="Times New Roman" w:cs="Times New Roman" w:eastAsia="Times New Roman" w:hAnsi="Times New Roman"/>
          <w:sz w:val="20"/>
          <w:szCs w:val="20"/>
          <w:b w:val="1"/>
          <w:bCs w:val="1"/>
          <w:i w:val="1"/>
          <w:iCs w:val="1"/>
          <w:color w:val="auto"/>
        </w:rPr>
        <w:t>INDIVIDUAL ACCOUNT PLAN BLACKOUT PERIODS</w:t>
      </w:r>
    </w:p>
    <w:p>
      <w:pPr>
        <w:spacing w:after="0" w:line="220"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auto"/>
        </w:rPr>
        <w:t>Certain trading restrictions apply during a blackout period applicable to any Company individual account plan in which participants may hold Company stock (such as the Company’s 401(k) Plan). For the purpose of such restrictions, a “blackout period” is a period in which the plan participants are</w:t>
      </w:r>
    </w:p>
    <w:p>
      <w:pPr>
        <w:sectPr>
          <w:pgSz w:w="11900" w:h="16838" w:orient="portrait"/>
          <w:cols w:equalWidth="0" w:num="1">
            <w:col w:w="11200"/>
          </w:cols>
          <w:pgMar w:left="320" w:top="1440" w:right="379" w:bottom="1440" w:gutter="0" w:footer="0" w:header="0"/>
        </w:sectPr>
      </w:pPr>
    </w:p>
    <w:bookmarkStart w:id="107" w:name="page108"/>
    <w:bookmarkEnd w:id="107"/>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temporarily restricted from making trades in Company stock. During any blackout period, directors and executive officers are prohibited from trading in shares of the Company’s stock that were acquired in connection with such director’s or officer’s service or employment with the Company. Such trading restriction is required by law, and no hardship exemptions are available. The Company will notify directors and executive officers in the event of any blackout period.</w:t>
      </w:r>
    </w:p>
    <w:p>
      <w:pPr>
        <w:spacing w:after="0" w:line="168" w:lineRule="exact"/>
        <w:rPr>
          <w:sz w:val="20"/>
          <w:szCs w:val="20"/>
          <w:color w:val="auto"/>
        </w:rPr>
      </w:pPr>
    </w:p>
    <w:p>
      <w:pPr>
        <w:ind w:left="620" w:hanging="612"/>
        <w:spacing w:after="0"/>
        <w:tabs>
          <w:tab w:leader="none" w:pos="620" w:val="left"/>
        </w:tabs>
        <w:numPr>
          <w:ilvl w:val="0"/>
          <w:numId w:val="7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PRE-CLEARANCE OF TRADES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As part of the Company’s Insider Trading Policy, all purchases and sales of equity securities of the Company by Section 16 Insiders, other than transactions that are not subject to the Policy or transactions pursuant to a Rule 10b5-1 trading plan approved by the Board of Directors or its Audit Committee, must be pre-cleared by the Compliance Officer. The intent of this requirement is to prevent inadvertent violations of the Policy, avoid trades involving the appearance of improper insider trading, facilitate timely Form 4 reporting and avoid transactions that are subject to disgorgement under Section 16(b) of the Exchange Act.</w:t>
      </w:r>
    </w:p>
    <w:p>
      <w:pPr>
        <w:spacing w:after="0" w:line="188" w:lineRule="exact"/>
        <w:rPr>
          <w:sz w:val="20"/>
          <w:szCs w:val="20"/>
          <w:color w:val="auto"/>
        </w:rPr>
      </w:pPr>
    </w:p>
    <w:p>
      <w:pPr>
        <w:jc w:val="both"/>
        <w:ind w:right="320" w:firstLine="648"/>
        <w:spacing w:after="0" w:line="263" w:lineRule="auto"/>
        <w:rPr>
          <w:sz w:val="20"/>
          <w:szCs w:val="20"/>
          <w:color w:val="auto"/>
        </w:rPr>
      </w:pPr>
      <w:r>
        <w:rPr>
          <w:rFonts w:ascii="Times New Roman" w:cs="Times New Roman" w:eastAsia="Times New Roman" w:hAnsi="Times New Roman"/>
          <w:sz w:val="20"/>
          <w:szCs w:val="20"/>
          <w:color w:val="auto"/>
        </w:rPr>
        <w:t xml:space="preserve">Requests for pre-clearance must be submitted in writing to the Compliance Officer at least </w:t>
      </w:r>
      <w:r>
        <w:rPr>
          <w:rFonts w:ascii="Times New Roman" w:cs="Times New Roman" w:eastAsia="Times New Roman" w:hAnsi="Times New Roman"/>
          <w:sz w:val="20"/>
          <w:szCs w:val="20"/>
          <w:b w:val="1"/>
          <w:bCs w:val="1"/>
          <w:color w:val="auto"/>
        </w:rPr>
        <w:t>two</w:t>
      </w:r>
      <w:r>
        <w:rPr>
          <w:rFonts w:ascii="Times New Roman" w:cs="Times New Roman" w:eastAsia="Times New Roman" w:hAnsi="Times New Roman"/>
          <w:sz w:val="20"/>
          <w:szCs w:val="20"/>
          <w:color w:val="auto"/>
        </w:rPr>
        <w:t xml:space="preserve"> business days in advance of each proposed transaction. If the Insider leaves a voicemail message or submits the request by email and does not receive a response from the Compliance Officer within </w:t>
      </w:r>
      <w:r>
        <w:rPr>
          <w:rFonts w:ascii="Times New Roman" w:cs="Times New Roman" w:eastAsia="Times New Roman" w:hAnsi="Times New Roman"/>
          <w:sz w:val="20"/>
          <w:szCs w:val="20"/>
          <w:b w:val="1"/>
          <w:bCs w:val="1"/>
          <w:color w:val="auto"/>
        </w:rPr>
        <w:t>24</w:t>
      </w:r>
      <w:r>
        <w:rPr>
          <w:rFonts w:ascii="Times New Roman" w:cs="Times New Roman" w:eastAsia="Times New Roman" w:hAnsi="Times New Roman"/>
          <w:sz w:val="20"/>
          <w:szCs w:val="20"/>
          <w:color w:val="auto"/>
        </w:rPr>
        <w:t xml:space="preserve"> hours, the Insider will be responsible for following up to ensure that the message was received.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request for pre-clearance should provide the following information:</w:t>
      </w:r>
    </w:p>
    <w:p>
      <w:pPr>
        <w:spacing w:after="0" w:line="216" w:lineRule="exact"/>
        <w:rPr>
          <w:sz w:val="20"/>
          <w:szCs w:val="20"/>
          <w:color w:val="auto"/>
        </w:rPr>
      </w:pPr>
    </w:p>
    <w:p>
      <w:pPr>
        <w:ind w:left="1300" w:hanging="320"/>
        <w:spacing w:after="0"/>
        <w:tabs>
          <w:tab w:leader="none" w:pos="13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nature of the proposed transaction and the expected date of the transaction.</w:t>
      </w:r>
    </w:p>
    <w:p>
      <w:pPr>
        <w:spacing w:after="0" w:line="22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involved.</w:t>
      </w:r>
    </w:p>
    <w:p>
      <w:pPr>
        <w:spacing w:after="0" w:line="22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transaction involves a stock option exercise, the specific option to be exercised.</w:t>
      </w:r>
    </w:p>
    <w:p>
      <w:pPr>
        <w:spacing w:after="0" w:line="21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Contact information for the broker who will execute the transaction.</w:t>
      </w:r>
    </w:p>
    <w:p>
      <w:pPr>
        <w:spacing w:after="0" w:line="229" w:lineRule="exact"/>
        <w:rPr>
          <w:rFonts w:ascii="Times New Roman" w:cs="Times New Roman" w:eastAsia="Times New Roman" w:hAnsi="Times New Roman"/>
          <w:sz w:val="20"/>
          <w:szCs w:val="20"/>
          <w:color w:val="auto"/>
        </w:rPr>
      </w:pPr>
    </w:p>
    <w:p>
      <w:pPr>
        <w:ind w:left="1300" w:right="280" w:hanging="320"/>
        <w:spacing w:after="0" w:line="261" w:lineRule="auto"/>
        <w:tabs>
          <w:tab w:leader="none" w:pos="128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confirmation that the Section 16 Insider has carefully considered whether he or she may be aware of any material nonpublic information relating to the Company (describing any borderline matters or items of potential concern) and has concluded that he or she does not.</w:t>
      </w:r>
    </w:p>
    <w:p>
      <w:pPr>
        <w:spacing w:after="0" w:line="16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information that is material to the Compliance Officer’s consideration of the proposed transaction.</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Once the proposed transaction is pre-cleared, the Section 16 Insider may proceed with it on the approved terms, provided that he or she complies with all other securities law requirements, such as Rule 144 and prohibitions regarding trading on the basis of inside information, and with any special trading blackout imposed by the Company prior to the completion of the trade. The Section 16 Insider and his or her broker will be responsible for immediately reporting the results of the transaction as further described below.</w:t>
      </w:r>
    </w:p>
    <w:p>
      <w:pPr>
        <w:spacing w:after="0" w:line="172" w:lineRule="exact"/>
        <w:rPr>
          <w:sz w:val="20"/>
          <w:szCs w:val="20"/>
          <w:color w:val="auto"/>
        </w:rPr>
      </w:pPr>
    </w:p>
    <w:p>
      <w:pPr>
        <w:ind w:right="120" w:firstLine="648"/>
        <w:spacing w:after="0" w:line="288" w:lineRule="auto"/>
        <w:rPr>
          <w:sz w:val="20"/>
          <w:szCs w:val="20"/>
          <w:color w:val="auto"/>
        </w:rPr>
      </w:pPr>
      <w:r>
        <w:rPr>
          <w:rFonts w:ascii="Times New Roman" w:cs="Times New Roman" w:eastAsia="Times New Roman" w:hAnsi="Times New Roman"/>
          <w:sz w:val="19"/>
          <w:szCs w:val="19"/>
          <w:color w:val="auto"/>
        </w:rPr>
        <w:t>In addition, pre-clearance is required for the establishment or modification of a Rule 10b5-1 trading plan. However, pre-clearance will not be required for individual transactions effected pursuant to a pre-cleared Rule 10b5-1 trading plan that specifies or establishes a formula for determining the dates, prices and amounts of planned trades. Of course, the results of transactions effected under a trading plan</w:t>
      </w:r>
    </w:p>
    <w:p>
      <w:pPr>
        <w:sectPr>
          <w:pgSz w:w="11900" w:h="16838" w:orient="portrait"/>
          <w:cols w:equalWidth="0" w:num="1">
            <w:col w:w="11140"/>
          </w:cols>
          <w:pgMar w:left="320" w:top="1440" w:right="439" w:bottom="1440" w:gutter="0" w:footer="0" w:header="0"/>
        </w:sectPr>
      </w:pPr>
    </w:p>
    <w:bookmarkStart w:id="108" w:name="page109"/>
    <w:bookmarkEnd w:id="108"/>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must be reported immediately to the Company since they will be reportable on Form 4 within two business days following the execution of the trade, subject to an extension of not more than two additional business days where the Section 16 Insider is not immediately aware of the execution of the trade. The Compliance Officer may withhold pre-clearance of any proposed Rule 10b5-1 trading plan for any reason, in his or her sole discretion. The Compliance Officer will not pre-clear any proposed trading plan if he or she concludes that the proposed trading plan (A) fails to comply with the requirements of Rule 10b5-1, as amended from time to time, or (B) fails to comply with the Company’s “Special Guidelines for 10b5-1 Trading Plans” set forth in Appendix I, Section XII.</w:t>
      </w:r>
    </w:p>
    <w:p>
      <w:pPr>
        <w:spacing w:after="0" w:line="192"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Notwithstanding the foregoing, any transactions by the Compliance Officer shall be subject to pre-clearance by the Chief Financial Officer or, in the event of his or her unavailability, the Chief Executive Officer.</w:t>
      </w:r>
    </w:p>
    <w:p>
      <w:pPr>
        <w:spacing w:after="0" w:line="173"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20"/>
          <w:szCs w:val="20"/>
          <w:color w:val="auto"/>
        </w:rPr>
        <w:t>The Company is under no obligation to approve a transaction submitted for pre-clearance. Further, the Company’s approval of a transaction for pre-clearance does not (i) constitute legal advice, (ii) constitute confirmation that you do not posses material nonpublic information and (iii) does not relieve you of any legal obligations you may have.</w:t>
      </w:r>
    </w:p>
    <w:p>
      <w:pPr>
        <w:spacing w:after="0" w:line="17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i w:val="1"/>
          <w:iCs w:val="1"/>
          <w:color w:val="auto"/>
        </w:rPr>
        <w:t>VI.</w:t>
      </w:r>
      <w:r>
        <w:rPr>
          <w:sz w:val="20"/>
          <w:szCs w:val="20"/>
          <w:color w:val="auto"/>
        </w:rPr>
        <w:tab/>
      </w:r>
      <w:r>
        <w:rPr>
          <w:rFonts w:ascii="Times New Roman" w:cs="Times New Roman" w:eastAsia="Times New Roman" w:hAnsi="Times New Roman"/>
          <w:sz w:val="20"/>
          <w:szCs w:val="20"/>
          <w:b w:val="1"/>
          <w:bCs w:val="1"/>
          <w:i w:val="1"/>
          <w:iCs w:val="1"/>
          <w:color w:val="auto"/>
        </w:rPr>
        <w:t>DESIGNATED BROKERS</w:t>
      </w:r>
    </w:p>
    <w:p>
      <w:pPr>
        <w:spacing w:after="0" w:line="22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Each market transaction in the Company’s stock by a Section 16 Insider, or any person whose trades must be reported by that Insider on Form 4 (such as a member of the Insider’s immediate family who lives in the Insider’s household), must be executed by a broker designated by the Company unless the Insider has received authorization from the Compliance Officer to use a different broker.</w:t>
      </w:r>
    </w:p>
    <w:p>
      <w:pPr>
        <w:spacing w:after="0" w:line="181"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A Section 16 Insider and any broker that handles the Section 16 Insider’s transactions in the Company’s stock will be required to enter into an agreement whereby:</w:t>
      </w:r>
    </w:p>
    <w:p>
      <w:pPr>
        <w:spacing w:after="0" w:line="146" w:lineRule="exact"/>
        <w:rPr>
          <w:sz w:val="20"/>
          <w:szCs w:val="20"/>
          <w:color w:val="auto"/>
        </w:rPr>
      </w:pPr>
    </w:p>
    <w:p>
      <w:pPr>
        <w:ind w:left="1300" w:right="220" w:hanging="320"/>
        <w:spacing w:after="0" w:line="261" w:lineRule="auto"/>
        <w:tabs>
          <w:tab w:leader="none" w:pos="128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Insider authorizes the broker to immediately report directly to the Company the details of all transactions in Company equity securities executed by the broker in the Insider’s account and the accounts of all others designated by the Insider whose transactions may be attributed to the Insider.</w:t>
      </w:r>
    </w:p>
    <w:p>
      <w:pPr>
        <w:spacing w:after="0" w:line="181" w:lineRule="exact"/>
        <w:rPr>
          <w:rFonts w:ascii="Times New Roman" w:cs="Times New Roman" w:eastAsia="Times New Roman" w:hAnsi="Times New Roman"/>
          <w:sz w:val="20"/>
          <w:szCs w:val="20"/>
          <w:color w:val="auto"/>
        </w:rPr>
      </w:pPr>
    </w:p>
    <w:p>
      <w:pPr>
        <w:ind w:left="1300" w:right="60" w:hanging="320"/>
        <w:spacing w:after="0" w:line="261" w:lineRule="auto"/>
        <w:tabs>
          <w:tab w:leader="none" w:pos="128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broker agrees not to execute any transaction for the Insider or any of the foregoing designated persons (other than under a pre-approved Rule 10b5-1 trading plan) until the broker has verified with the Company that the transaction has been pre-cleared.</w:t>
      </w:r>
    </w:p>
    <w:p>
      <w:pPr>
        <w:spacing w:after="0" w:line="181" w:lineRule="exact"/>
        <w:rPr>
          <w:rFonts w:ascii="Times New Roman" w:cs="Times New Roman" w:eastAsia="Times New Roman" w:hAnsi="Times New Roman"/>
          <w:sz w:val="20"/>
          <w:szCs w:val="20"/>
          <w:color w:val="auto"/>
        </w:rPr>
      </w:pPr>
    </w:p>
    <w:p>
      <w:pPr>
        <w:ind w:left="1300" w:right="400" w:hanging="320"/>
        <w:spacing w:after="0" w:line="269" w:lineRule="auto"/>
        <w:tabs>
          <w:tab w:leader="none" w:pos="128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broker agrees to immediately report the transaction details (including transactions under Rule 10b5-1 trading plans) directly to the Company and to the Insider by telephone and in writing (by fax or email).</w:t>
      </w:r>
    </w:p>
    <w:p>
      <w:pPr>
        <w:spacing w:after="0" w:line="173"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20"/>
          <w:szCs w:val="20"/>
          <w:color w:val="auto"/>
        </w:rPr>
        <w:t>Should a Section 16 Insider wish to use a broker other than one of the Company’s designated brokers, the Section 16 Insider should submit a request to use that broker to the Compliance Officer.</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i w:val="1"/>
          <w:iCs w:val="1"/>
          <w:color w:val="auto"/>
        </w:rPr>
        <w:t>VII.</w:t>
      </w:r>
      <w:r>
        <w:rPr>
          <w:sz w:val="20"/>
          <w:szCs w:val="20"/>
          <w:color w:val="auto"/>
        </w:rPr>
        <w:tab/>
      </w:r>
      <w:r>
        <w:rPr>
          <w:rFonts w:ascii="Times New Roman" w:cs="Times New Roman" w:eastAsia="Times New Roman" w:hAnsi="Times New Roman"/>
          <w:sz w:val="20"/>
          <w:szCs w:val="20"/>
          <w:b w:val="1"/>
          <w:bCs w:val="1"/>
          <w:i w:val="1"/>
          <w:iCs w:val="1"/>
          <w:color w:val="auto"/>
        </w:rPr>
        <w:t>REPORTING OF TRANSACTIONS</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To facilitate timely reporting under Section 16 of the Exchange Act of Insider transactions in Company stock, Section 16 Insiders are required to (a) report the details of each transaction (including gift transactions) immediately after it is executed and (b) arrange with persons whose trades must be reported by the Insider under Section 16 (such as immediate family members living in the Insider’s</w:t>
      </w:r>
    </w:p>
    <w:p>
      <w:pPr>
        <w:sectPr>
          <w:pgSz w:w="11900" w:h="16838" w:orient="portrait"/>
          <w:cols w:equalWidth="0" w:num="1">
            <w:col w:w="11200"/>
          </w:cols>
          <w:pgMar w:left="320" w:top="1440" w:right="379" w:bottom="1440" w:gutter="0" w:footer="0" w:header="0"/>
        </w:sectPr>
      </w:pPr>
    </w:p>
    <w:bookmarkStart w:id="109" w:name="page110"/>
    <w:bookmarkEnd w:id="109"/>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household) to immediately report directly to the Company and to the Insider the details of any transactions they have in the Company’s stock.</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Gifts of Company securities must also be reported to the SEC within a two-business day period after the gift.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Transaction details to be reported include:</w:t>
      </w:r>
    </w:p>
    <w:p>
      <w:pPr>
        <w:spacing w:after="0" w:line="229" w:lineRule="exact"/>
        <w:rPr>
          <w:sz w:val="20"/>
          <w:szCs w:val="20"/>
          <w:color w:val="auto"/>
        </w:rPr>
      </w:pPr>
    </w:p>
    <w:p>
      <w:pPr>
        <w:ind w:left="1300" w:hanging="320"/>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date (trade date).</w:t>
      </w:r>
    </w:p>
    <w:p>
      <w:pPr>
        <w:spacing w:after="0" w:line="21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involved.</w:t>
      </w:r>
    </w:p>
    <w:p>
      <w:pPr>
        <w:spacing w:after="0" w:line="229" w:lineRule="exact"/>
        <w:rPr>
          <w:rFonts w:ascii="Times New Roman" w:cs="Times New Roman" w:eastAsia="Times New Roman" w:hAnsi="Times New Roman"/>
          <w:sz w:val="20"/>
          <w:szCs w:val="20"/>
          <w:color w:val="auto"/>
        </w:rPr>
      </w:pPr>
    </w:p>
    <w:p>
      <w:pPr>
        <w:ind w:left="1300" w:right="520" w:hanging="320"/>
        <w:spacing w:after="0" w:line="283" w:lineRule="auto"/>
        <w:tabs>
          <w:tab w:leader="none" w:pos="128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at which the transaction was executed (before addition or deduction of brokerage commission and other transaction fees).</w:t>
      </w:r>
    </w:p>
    <w:p>
      <w:pPr>
        <w:spacing w:after="0" w:line="14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transaction was a stock option exercise, the specific option exercised.</w:t>
      </w:r>
    </w:p>
    <w:p>
      <w:pPr>
        <w:spacing w:after="0" w:line="22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Contact information for the broker who executed the transaction.</w:t>
      </w:r>
    </w:p>
    <w:p>
      <w:pPr>
        <w:spacing w:after="0" w:line="215" w:lineRule="exact"/>
        <w:rPr>
          <w:rFonts w:ascii="Times New Roman" w:cs="Times New Roman" w:eastAsia="Times New Roman" w:hAnsi="Times New Roman"/>
          <w:sz w:val="20"/>
          <w:szCs w:val="20"/>
          <w:color w:val="auto"/>
        </w:rPr>
      </w:pPr>
    </w:p>
    <w:p>
      <w:pPr>
        <w:ind w:left="1300" w:right="420" w:hanging="320"/>
        <w:spacing w:after="0" w:line="283" w:lineRule="auto"/>
        <w:tabs>
          <w:tab w:leader="none" w:pos="128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specific representation as to whether the transaction was intended to satisfy the affirmative defense conditions of Rule 10b5-1(c)</w:t>
      </w:r>
    </w:p>
    <w:p>
      <w:pPr>
        <w:spacing w:after="0" w:line="16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transaction details must be reported to the Compliance Officer, with copies to the Company personnel who will assist the Section 16 Insider in preparing his or her Form 4.</w:t>
      </w:r>
    </w:p>
    <w:p>
      <w:pPr>
        <w:spacing w:after="0" w:line="1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i w:val="1"/>
          <w:iCs w:val="1"/>
          <w:color w:val="auto"/>
        </w:rPr>
        <w:t>VIII.</w:t>
        <w:tab/>
        <w:t>CORPORATE GOVERNANCE COMMITTEE</w:t>
      </w:r>
    </w:p>
    <w:p>
      <w:pPr>
        <w:spacing w:after="0" w:line="216" w:lineRule="exact"/>
        <w:rPr>
          <w:sz w:val="20"/>
          <w:szCs w:val="20"/>
          <w:color w:val="auto"/>
        </w:rPr>
      </w:pPr>
    </w:p>
    <w:p>
      <w:pPr>
        <w:ind w:right="320" w:firstLine="648"/>
        <w:spacing w:after="0" w:line="287" w:lineRule="auto"/>
        <w:rPr>
          <w:sz w:val="20"/>
          <w:szCs w:val="20"/>
          <w:color w:val="auto"/>
        </w:rPr>
      </w:pPr>
      <w:r>
        <w:rPr>
          <w:rFonts w:ascii="Times New Roman" w:cs="Times New Roman" w:eastAsia="Times New Roman" w:hAnsi="Times New Roman"/>
          <w:sz w:val="20"/>
          <w:szCs w:val="20"/>
          <w:color w:val="auto"/>
        </w:rPr>
        <w:t>The Nominating and Corporate Governance Committee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will be responsible for monitoring and recommending any modification to the Insider Trader Policy, if necessary or advisable, to the Board of Directors.</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i w:val="1"/>
          <w:iCs w:val="1"/>
          <w:color w:val="auto"/>
        </w:rPr>
        <w:t>IX.</w:t>
      </w:r>
      <w:r>
        <w:rPr>
          <w:sz w:val="20"/>
          <w:szCs w:val="20"/>
          <w:color w:val="auto"/>
        </w:rPr>
        <w:tab/>
      </w:r>
      <w:r>
        <w:rPr>
          <w:rFonts w:ascii="Times New Roman" w:cs="Times New Roman" w:eastAsia="Times New Roman" w:hAnsi="Times New Roman"/>
          <w:sz w:val="20"/>
          <w:szCs w:val="20"/>
          <w:b w:val="1"/>
          <w:bCs w:val="1"/>
          <w:i w:val="1"/>
          <w:iCs w:val="1"/>
          <w:color w:val="auto"/>
        </w:rPr>
        <w:t>PERSONS SUBJECT TO SECTION 16</w:t>
      </w:r>
    </w:p>
    <w:p>
      <w:pPr>
        <w:spacing w:after="0" w:line="220"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Most purchases and sales of Company securities by its directors, executive officers and greaterthan-10% stockholders are subject to Section 16 of the Exchange Act. The Committee will review, at least annually, those individuals who are deemed to be executive officers for purposes of Section 16 and will recommend any changes regarding such status to the Board of Directors. An executive officer is generally defined as the president, principal financial officer, principal accounting officer or controller, any vice president in charge of a principal business unit, division or function or any other officer or person who performs a policy making function.</w:t>
      </w:r>
    </w:p>
    <w:p>
      <w:pPr>
        <w:spacing w:after="0" w:line="188" w:lineRule="exact"/>
        <w:rPr>
          <w:sz w:val="20"/>
          <w:szCs w:val="20"/>
          <w:color w:val="auto"/>
        </w:rPr>
      </w:pPr>
    </w:p>
    <w:p>
      <w:pPr>
        <w:ind w:left="640" w:hanging="632"/>
        <w:spacing w:after="0"/>
        <w:tabs>
          <w:tab w:leader="none" w:pos="640" w:val="left"/>
        </w:tabs>
        <w:numPr>
          <w:ilvl w:val="0"/>
          <w:numId w:val="8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FORM 4 REPORTING</w:t>
      </w:r>
    </w:p>
    <w:p>
      <w:pPr>
        <w:spacing w:after="0" w:line="233"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19"/>
          <w:szCs w:val="19"/>
          <w:color w:val="auto"/>
        </w:rPr>
        <w:t xml:space="preserve">Under Section 16, most trades by Insiders are subject to reporting on Form 4 within two business days following the trade date (which in the case of an open market trade is the date when the broker places the buy or sell order, not the date when the trade is settled). To facilitate timely reporting, all transactions that are subject to Section 16 must be reported to the Company </w:t>
      </w:r>
      <w:r>
        <w:rPr>
          <w:rFonts w:ascii="Times New Roman" w:cs="Times New Roman" w:eastAsia="Times New Roman" w:hAnsi="Times New Roman"/>
          <w:sz w:val="19"/>
          <w:szCs w:val="19"/>
          <w:b w:val="1"/>
          <w:bCs w:val="1"/>
          <w:i w:val="1"/>
          <w:iCs w:val="1"/>
          <w:color w:val="auto"/>
        </w:rPr>
        <w:t>on the same day as the trade date</w:t>
      </w:r>
      <w:r>
        <w:rPr>
          <w:rFonts w:ascii="Times New Roman" w:cs="Times New Roman" w:eastAsia="Times New Roman" w:hAnsi="Times New Roman"/>
          <w:sz w:val="19"/>
          <w:szCs w:val="19"/>
          <w:color w:val="auto"/>
        </w:rPr>
        <w:t>, or, with respect to transactions effected pursuant to a Rule 10b5-1 plan, on the day the Insider is advised of the terms of the transaction.</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8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i w:val="1"/>
          <w:iCs w:val="1"/>
          <w:color w:val="auto"/>
        </w:rPr>
        <w:t>XI.</w:t>
      </w:r>
      <w:r>
        <w:rPr>
          <w:sz w:val="20"/>
          <w:szCs w:val="20"/>
          <w:color w:val="auto"/>
        </w:rPr>
        <w:tab/>
      </w:r>
      <w:r>
        <w:rPr>
          <w:rFonts w:ascii="Times New Roman" w:cs="Times New Roman" w:eastAsia="Times New Roman" w:hAnsi="Times New Roman"/>
          <w:sz w:val="20"/>
          <w:szCs w:val="20"/>
          <w:b w:val="1"/>
          <w:bCs w:val="1"/>
          <w:i w:val="1"/>
          <w:iCs w:val="1"/>
          <w:color w:val="auto"/>
        </w:rPr>
        <w:t>NAMED EMPLOYEES CONSIDERED INSIDERS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20"/>
          <w:szCs w:val="20"/>
          <w:color w:val="auto"/>
        </w:rPr>
        <w:t>The Committee will review, at least annually, those individuals deemed to be “</w:t>
      </w:r>
      <w:r>
        <w:rPr>
          <w:rFonts w:ascii="Times New Roman" w:cs="Times New Roman" w:eastAsia="Times New Roman" w:hAnsi="Times New Roman"/>
          <w:sz w:val="20"/>
          <w:szCs w:val="20"/>
          <w:b w:val="1"/>
          <w:bCs w:val="1"/>
          <w:i w:val="1"/>
          <w:iCs w:val="1"/>
          <w:color w:val="auto"/>
        </w:rPr>
        <w:t>Insiders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Appendix I</w:t>
      </w:r>
      <w:r>
        <w:rPr>
          <w:rFonts w:ascii="Times New Roman" w:cs="Times New Roman" w:eastAsia="Times New Roman" w:hAnsi="Times New Roman"/>
          <w:sz w:val="20"/>
          <w:szCs w:val="20"/>
          <w:color w:val="auto"/>
        </w:rPr>
        <w:t xml:space="preserve">. Insiders shall include persons subject to Section 16 and such other persons as the Committee deems to be Insiders. Generally, Insiders shall be any person who by function of their employment is </w:t>
      </w:r>
      <w:r>
        <w:rPr>
          <w:rFonts w:ascii="Times New Roman" w:cs="Times New Roman" w:eastAsia="Times New Roman" w:hAnsi="Times New Roman"/>
          <w:sz w:val="20"/>
          <w:szCs w:val="20"/>
          <w:i w:val="1"/>
          <w:iCs w:val="1"/>
          <w:color w:val="auto"/>
        </w:rPr>
        <w:t>consistently</w:t>
      </w:r>
      <w:r>
        <w:rPr>
          <w:rFonts w:ascii="Times New Roman" w:cs="Times New Roman" w:eastAsia="Times New Roman" w:hAnsi="Times New Roman"/>
          <w:sz w:val="20"/>
          <w:szCs w:val="20"/>
          <w:color w:val="auto"/>
        </w:rPr>
        <w:t xml:space="preserve"> in possession of material nonpublic information </w:t>
      </w:r>
      <w:r>
        <w:rPr>
          <w:rFonts w:ascii="Times New Roman" w:cs="Times New Roman" w:eastAsia="Times New Roman" w:hAnsi="Times New Roman"/>
          <w:sz w:val="20"/>
          <w:szCs w:val="20"/>
          <w:i w:val="1"/>
          <w:iCs w:val="1"/>
          <w:color w:val="auto"/>
        </w:rPr>
        <w:t>or</w:t>
      </w:r>
      <w:r>
        <w:rPr>
          <w:rFonts w:ascii="Times New Roman" w:cs="Times New Roman" w:eastAsia="Times New Roman" w:hAnsi="Times New Roman"/>
          <w:sz w:val="20"/>
          <w:szCs w:val="20"/>
          <w:color w:val="auto"/>
        </w:rPr>
        <w:t xml:space="preserve"> performs an operational role, such as head of a division or business unit, that is material to the Company as a whole.</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i w:val="1"/>
          <w:iCs w:val="1"/>
          <w:color w:val="auto"/>
        </w:rPr>
        <w:t>XII.</w:t>
      </w:r>
      <w:r>
        <w:rPr>
          <w:sz w:val="20"/>
          <w:szCs w:val="20"/>
          <w:color w:val="auto"/>
        </w:rPr>
        <w:tab/>
      </w:r>
      <w:r>
        <w:rPr>
          <w:rFonts w:ascii="Times New Roman" w:cs="Times New Roman" w:eastAsia="Times New Roman" w:hAnsi="Times New Roman"/>
          <w:sz w:val="20"/>
          <w:szCs w:val="20"/>
          <w:b w:val="1"/>
          <w:bCs w:val="1"/>
          <w:i w:val="1"/>
          <w:iCs w:val="1"/>
          <w:color w:val="auto"/>
        </w:rPr>
        <w:t>SPECIAL GUIDELINES FOR 10B5-1 TRADING PLANS</w:t>
      </w:r>
    </w:p>
    <w:p>
      <w:pPr>
        <w:spacing w:after="0" w:line="233" w:lineRule="exact"/>
        <w:rPr>
          <w:sz w:val="20"/>
          <w:szCs w:val="20"/>
          <w:color w:val="auto"/>
        </w:rPr>
      </w:pPr>
    </w:p>
    <w:p>
      <w:pPr>
        <w:jc w:val="both"/>
        <w:ind w:right="40" w:firstLine="648"/>
        <w:spacing w:after="0" w:line="253" w:lineRule="auto"/>
        <w:rPr>
          <w:sz w:val="20"/>
          <w:szCs w:val="20"/>
          <w:color w:val="auto"/>
        </w:rPr>
      </w:pPr>
      <w:r>
        <w:rPr>
          <w:rFonts w:ascii="Times New Roman" w:cs="Times New Roman" w:eastAsia="Times New Roman" w:hAnsi="Times New Roman"/>
          <w:sz w:val="20"/>
          <w:szCs w:val="20"/>
          <w:color w:val="auto"/>
        </w:rPr>
        <w:t>These guidelines for 10b5-1 Trading Plans have been developed to assist you in your preparation of a Rule 10b5-1 trading plan for transactions in securities of the Company. Please note that these guidelines should not serve as a substitute for obtaining professional advice and assistance in connection with preparing a plan. You are responsible for understanding the rules applicable to trading plans and ensuring that your trading plan complies with the requirements of Rule 10b5-1. Notwithstanding the foregoing, an Insider will not be deemed to have violated the Insider Trading Policy if he or she effects a transaction that meets all of the enumerated criteria below.</w:t>
      </w:r>
    </w:p>
    <w:p>
      <w:pPr>
        <w:spacing w:after="0" w:line="188" w:lineRule="exact"/>
        <w:rPr>
          <w:sz w:val="20"/>
          <w:szCs w:val="20"/>
          <w:color w:val="auto"/>
        </w:rPr>
      </w:pPr>
    </w:p>
    <w:p>
      <w:pPr>
        <w:ind w:right="40" w:firstLine="656"/>
        <w:spacing w:after="0" w:line="273" w:lineRule="auto"/>
        <w:tabs>
          <w:tab w:leader="none" w:pos="103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must be made pursuant to a documented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entered into in good faith and operated in good faith that complies with all provisions of Rule 10b5-1 (the “</w:t>
      </w:r>
      <w:r>
        <w:rPr>
          <w:rFonts w:ascii="Times New Roman" w:cs="Times New Roman" w:eastAsia="Times New Roman" w:hAnsi="Times New Roman"/>
          <w:sz w:val="20"/>
          <w:szCs w:val="20"/>
          <w:b w:val="1"/>
          <w:bCs w:val="1"/>
          <w:i w:val="1"/>
          <w:iCs w:val="1"/>
          <w:color w:val="auto"/>
        </w:rPr>
        <w:t>Rule</w:t>
      </w:r>
      <w:r>
        <w:rPr>
          <w:rFonts w:ascii="Times New Roman" w:cs="Times New Roman" w:eastAsia="Times New Roman" w:hAnsi="Times New Roman"/>
          <w:sz w:val="20"/>
          <w:szCs w:val="20"/>
          <w:color w:val="auto"/>
        </w:rPr>
        <w:t>”), including, without limitation:</w:t>
      </w:r>
    </w:p>
    <w:p>
      <w:pPr>
        <w:spacing w:after="0" w:line="169"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Plan must:</w:t>
      </w:r>
    </w:p>
    <w:p>
      <w:pPr>
        <w:spacing w:after="0" w:line="215" w:lineRule="exact"/>
        <w:rPr>
          <w:rFonts w:ascii="Times New Roman" w:cs="Times New Roman" w:eastAsia="Times New Roman" w:hAnsi="Times New Roman"/>
          <w:sz w:val="20"/>
          <w:szCs w:val="20"/>
          <w:color w:val="auto"/>
        </w:rPr>
      </w:pPr>
    </w:p>
    <w:p>
      <w:pPr>
        <w:ind w:right="280" w:firstLine="1952"/>
        <w:spacing w:after="0" w:line="283" w:lineRule="auto"/>
        <w:tabs>
          <w:tab w:leader="none" w:pos="2582"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specify the amount of securities to be purchased or sold and the price at which and the date on which the securities are to be purchased or sold, or</w:t>
      </w:r>
    </w:p>
    <w:p>
      <w:pPr>
        <w:spacing w:after="0" w:line="159" w:lineRule="exact"/>
        <w:rPr>
          <w:rFonts w:ascii="Times New Roman" w:cs="Times New Roman" w:eastAsia="Times New Roman" w:hAnsi="Times New Roman"/>
          <w:sz w:val="20"/>
          <w:szCs w:val="20"/>
          <w:color w:val="auto"/>
        </w:rPr>
      </w:pPr>
    </w:p>
    <w:p>
      <w:pPr>
        <w:ind w:right="20" w:firstLine="1952"/>
        <w:spacing w:after="0" w:line="269" w:lineRule="auto"/>
        <w:tabs>
          <w:tab w:leader="none" w:pos="2580"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 a written formula or algorithm, or computer program, for determining the amount of securities to be purchased or sold and the price at which and the date on which the securities were to be purchased or sold.</w:t>
      </w:r>
    </w:p>
    <w:p>
      <w:pPr>
        <w:spacing w:after="0" w:line="173" w:lineRule="exact"/>
        <w:rPr>
          <w:sz w:val="20"/>
          <w:szCs w:val="20"/>
          <w:color w:val="auto"/>
        </w:rPr>
      </w:pPr>
    </w:p>
    <w:p>
      <w:pPr>
        <w:ind w:right="600" w:firstLine="1304"/>
        <w:spacing w:after="0" w:line="269" w:lineRule="auto"/>
        <w:tabs>
          <w:tab w:leader="none" w:pos="19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then such Plan must prohibit the Insider and any other person who possesses material nonpublic information from exercising any subsequent influence over how, when, or whether to effect purchases or sales.</w:t>
      </w:r>
    </w:p>
    <w:p>
      <w:pPr>
        <w:spacing w:after="0" w:line="172" w:lineRule="exact"/>
        <w:rPr>
          <w:rFonts w:ascii="Times New Roman" w:cs="Times New Roman" w:eastAsia="Times New Roman" w:hAnsi="Times New Roman"/>
          <w:sz w:val="20"/>
          <w:szCs w:val="20"/>
          <w:color w:val="auto"/>
        </w:rPr>
      </w:pPr>
    </w:p>
    <w:p>
      <w:pPr>
        <w:jc w:val="both"/>
        <w:ind w:right="200" w:firstLine="1304"/>
        <w:spacing w:after="0" w:line="258" w:lineRule="auto"/>
        <w:tabs>
          <w:tab w:leader="none" w:pos="19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Plan entered into by a Section 16 Insider must contain a mandatory cooling off period of the later of (1) 90 days following the Plan adoption or modification, or (2) two business days following the Company’s disclosure of financial results in the Form 10-Q or 10-K in the quarter or period in which the plan is adopted, subject to a maximum of 120 days after the adoption of the Plan. For all other persons, the mandatory cooling off period is 30 days following Plan adoption or modification.</w:t>
      </w:r>
    </w:p>
    <w:p>
      <w:pPr>
        <w:spacing w:after="0" w:line="172" w:lineRule="exact"/>
        <w:rPr>
          <w:rFonts w:ascii="Times New Roman" w:cs="Times New Roman" w:eastAsia="Times New Roman" w:hAnsi="Times New Roman"/>
          <w:sz w:val="20"/>
          <w:szCs w:val="20"/>
          <w:color w:val="auto"/>
        </w:rPr>
      </w:pPr>
    </w:p>
    <w:p>
      <w:pPr>
        <w:ind w:right="60" w:firstLine="1304"/>
        <w:spacing w:after="0" w:line="283" w:lineRule="auto"/>
        <w:tabs>
          <w:tab w:leader="none" w:pos="19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16 Insiders must include a certification in the Plan that, as of the date of adoption, (1) they are not aware of material non-public information and (2) they are adopting the Plan in good faith.</w:t>
      </w:r>
    </w:p>
    <w:p>
      <w:pPr>
        <w:spacing w:after="0" w:line="14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0"/>
          <w:szCs w:val="20"/>
          <w:color w:val="auto"/>
        </w:rPr>
        <w:t>Each Plan must be approved prior to the effective time of any transactions under such Plan by the Company’s Rule 10b5-1 Plan Review Committee, which shall be composed of persons selected by and serving at the discretion of the Company’s Chief Executive Officer (the “</w:t>
      </w:r>
      <w:r>
        <w:rPr>
          <w:rFonts w:ascii="Times New Roman" w:cs="Times New Roman" w:eastAsia="Times New Roman" w:hAnsi="Times New Roman"/>
          <w:sz w:val="20"/>
          <w:szCs w:val="20"/>
          <w:b w:val="1"/>
          <w:bCs w:val="1"/>
          <w:i w:val="1"/>
          <w:iCs w:val="1"/>
          <w:color w:val="auto"/>
        </w:rPr>
        <w:t>10b5-1 Committee</w:t>
      </w:r>
      <w:r>
        <w:rPr>
          <w:rFonts w:ascii="Times New Roman" w:cs="Times New Roman" w:eastAsia="Times New Roman" w:hAnsi="Times New Roman"/>
          <w:sz w:val="20"/>
          <w:szCs w:val="20"/>
          <w:color w:val="auto"/>
        </w:rPr>
        <w:t>”). The Company reserves the right to withhold approval of any Plan that the 10b5-1 Committee determines, in its sole discretion,</w:t>
      </w:r>
    </w:p>
    <w:p>
      <w:pPr>
        <w:sectPr>
          <w:pgSz w:w="11900" w:h="16838" w:orient="portrait"/>
          <w:cols w:equalWidth="0" w:num="1">
            <w:col w:w="11140"/>
          </w:cols>
          <w:pgMar w:left="320" w:top="1440" w:right="439" w:bottom="1440" w:gutter="0" w:footer="0" w:header="0"/>
        </w:sectPr>
      </w:pPr>
    </w:p>
    <w:bookmarkStart w:id="111" w:name="page112"/>
    <w:bookmarkEnd w:id="111"/>
    <w:p>
      <w:pPr>
        <w:spacing w:after="0" w:line="189" w:lineRule="exact"/>
        <w:rPr>
          <w:sz w:val="20"/>
          <w:szCs w:val="20"/>
          <w:color w:val="auto"/>
        </w:rPr>
      </w:pPr>
    </w:p>
    <w:p>
      <w:pPr>
        <w:ind w:left="3244" w:hanging="652"/>
        <w:spacing w:after="0"/>
        <w:tabs>
          <w:tab w:leader="none" w:pos="324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fails to comply with the Rule,</w:t>
      </w:r>
    </w:p>
    <w:p>
      <w:pPr>
        <w:spacing w:after="0" w:line="229" w:lineRule="exact"/>
        <w:rPr>
          <w:rFonts w:ascii="Times New Roman" w:cs="Times New Roman" w:eastAsia="Times New Roman" w:hAnsi="Times New Roman"/>
          <w:sz w:val="20"/>
          <w:szCs w:val="20"/>
          <w:color w:val="auto"/>
        </w:rPr>
      </w:pPr>
    </w:p>
    <w:p>
      <w:pPr>
        <w:ind w:left="3244" w:hanging="652"/>
        <w:spacing w:after="0"/>
        <w:tabs>
          <w:tab w:leader="none" w:pos="324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exposes the Company or the Insider to liability under any other applicable state or federal</w:t>
      </w:r>
    </w:p>
    <w:p>
      <w:pPr>
        <w:spacing w:after="0" w:line="2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rule, regulation or law,</w:t>
      </w:r>
    </w:p>
    <w:p>
      <w:pPr>
        <w:spacing w:after="0" w:line="207" w:lineRule="exact"/>
        <w:rPr>
          <w:sz w:val="20"/>
          <w:szCs w:val="20"/>
          <w:color w:val="auto"/>
        </w:rPr>
      </w:pPr>
    </w:p>
    <w:p>
      <w:pPr>
        <w:ind w:left="3244" w:hanging="652"/>
        <w:spacing w:after="0"/>
        <w:tabs>
          <w:tab w:leader="none" w:pos="324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creates any appearance of impropriety,</w:t>
      </w:r>
    </w:p>
    <w:p>
      <w:pPr>
        <w:spacing w:after="0" w:line="215" w:lineRule="exact"/>
        <w:rPr>
          <w:rFonts w:ascii="Times New Roman" w:cs="Times New Roman" w:eastAsia="Times New Roman" w:hAnsi="Times New Roman"/>
          <w:sz w:val="20"/>
          <w:szCs w:val="20"/>
          <w:color w:val="auto"/>
        </w:rPr>
      </w:pPr>
    </w:p>
    <w:p>
      <w:pPr>
        <w:ind w:left="3244" w:hanging="652"/>
        <w:spacing w:after="0"/>
        <w:tabs>
          <w:tab w:leader="none" w:pos="324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fails to meet the guidelines established by the Company, or</w:t>
      </w:r>
    </w:p>
    <w:p>
      <w:pPr>
        <w:spacing w:after="0" w:line="229" w:lineRule="exact"/>
        <w:rPr>
          <w:rFonts w:ascii="Times New Roman" w:cs="Times New Roman" w:eastAsia="Times New Roman" w:hAnsi="Times New Roman"/>
          <w:sz w:val="20"/>
          <w:szCs w:val="20"/>
          <w:color w:val="auto"/>
        </w:rPr>
      </w:pPr>
    </w:p>
    <w:p>
      <w:pPr>
        <w:ind w:left="644" w:right="80" w:firstLine="1948"/>
        <w:spacing w:after="0" w:line="283" w:lineRule="auto"/>
        <w:tabs>
          <w:tab w:leader="none" w:pos="3236"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fails to satisfy review by the 10b5-1 Committee for any reason, such failure to be determined in the sole discretion of the 10b5-1 Committee.</w:t>
      </w:r>
    </w:p>
    <w:p>
      <w:pPr>
        <w:spacing w:after="0" w:line="146" w:lineRule="exact"/>
        <w:rPr>
          <w:rFonts w:ascii="Times New Roman" w:cs="Times New Roman" w:eastAsia="Times New Roman" w:hAnsi="Times New Roman"/>
          <w:sz w:val="20"/>
          <w:szCs w:val="20"/>
          <w:color w:val="auto"/>
        </w:rPr>
      </w:pPr>
    </w:p>
    <w:p>
      <w:pPr>
        <w:ind w:left="-656" w:right="100" w:firstLine="656"/>
        <w:spacing w:after="0" w:line="261" w:lineRule="auto"/>
        <w:tabs>
          <w:tab w:leader="none" w:pos="63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modifications to the Plan or deviations from the Plan without prior approval of the 10b5-1 Committee will result in a failure to comply with the Insider Trading Policy. Any such modifications or deviations are subject to the approval of the 10b5-1 Committee in accordance with Section B above.</w:t>
      </w:r>
    </w:p>
    <w:p>
      <w:pPr>
        <w:spacing w:after="0" w:line="181"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Plan must be established at a time when the trading window is open.</w:t>
      </w:r>
    </w:p>
    <w:p>
      <w:pPr>
        <w:spacing w:after="0" w:line="229" w:lineRule="exact"/>
        <w:rPr>
          <w:rFonts w:ascii="Times New Roman" w:cs="Times New Roman" w:eastAsia="Times New Roman" w:hAnsi="Times New Roman"/>
          <w:sz w:val="20"/>
          <w:szCs w:val="20"/>
          <w:color w:val="auto"/>
        </w:rPr>
      </w:pPr>
    </w:p>
    <w:p>
      <w:pPr>
        <w:ind w:left="-656" w:right="100" w:firstLine="656"/>
        <w:spacing w:after="0" w:line="269" w:lineRule="auto"/>
        <w:tabs>
          <w:tab w:leader="none" w:pos="63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Plan must provide appropriate mechanisms to ensure that the Insider complies with all rules and regulations, including Rule 144, Rule 701 and Section 16(b), applicable to securities transactions under the Plan by the Insider.</w:t>
      </w:r>
    </w:p>
    <w:p>
      <w:pPr>
        <w:spacing w:after="0" w:line="172" w:lineRule="exact"/>
        <w:rPr>
          <w:rFonts w:ascii="Times New Roman" w:cs="Times New Roman" w:eastAsia="Times New Roman" w:hAnsi="Times New Roman"/>
          <w:sz w:val="20"/>
          <w:szCs w:val="20"/>
          <w:color w:val="auto"/>
        </w:rPr>
      </w:pPr>
    </w:p>
    <w:p>
      <w:pPr>
        <w:ind w:left="-656" w:right="180" w:firstLine="656"/>
        <w:spacing w:after="0" w:line="261" w:lineRule="auto"/>
        <w:tabs>
          <w:tab w:leader="none" w:pos="62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Plan must provide for the suspension of all transactions under such Plan in the event that the Company, in its sole discretion, deems such suspension necessary and advisable, including suspensions necessary to comply with trading restrictions imposed in connection with any lock-up agreement required in connection with a securities issuance transaction or other similar events.</w:t>
      </w:r>
    </w:p>
    <w:p>
      <w:pPr>
        <w:spacing w:after="0" w:line="181" w:lineRule="exact"/>
        <w:rPr>
          <w:rFonts w:ascii="Times New Roman" w:cs="Times New Roman" w:eastAsia="Times New Roman" w:hAnsi="Times New Roman"/>
          <w:sz w:val="20"/>
          <w:szCs w:val="20"/>
          <w:color w:val="auto"/>
        </w:rPr>
      </w:pPr>
    </w:p>
    <w:p>
      <w:pPr>
        <w:ind w:left="-656" w:right="40" w:firstLine="656"/>
        <w:spacing w:after="0" w:line="261" w:lineRule="auto"/>
        <w:tabs>
          <w:tab w:leader="none" w:pos="63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the 10b5-1 Committee nor any of the Company’s officers, employees or other representatives shall be deemed, solely by their approval of an Insider’s Plan, to have represented that any Plan complies with the Rule or to have assumed any liability or responsibility to the Insider or any other party if such Plan fails to comply with the Rule.</w:t>
      </w:r>
    </w:p>
    <w:p>
      <w:pPr>
        <w:spacing w:after="0" w:line="167" w:lineRule="exact"/>
        <w:rPr>
          <w:rFonts w:ascii="Times New Roman" w:cs="Times New Roman" w:eastAsia="Times New Roman" w:hAnsi="Times New Roman"/>
          <w:sz w:val="20"/>
          <w:szCs w:val="20"/>
          <w:color w:val="auto"/>
        </w:rPr>
      </w:pPr>
    </w:p>
    <w:p>
      <w:pPr>
        <w:jc w:val="both"/>
        <w:ind w:left="-656" w:firstLine="656"/>
        <w:spacing w:after="0" w:line="310" w:lineRule="auto"/>
        <w:tabs>
          <w:tab w:leader="none" w:pos="63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person may enter into only one Plan at a time, unless the later-commencing Plan is not authorized to begin until after all trades under the earlier-commencing Plan are completed or expire without execution and after the required cooling period has been observed.</w:t>
      </w:r>
    </w:p>
    <w:p>
      <w:pPr>
        <w:spacing w:after="0" w:line="124" w:lineRule="exact"/>
        <w:rPr>
          <w:rFonts w:ascii="Times New Roman" w:cs="Times New Roman" w:eastAsia="Times New Roman" w:hAnsi="Times New Roman"/>
          <w:sz w:val="19"/>
          <w:szCs w:val="19"/>
          <w:color w:val="auto"/>
        </w:rPr>
      </w:pPr>
    </w:p>
    <w:p>
      <w:pPr>
        <w:ind w:left="-656" w:right="200" w:firstLine="656"/>
        <w:spacing w:after="0" w:line="257" w:lineRule="auto"/>
        <w:tabs>
          <w:tab w:leader="none" w:pos="63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who modifies or terminates a trading plan prior to its stated duration may not trade in the Company’s securities (under a modified Plan, newly adopted Plan) until after the completion of the applicable cooling off period, measured from the date of termination of the old Plan. Any termination of a Plan must be immediately reported to the Company’s Compliance Officer. If a person has pre-cleared a new Plan (the “Second Plan”) intended to succeed an earlier pre-cleared Plan (the “First Plan”), the person may not affirmatively terminate the First Plan without pre-clearance, because such termination is deemed to be entering into the Second Plan.</w:t>
      </w:r>
    </w:p>
    <w:p>
      <w:pPr>
        <w:spacing w:after="0" w:line="172"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Only one single-trade Plan may be entered into in any 12-month period.</w:t>
      </w:r>
    </w:p>
    <w:p>
      <w:pPr>
        <w:sectPr>
          <w:pgSz w:w="11900" w:h="16838" w:orient="portrait"/>
          <w:cols w:equalWidth="0" w:num="1">
            <w:col w:w="10564"/>
          </w:cols>
          <w:pgMar w:left="976" w:top="1440" w:right="359" w:bottom="1440" w:gutter="0" w:footer="0" w:header="0"/>
        </w:sectPr>
      </w:pPr>
    </w:p>
    <w:bookmarkStart w:id="112" w:name="page113"/>
    <w:bookmarkEnd w:id="112"/>
    <w:p>
      <w:pPr>
        <w:spacing w:after="0" w:line="200" w:lineRule="exact"/>
        <w:rPr>
          <w:sz w:val="20"/>
          <w:szCs w:val="20"/>
          <w:color w:val="auto"/>
        </w:rPr>
      </w:pPr>
    </w:p>
    <w:p>
      <w:pPr>
        <w:spacing w:after="0" w:line="242"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9"/>
          <w:szCs w:val="19"/>
          <w:b w:val="1"/>
          <w:bCs w:val="1"/>
          <w:color w:val="auto"/>
        </w:rPr>
        <w:t>INSIDER EMPLOYEES</w:t>
      </w:r>
    </w:p>
    <w:p>
      <w:pPr>
        <w:spacing w:after="0" w:line="2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(March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187960</wp:posOffset>
            </wp:positionV>
            <wp:extent cx="6652260" cy="9086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6652260" cy="90868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Executive Officers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Vice Presidents and Vice Presidents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Accounting and Senior Finance Employees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individuals designated by the Compliance Officer from time to time</w:t>
      </w:r>
    </w:p>
    <w:p>
      <w:pPr>
        <w:sectPr>
          <w:pgSz w:w="11900" w:h="16838" w:orient="portrait"/>
          <w:cols w:equalWidth="0" w:num="1">
            <w:col w:w="10099"/>
          </w:cols>
          <w:pgMar w:left="360" w:top="1440" w:right="1440"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6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56" w:lineRule="exact"/>
        <w:rPr>
          <w:sz w:val="20"/>
          <w:szCs w:val="20"/>
          <w:color w:val="auto"/>
        </w:rPr>
      </w:pPr>
    </w:p>
    <w:p>
      <w:pPr>
        <w:ind w:left="328" w:hanging="328"/>
        <w:spacing w:after="0"/>
        <w:tabs>
          <w:tab w:leader="none" w:pos="32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Paylocity Corporation, an Illinois corporation</w:t>
      </w:r>
    </w:p>
    <w:p>
      <w:pPr>
        <w:spacing w:after="0" w:line="2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 Administration Technologies, Inc., a Delaware corporation</w:t>
      </w:r>
    </w:p>
    <w:p>
      <w:pPr>
        <w:spacing w:after="0" w:line="3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VidGrid Inc., a Delaware corporation</w:t>
      </w:r>
    </w:p>
    <w:p>
      <w:pPr>
        <w:spacing w:after="0" w:line="2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Samepage Labs Inc., a Delaware corporation</w:t>
      </w:r>
    </w:p>
    <w:p>
      <w:pPr>
        <w:spacing w:after="0" w:line="2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Paylocity s.r.o., a Czech Republic company</w:t>
      </w:r>
    </w:p>
    <w:p>
      <w:pPr>
        <w:spacing w:after="0" w:line="2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Marble Payroll, LLC, an Illinois limited liability company</w:t>
      </w:r>
    </w:p>
    <w:p>
      <w:pPr>
        <w:spacing w:after="0" w:line="2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Cloudsnap, Inc., a Delaware corporation</w:t>
      </w:r>
    </w:p>
    <w:p>
      <w:pPr>
        <w:spacing w:after="0" w:line="2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TraceHQ.com, Inc., a Delaware corporation</w:t>
      </w:r>
    </w:p>
    <w:p>
      <w:pPr>
        <w:sectPr>
          <w:pgSz w:w="11900" w:h="16838" w:orient="portrait"/>
          <w:cols w:equalWidth="0" w:num="1">
            <w:col w:w="10908"/>
          </w:cols>
          <w:pgMar w:left="652" w:top="1413"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333-194840, No. 333-201983, No. 333-209520, No. 333-216001, No. 333-222959, No. 333-252779, No. 333-262514, No. 333-269548, No. 333-275800 and No. 333-276961) on Form S-8 of our report dated August 2, 2024, with respect to the consolidated financial statements of Paylocity Holding Corporation and the effectiveness of internal control over financial reporting.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rPr>
          <w:sz w:val="20"/>
          <w:szCs w:val="20"/>
          <w:color w:val="auto"/>
        </w:rPr>
      </w:pPr>
      <w:r>
        <w:rPr>
          <w:rFonts w:ascii="Times New Roman" w:cs="Times New Roman" w:eastAsia="Times New Roman" w:hAnsi="Times New Roman"/>
          <w:sz w:val="18"/>
          <w:szCs w:val="18"/>
          <w:color w:val="auto"/>
        </w:rPr>
        <w:t>August 2, 2024</w:t>
      </w:r>
    </w:p>
    <w:p>
      <w:pPr>
        <w:sectPr>
          <w:pgSz w:w="11900" w:h="16838" w:orient="portrait"/>
          <w:cols w:equalWidth="0" w:num="1">
            <w:col w:w="11240"/>
          </w:cols>
          <w:pgMar w:left="320" w:top="1076"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R. Beauchamp, certify that:</w:t>
      </w:r>
    </w:p>
    <w:p>
      <w:pPr>
        <w:spacing w:after="0" w:line="225" w:lineRule="exact"/>
        <w:rPr>
          <w:sz w:val="20"/>
          <w:szCs w:val="20"/>
          <w:color w:val="auto"/>
        </w:rPr>
      </w:pPr>
    </w:p>
    <w:p>
      <w:pPr>
        <w:ind w:left="980" w:hanging="324"/>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Paylocity Holding Corporation;</w:t>
      </w:r>
    </w:p>
    <w:p>
      <w:pPr>
        <w:spacing w:after="0" w:line="225" w:lineRule="exact"/>
        <w:rPr>
          <w:rFonts w:ascii="Times New Roman" w:cs="Times New Roman" w:eastAsia="Times New Roman" w:hAnsi="Times New Roman"/>
          <w:sz w:val="18"/>
          <w:szCs w:val="18"/>
          <w:color w:val="auto"/>
        </w:rPr>
      </w:pPr>
    </w:p>
    <w:p>
      <w:pPr>
        <w:ind w:right="60" w:firstLine="656"/>
        <w:spacing w:after="0" w:line="266" w:lineRule="auto"/>
        <w:tabs>
          <w:tab w:leader="none" w:pos="96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40" w:firstLine="656"/>
        <w:spacing w:after="0" w:line="282" w:lineRule="auto"/>
        <w:tabs>
          <w:tab w:leader="none" w:pos="96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firstLine="644"/>
        <w:spacing w:after="0" w:line="266" w:lineRule="auto"/>
        <w:tabs>
          <w:tab w:leader="none" w:pos="161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100" w:firstLine="644"/>
        <w:spacing w:after="0" w:line="266" w:lineRule="auto"/>
        <w:tabs>
          <w:tab w:leader="none" w:pos="162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0" w:firstLine="644"/>
        <w:spacing w:after="0" w:line="312" w:lineRule="auto"/>
        <w:tabs>
          <w:tab w:leader="none" w:pos="1613"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20" w:firstLine="644"/>
        <w:spacing w:after="0" w:line="266" w:lineRule="auto"/>
        <w:tabs>
          <w:tab w:leader="none" w:pos="162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(the registrant’s fourth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80" w:firstLine="656"/>
        <w:spacing w:after="0" w:line="28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160" w:firstLine="644"/>
        <w:spacing w:after="0" w:line="282" w:lineRule="auto"/>
        <w:tabs>
          <w:tab w:leader="none" w:pos="160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40" w:firstLine="644"/>
        <w:spacing w:after="0" w:line="282" w:lineRule="auto"/>
        <w:tabs>
          <w:tab w:leader="none" w:pos="161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2024</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R. Beauchamp</w:t>
            </w:r>
          </w:p>
        </w:tc>
      </w:tr>
      <w:tr>
        <w:trPr>
          <w:trHeight w:val="250"/>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R. Beauchamp</w:t>
            </w:r>
          </w:p>
        </w:tc>
      </w:tr>
      <w:tr>
        <w:trPr>
          <w:trHeight w:val="297"/>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(Principal Executive Officer) and Director</w:t>
            </w:r>
          </w:p>
        </w:tc>
      </w:tr>
    </w:tbl>
    <w:p>
      <w:pPr>
        <w:sectPr>
          <w:pgSz w:w="11900" w:h="16838" w:orient="portrait"/>
          <w:cols w:equalWidth="0" w:num="1">
            <w:col w:w="11240"/>
          </w:cols>
          <w:pgMar w:left="320" w:top="1143"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Toby J. Williams, certify that:</w:t>
      </w:r>
    </w:p>
    <w:p>
      <w:pPr>
        <w:spacing w:after="0" w:line="225" w:lineRule="exact"/>
        <w:rPr>
          <w:sz w:val="20"/>
          <w:szCs w:val="20"/>
          <w:color w:val="auto"/>
        </w:rPr>
      </w:pPr>
    </w:p>
    <w:p>
      <w:pPr>
        <w:ind w:left="980" w:hanging="324"/>
        <w:spacing w:after="0"/>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Paylocity Holding Corporation;</w:t>
      </w:r>
    </w:p>
    <w:p>
      <w:pPr>
        <w:spacing w:after="0" w:line="225" w:lineRule="exact"/>
        <w:rPr>
          <w:rFonts w:ascii="Times New Roman" w:cs="Times New Roman" w:eastAsia="Times New Roman" w:hAnsi="Times New Roman"/>
          <w:sz w:val="18"/>
          <w:szCs w:val="18"/>
          <w:color w:val="auto"/>
        </w:rPr>
      </w:pPr>
    </w:p>
    <w:p>
      <w:pPr>
        <w:ind w:right="60" w:firstLine="656"/>
        <w:spacing w:after="0" w:line="266" w:lineRule="auto"/>
        <w:tabs>
          <w:tab w:leader="none" w:pos="96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40" w:firstLine="656"/>
        <w:spacing w:after="0" w:line="282" w:lineRule="auto"/>
        <w:tabs>
          <w:tab w:leader="none" w:pos="96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firstLine="644"/>
        <w:spacing w:after="0" w:line="266" w:lineRule="auto"/>
        <w:tabs>
          <w:tab w:leader="none" w:pos="1613"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100" w:firstLine="644"/>
        <w:spacing w:after="0" w:line="266" w:lineRule="auto"/>
        <w:tabs>
          <w:tab w:leader="none" w:pos="1623"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0" w:firstLine="644"/>
        <w:spacing w:after="0" w:line="312" w:lineRule="auto"/>
        <w:tabs>
          <w:tab w:leader="none" w:pos="1613"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20" w:firstLine="644"/>
        <w:spacing w:after="0" w:line="266" w:lineRule="auto"/>
        <w:tabs>
          <w:tab w:leader="none" w:pos="1623"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(the registrant’s fourth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80" w:firstLine="656"/>
        <w:spacing w:after="0" w:line="282"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160" w:firstLine="644"/>
        <w:spacing w:after="0" w:line="282" w:lineRule="auto"/>
        <w:tabs>
          <w:tab w:leader="none" w:pos="1603"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40" w:firstLine="644"/>
        <w:spacing w:after="0" w:line="282" w:lineRule="auto"/>
        <w:tabs>
          <w:tab w:leader="none" w:pos="1613"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2024</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250"/>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Toby J. Williams</w:t>
            </w:r>
          </w:p>
        </w:tc>
      </w:tr>
      <w:tr>
        <w:trPr>
          <w:trHeight w:val="297"/>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President, Co-Chief Executive Officer (Principal Executive Officer)</w:t>
            </w:r>
          </w:p>
        </w:tc>
      </w:tr>
      <w:tr>
        <w:trPr>
          <w:trHeight w:val="243"/>
        </w:trPr>
        <w:tc>
          <w:tcPr>
            <w:tcW w:w="5760" w:type="dxa"/>
            <w:vAlign w:val="bottom"/>
          </w:tcPr>
          <w:p>
            <w:pPr>
              <w:spacing w:after="0"/>
              <w:rPr>
                <w:sz w:val="21"/>
                <w:szCs w:val="21"/>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ectPr>
          <w:pgSz w:w="11900" w:h="16838" w:orient="portrait"/>
          <w:cols w:equalWidth="0" w:num="1">
            <w:col w:w="11240"/>
          </w:cols>
          <w:pgMar w:left="320" w:top="1143"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Glenn, certify that:</w:t>
      </w:r>
    </w:p>
    <w:p>
      <w:pPr>
        <w:spacing w:after="0" w:line="225" w:lineRule="exact"/>
        <w:rPr>
          <w:sz w:val="20"/>
          <w:szCs w:val="20"/>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Paylocity Holding Corporation;</w:t>
      </w:r>
    </w:p>
    <w:p>
      <w:pPr>
        <w:spacing w:after="0" w:line="225" w:lineRule="exact"/>
        <w:rPr>
          <w:rFonts w:ascii="Times New Roman" w:cs="Times New Roman" w:eastAsia="Times New Roman" w:hAnsi="Times New Roman"/>
          <w:sz w:val="18"/>
          <w:szCs w:val="18"/>
          <w:color w:val="auto"/>
        </w:rPr>
      </w:pPr>
    </w:p>
    <w:p>
      <w:pPr>
        <w:ind w:right="60" w:firstLine="656"/>
        <w:spacing w:after="0" w:line="266" w:lineRule="auto"/>
        <w:tabs>
          <w:tab w:leader="none" w:pos="96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40" w:firstLine="656"/>
        <w:spacing w:after="0" w:line="282" w:lineRule="auto"/>
        <w:tabs>
          <w:tab w:leader="none" w:pos="96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firstLine="644"/>
        <w:spacing w:after="0" w:line="266" w:lineRule="auto"/>
        <w:tabs>
          <w:tab w:leader="none" w:pos="161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100" w:firstLine="644"/>
        <w:spacing w:after="0" w:line="266" w:lineRule="auto"/>
        <w:tabs>
          <w:tab w:leader="none" w:pos="162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0" w:firstLine="644"/>
        <w:spacing w:after="0" w:line="312" w:lineRule="auto"/>
        <w:tabs>
          <w:tab w:leader="none" w:pos="1613"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20" w:firstLine="644"/>
        <w:spacing w:after="0" w:line="266" w:lineRule="auto"/>
        <w:tabs>
          <w:tab w:leader="none" w:pos="162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(the registrant’s fourth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80" w:firstLine="656"/>
        <w:spacing w:after="0" w:line="282"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160" w:firstLine="644"/>
        <w:spacing w:after="0" w:line="282" w:lineRule="auto"/>
        <w:tabs>
          <w:tab w:leader="none" w:pos="160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40" w:firstLine="644"/>
        <w:spacing w:after="0" w:line="282" w:lineRule="auto"/>
        <w:tabs>
          <w:tab w:leader="none" w:pos="161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2024</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Glenn</w:t>
            </w:r>
          </w:p>
        </w:tc>
      </w:tr>
      <w:tr>
        <w:trPr>
          <w:trHeight w:val="250"/>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297"/>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 Officer)</w:t>
            </w:r>
          </w:p>
        </w:tc>
      </w:tr>
    </w:tbl>
    <w:p>
      <w:pPr>
        <w:sectPr>
          <w:pgSz w:w="11900" w:h="16838" w:orient="portrait"/>
          <w:cols w:equalWidth="0" w:num="1">
            <w:col w:w="11240"/>
          </w:cols>
          <w:pgMar w:left="320" w:top="1143"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2024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2024</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R. Beauchamp</w:t>
            </w:r>
          </w:p>
        </w:tc>
      </w:tr>
      <w:tr>
        <w:trPr>
          <w:trHeight w:val="250"/>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R. Beauchamp</w:t>
            </w:r>
          </w:p>
        </w:tc>
      </w:tr>
      <w:tr>
        <w:trPr>
          <w:trHeight w:val="297"/>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(Principal Executive Officer) and Director</w:t>
            </w:r>
          </w:p>
        </w:tc>
      </w:tr>
    </w:tbl>
    <w:p>
      <w:pPr>
        <w:spacing w:after="0" w:line="33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2024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2024</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250"/>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Toby J. Williams</w:t>
            </w:r>
          </w:p>
        </w:tc>
      </w:tr>
      <w:tr>
        <w:trPr>
          <w:trHeight w:val="297"/>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President, Co-Chief Executive Officer (Principal Executive Officer)</w:t>
            </w:r>
          </w:p>
        </w:tc>
      </w:tr>
      <w:tr>
        <w:trPr>
          <w:trHeight w:val="243"/>
        </w:trPr>
        <w:tc>
          <w:tcPr>
            <w:tcW w:w="5760" w:type="dxa"/>
            <w:vAlign w:val="bottom"/>
          </w:tcPr>
          <w:p>
            <w:pPr>
              <w:spacing w:after="0"/>
              <w:rPr>
                <w:sz w:val="21"/>
                <w:szCs w:val="21"/>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pacing w:after="0" w:line="34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 w:firstLine="648"/>
        <w:spacing w:after="0" w:line="281" w:lineRule="auto"/>
        <w:rPr>
          <w:sz w:val="20"/>
          <w:szCs w:val="20"/>
          <w:color w:val="auto"/>
        </w:rPr>
      </w:pPr>
      <w:r>
        <w:rPr>
          <w:rFonts w:ascii="Times New Roman" w:cs="Times New Roman" w:eastAsia="Times New Roman" w:hAnsi="Times New Roman"/>
          <w:sz w:val="17"/>
          <w:szCs w:val="17"/>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2024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2024</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Glenn</w:t>
            </w:r>
          </w:p>
        </w:tc>
      </w:tr>
      <w:tr>
        <w:trPr>
          <w:trHeight w:val="250"/>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297"/>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 Officer)</w:t>
            </w:r>
          </w:p>
        </w:tc>
      </w:tr>
    </w:tbl>
    <w:p>
      <w:pPr>
        <w:spacing w:after="0" w:line="33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PAYLOCITY HOLDING CORPORATION</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POLICY FOR RECOVERY OF ERRONEOUSLY AWARDED INCENTIVE COMPENSATION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(Adopted October 3, 2023)</w:t>
      </w:r>
    </w:p>
    <w:p>
      <w:pPr>
        <w:spacing w:after="0" w:line="216"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w:t>
      </w:r>
    </w:p>
    <w:p>
      <w:pPr>
        <w:spacing w:after="0" w:line="229"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19"/>
          <w:szCs w:val="19"/>
          <w:color w:val="auto"/>
        </w:rPr>
        <w:t>Paylocity Holding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is adopting this policy (this “</w:t>
      </w:r>
      <w:r>
        <w:rPr>
          <w:rFonts w:ascii="Times New Roman" w:cs="Times New Roman" w:eastAsia="Times New Roman" w:hAnsi="Times New Roman"/>
          <w:sz w:val="19"/>
          <w:szCs w:val="19"/>
          <w:b w:val="1"/>
          <w:bCs w:val="1"/>
          <w:i w:val="1"/>
          <w:iCs w:val="1"/>
          <w:color w:val="auto"/>
        </w:rPr>
        <w:t>Policy</w:t>
      </w:r>
      <w:r>
        <w:rPr>
          <w:rFonts w:ascii="Times New Roman" w:cs="Times New Roman" w:eastAsia="Times New Roman" w:hAnsi="Times New Roman"/>
          <w:sz w:val="19"/>
          <w:szCs w:val="19"/>
          <w:color w:val="auto"/>
        </w:rPr>
        <w:t>”) to provide for the Company’s recovery of certain Incentive Compensation (as defined below) erroneously awarded to Affected Officers (as defined below) under certain circumstances.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This Policy is administered by the Compensation Committee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of the Company’s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The Committee shall have full and final authority to make any and all determinations required or permitted under this Policy. Any determination by the Committee with respect to this Policy shall be final, conclusive and binding on all parties. The Board may amend or terminate this Policy at any time.</w:t>
      </w:r>
    </w:p>
    <w:p>
      <w:pPr>
        <w:spacing w:after="0" w:line="1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This Policy is intended to comply with Section 10D of the Securities and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Rule 10D-1 thereunder and the applicable rules of any national securities exchange on which the Company’s securities are listed (the “</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and will be interpreted and administered consistent with that intent.</w:t>
      </w:r>
    </w:p>
    <w:p>
      <w:pPr>
        <w:spacing w:after="0" w:line="162"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DATE</w:t>
      </w:r>
    </w:p>
    <w:p>
      <w:pPr>
        <w:spacing w:after="0" w:line="233" w:lineRule="exact"/>
        <w:rPr>
          <w:sz w:val="20"/>
          <w:szCs w:val="20"/>
          <w:color w:val="auto"/>
        </w:rPr>
      </w:pPr>
    </w:p>
    <w:p>
      <w:pPr>
        <w:ind w:right="420" w:firstLine="648"/>
        <w:spacing w:after="0" w:line="283" w:lineRule="auto"/>
        <w:rPr>
          <w:sz w:val="20"/>
          <w:szCs w:val="20"/>
          <w:color w:val="auto"/>
        </w:rPr>
      </w:pPr>
      <w:r>
        <w:rPr>
          <w:rFonts w:ascii="Times New Roman" w:cs="Times New Roman" w:eastAsia="Times New Roman" w:hAnsi="Times New Roman"/>
          <w:sz w:val="20"/>
          <w:szCs w:val="20"/>
          <w:color w:val="auto"/>
        </w:rPr>
        <w:t>This Policy shall apply to all Incentive Compensation paid or awarded on or after October 2, 2023 and to the extent permitted or required by applicable law.</w:t>
      </w:r>
    </w:p>
    <w:p>
      <w:pPr>
        <w:spacing w:after="0" w:line="142"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33"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 purposes of this Policy, the following terms shall have the meanings set forth below:</w:t>
      </w:r>
    </w:p>
    <w:p>
      <w:pPr>
        <w:spacing w:after="0" w:line="211"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Affected Officer</w:t>
      </w:r>
      <w:r>
        <w:rPr>
          <w:rFonts w:ascii="Times New Roman" w:cs="Times New Roman" w:eastAsia="Times New Roman" w:hAnsi="Times New Roman"/>
          <w:sz w:val="20"/>
          <w:szCs w:val="20"/>
          <w:color w:val="auto"/>
        </w:rPr>
        <w:t>” means any current or former “officer” as defined in Exchange Act Rule 16a-1.</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Erroneously Awarded Compensation</w:t>
      </w:r>
      <w:r>
        <w:rPr>
          <w:rFonts w:ascii="Times New Roman" w:cs="Times New Roman" w:eastAsia="Times New Roman" w:hAnsi="Times New Roman"/>
          <w:sz w:val="20"/>
          <w:szCs w:val="20"/>
          <w:color w:val="auto"/>
        </w:rPr>
        <w:t>” means the amount of Incentive Compensation received that exceeds the amount of Incentive Compensation that otherwise would have been received had it been determined based on the Restatement, computed without regard to any taxes paid. In the case of Incentive Compensation based on stock price or total shareholder return, where the amount of Erroneously Awarded Compensation is not subject to mathematical recalculation directly from the information in the Restatement, the amount shall reflect a reasonable estimate of the effect of the Restatement on the stock price or total shareholder return upon which the Incentive Compensation was received, as determined by the Committee in its sole discretion. The Committee may determine the form and amount of Erroneously Awarded Compensation in its sole discretion.</w:t>
      </w:r>
    </w:p>
    <w:p>
      <w:pPr>
        <w:spacing w:after="0" w:line="1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w:t>
      </w:r>
      <w:r>
        <w:rPr>
          <w:rFonts w:ascii="Times New Roman" w:cs="Times New Roman" w:eastAsia="Times New Roman" w:hAnsi="Times New Roman"/>
          <w:sz w:val="20"/>
          <w:szCs w:val="20"/>
          <w:color w:val="auto"/>
        </w:rPr>
        <w:t>” means any measure that is determined and presented in accordance with the accounting principles used in preparing the Company’s financial statements, and any measures that are derived wholly or in part from such measures, whether or not such measure is presented within the financial statements or included in a filing with the Securities and Exchange Commission. Stock price and total shareholder return are Financial Reporting Measures.</w:t>
      </w:r>
    </w:p>
    <w:p>
      <w:pPr>
        <w:sectPr>
          <w:pgSz w:w="11900" w:h="16838" w:orient="portrait"/>
          <w:cols w:equalWidth="0" w:num="1">
            <w:col w:w="11240"/>
          </w:cols>
          <w:pgMar w:left="320" w:top="1395" w:right="339" w:bottom="1440" w:gutter="0" w:footer="0" w:header="0"/>
        </w:sectPr>
      </w:pPr>
    </w:p>
    <w:bookmarkStart w:id="122" w:name="page123"/>
    <w:bookmarkEnd w:id="122"/>
    <w:p>
      <w:pPr>
        <w:spacing w:after="0" w:line="18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in whole or in part on the attainment of a Financial Reporting Measure. For purposes of clarity, base salaries, bonuses or equity awards paid solely upon satisfying one or more subjective standards, strategic or operational measures, or continued employment are not considered Incentive Compensation, unless such awards were granted, paid or vested based in part on a Financial Reporting Measure.</w:t>
      </w:r>
    </w:p>
    <w:p>
      <w:pPr>
        <w:spacing w:after="0" w:line="164" w:lineRule="exact"/>
        <w:rPr>
          <w:sz w:val="20"/>
          <w:szCs w:val="20"/>
          <w:color w:val="auto"/>
        </w:rPr>
      </w:pPr>
    </w:p>
    <w:p>
      <w:pPr>
        <w:jc w:val="both"/>
        <w:ind w:firstLine="626"/>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Restatement</w:t>
      </w:r>
      <w:r>
        <w:rPr>
          <w:rFonts w:ascii="Times New Roman" w:cs="Times New Roman" w:eastAsia="Times New Roman" w:hAnsi="Times New Roman"/>
          <w:sz w:val="20"/>
          <w:szCs w:val="20"/>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(i.e., a “Big R” restatement), or that would result in a material misstatement if the error was corrected in the current period or left uncorrected in the current period (i.e., a “little r” restatement).</w:t>
      </w:r>
    </w:p>
    <w:p>
      <w:pPr>
        <w:spacing w:after="0" w:line="178"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RECOVERY</w:t>
      </w:r>
    </w:p>
    <w:p>
      <w:pPr>
        <w:spacing w:after="0" w:line="220" w:lineRule="exact"/>
        <w:rPr>
          <w:sz w:val="20"/>
          <w:szCs w:val="20"/>
          <w:color w:val="auto"/>
        </w:rPr>
      </w:pPr>
    </w:p>
    <w:p>
      <w:pPr>
        <w:ind w:firstLine="626"/>
        <w:spacing w:after="0" w:line="283" w:lineRule="auto"/>
        <w:rPr>
          <w:sz w:val="20"/>
          <w:szCs w:val="20"/>
          <w:color w:val="auto"/>
        </w:rPr>
      </w:pPr>
      <w:r>
        <w:rPr>
          <w:rFonts w:ascii="Times New Roman" w:cs="Times New Roman" w:eastAsia="Times New Roman" w:hAnsi="Times New Roman"/>
          <w:sz w:val="20"/>
          <w:szCs w:val="20"/>
          <w:color w:val="auto"/>
        </w:rPr>
        <w:t>If the Company is required to prepare a Restatement, the Company shall seek to recover and claw back from any Affected Officer reasonably promptly the Erroneously Awarded Compensation that is received by the Affected Officer:</w:t>
      </w:r>
    </w:p>
    <w:p>
      <w:pPr>
        <w:spacing w:after="0" w:line="160" w:lineRule="exact"/>
        <w:rPr>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person begins service as an Affected Officer;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 serves as an Affected Officer at any time during the performance period for that Incentive Compensation;</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the Company has a class of securities listed on the Exchange; and</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68" w:lineRule="auto"/>
        <w:tabs>
          <w:tab w:leader="none" w:pos="1289"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 completed fiscal years immediately preceding the date on which the Company was required to prepare the Restatement (including any transition period within or immediately following those years that results from a change in the Company’s fiscal year, provided that a transition period of nine to 12 months will be deemed to be a completed fiscal year).</w:t>
      </w:r>
    </w:p>
    <w:p>
      <w:pPr>
        <w:spacing w:after="0" w:line="161" w:lineRule="exact"/>
        <w:rPr>
          <w:sz w:val="20"/>
          <w:szCs w:val="20"/>
          <w:color w:val="auto"/>
        </w:rPr>
      </w:pPr>
    </w:p>
    <w:p>
      <w:pPr>
        <w:jc w:val="both"/>
        <w:ind w:hanging="11"/>
        <w:spacing w:after="0" w:line="251" w:lineRule="auto"/>
        <w:rPr>
          <w:sz w:val="20"/>
          <w:szCs w:val="20"/>
          <w:color w:val="auto"/>
        </w:rPr>
      </w:pPr>
      <w:r>
        <w:rPr>
          <w:rFonts w:ascii="Times New Roman" w:cs="Times New Roman" w:eastAsia="Times New Roman" w:hAnsi="Times New Roman"/>
          <w:sz w:val="20"/>
          <w:szCs w:val="20"/>
          <w:color w:val="auto"/>
        </w:rPr>
        <w:t>If, after the release of earnings for any period for which a Restatement subsequently occurs and prior to the announcement of the Restatement for such period, the Affected Officer sold any securities constituting, or any securities issuable on exercise, settlement or exchange of any equity award constituting, Incentive Compensation, the excess of (a) the actual aggregate sales proceeds from the Affected Officer’s sale of those shares, over (b) the aggregate sales proceeds the Affected Officer would have received from the sale of those shares at a price per share determined appropriate by the Committee in its discretion to reflect what the Company’s common stock price would have been if the Restatement had occurred prior to such sales, shall be deemed to be Erroneously Awarded Compensation; provided, however, that the aggregate sales proceeds determined by the Committee under this clause (b) with respect to shares acquired upon exercise of an option shall not be less than the aggregate exercise price paid for those shares.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purposes of this Policy:</w:t>
      </w:r>
    </w:p>
    <w:p>
      <w:pPr>
        <w:spacing w:after="0" w:line="216" w:lineRule="exact"/>
        <w:rPr>
          <w:sz w:val="20"/>
          <w:szCs w:val="20"/>
          <w:color w:val="auto"/>
        </w:rPr>
      </w:pPr>
    </w:p>
    <w:p>
      <w:pPr>
        <w:jc w:val="both"/>
        <w:ind w:left="1300" w:hanging="644"/>
        <w:spacing w:after="0" w:line="268" w:lineRule="auto"/>
        <w:tabs>
          <w:tab w:leader="none" w:pos="128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Erroneously Awarded Compensation is deemed to be received in the Company’s fiscal year during which the Financial Reporting Measure specified in the Incentive Compensation is attained, even if the payment or grant of the Incentive Compensation occurs after the end of that period; and</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89" w:lineRule="exact"/>
        <w:rPr>
          <w:sz w:val="20"/>
          <w:szCs w:val="20"/>
          <w:color w:val="auto"/>
        </w:rPr>
      </w:pPr>
    </w:p>
    <w:p>
      <w:pPr>
        <w:jc w:val="both"/>
        <w:ind w:left="1300" w:hanging="644"/>
        <w:spacing w:after="0" w:line="258" w:lineRule="auto"/>
        <w:tabs>
          <w:tab w:leader="none" w:pos="128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the Company is required to prepare a Restatement is the earlier of (x) the date the Board, the Committee or any officer of the Company authorized to take such action concludes, or reasonably should have concluded, that the Company is required to prepare the Restatement, or (y) the date a court, regulator, or other legally authorized body directs the Company to prepare the Restatement.</w:t>
      </w:r>
    </w:p>
    <w:p>
      <w:pPr>
        <w:spacing w:after="0" w:line="17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For purposes of clarity, in no event shall the Company be required to award any Affected Officers an additional payment or other compensation if the Restatement would have resulted in the grant, payment or vesting of Incentive Compensation that is greater than the Incentive Compensation actually received by the Affected Officer. The recovery of Erroneously Awarded Compensation is not dependent on if or when the Restatement is filed.</w:t>
      </w:r>
    </w:p>
    <w:p>
      <w:pPr>
        <w:spacing w:after="0" w:line="182"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SOURCES OF RECOUPMENT</w:t>
      </w:r>
    </w:p>
    <w:p>
      <w:pPr>
        <w:spacing w:after="0" w:line="220" w:lineRule="exact"/>
        <w:rPr>
          <w:sz w:val="20"/>
          <w:szCs w:val="20"/>
          <w:color w:val="auto"/>
        </w:rPr>
      </w:pPr>
    </w:p>
    <w:p>
      <w:pPr>
        <w:jc w:val="both"/>
        <w:ind w:firstLine="626"/>
        <w:spacing w:after="0" w:line="257" w:lineRule="auto"/>
        <w:rPr>
          <w:sz w:val="20"/>
          <w:szCs w:val="20"/>
          <w:color w:val="auto"/>
        </w:rPr>
      </w:pPr>
      <w:r>
        <w:rPr>
          <w:rFonts w:ascii="Times New Roman" w:cs="Times New Roman" w:eastAsia="Times New Roman" w:hAnsi="Times New Roman"/>
          <w:sz w:val="20"/>
          <w:szCs w:val="20"/>
          <w:color w:val="auto"/>
        </w:rPr>
        <w:t>To the extent permitted by applicable law, the Committee may, in its discretion, seek recoupment from the Affected Officer(s) through any means it determines, which may include any of the following sources: (i) prior Incentive Compensation payments; (ii) future payments of Incentive Compensation; (iii) cancellation of outstanding Incentive Compensation; (iv) direct repayment; and (v) non-Incentive Compensation or securities held by the Affected Officer. To the extent permitted by applicable law, the Company may offset such amount against any compensation or other amounts owed by the Company to the Affected Officer.</w:t>
      </w:r>
    </w:p>
    <w:p>
      <w:pPr>
        <w:spacing w:after="0" w:line="169"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LIMITED EXCEPTIONS TO RECOVERY</w:t>
      </w:r>
    </w:p>
    <w:p>
      <w:pPr>
        <w:spacing w:after="0" w:line="233" w:lineRule="exact"/>
        <w:rPr>
          <w:sz w:val="20"/>
          <w:szCs w:val="20"/>
          <w:color w:val="auto"/>
        </w:rPr>
      </w:pPr>
    </w:p>
    <w:p>
      <w:pPr>
        <w:jc w:val="both"/>
        <w:ind w:firstLine="626"/>
        <w:spacing w:after="0" w:line="261" w:lineRule="auto"/>
        <w:rPr>
          <w:sz w:val="20"/>
          <w:szCs w:val="20"/>
          <w:color w:val="auto"/>
        </w:rPr>
      </w:pPr>
      <w:r>
        <w:rPr>
          <w:rFonts w:ascii="Times New Roman" w:cs="Times New Roman" w:eastAsia="Times New Roman" w:hAnsi="Times New Roman"/>
          <w:sz w:val="20"/>
          <w:szCs w:val="20"/>
          <w:color w:val="auto"/>
        </w:rPr>
        <w:t>Notwithstanding the foregoing, the Committee, in its discretion, may choose to forgo recovery of Erroneously Awarded Compensation under the following circumstances, provided that the Committee (or a majority of the independent members of the Board) has made a determination that recovery would be impracticable because:</w:t>
      </w:r>
    </w:p>
    <w:p>
      <w:pPr>
        <w:spacing w:after="0" w:line="181" w:lineRule="exact"/>
        <w:rPr>
          <w:sz w:val="20"/>
          <w:szCs w:val="20"/>
          <w:color w:val="auto"/>
        </w:rPr>
      </w:pPr>
    </w:p>
    <w:p>
      <w:pPr>
        <w:jc w:val="both"/>
        <w:ind w:left="1300" w:hanging="644"/>
        <w:spacing w:after="0" w:line="261" w:lineRule="auto"/>
        <w:tabs>
          <w:tab w:leader="none" w:pos="1298"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recoverable amounts; provided that the Company has made a reasonable attempt to recover such Erroneously Awarded Compensation, has documented such attempt and has (to the extent required) provided that documentation to the Exchange;</w:t>
      </w:r>
    </w:p>
    <w:p>
      <w:pPr>
        <w:spacing w:after="0" w:line="167"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299"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home country law where the law was adopted prior to November 28, 2022, and the Company provides an opinion of home country counsel to that effect to the Exchange that is acceptable to the Exchange; or</w:t>
      </w:r>
    </w:p>
    <w:p>
      <w:pPr>
        <w:spacing w:after="0" w:line="159"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to fail to meet the requirements of the Internal Revenue Code of 1986, as amended.</w:t>
      </w:r>
    </w:p>
    <w:p>
      <w:pPr>
        <w:spacing w:after="0" w:line="16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INDEMNIFICATION OR INSURANCE</w:t>
      </w:r>
    </w:p>
    <w:p>
      <w:pPr>
        <w:spacing w:after="0" w:line="220" w:lineRule="exact"/>
        <w:rPr>
          <w:sz w:val="20"/>
          <w:szCs w:val="20"/>
          <w:color w:val="auto"/>
        </w:rPr>
      </w:pPr>
    </w:p>
    <w:p>
      <w:pPr>
        <w:ind w:right="180" w:firstLine="649"/>
        <w:spacing w:after="0" w:line="283" w:lineRule="auto"/>
        <w:rPr>
          <w:sz w:val="20"/>
          <w:szCs w:val="20"/>
          <w:color w:val="auto"/>
        </w:rPr>
      </w:pPr>
      <w:r>
        <w:rPr>
          <w:rFonts w:ascii="Times New Roman" w:cs="Times New Roman" w:eastAsia="Times New Roman" w:hAnsi="Times New Roman"/>
          <w:sz w:val="20"/>
          <w:szCs w:val="20"/>
          <w:color w:val="0E0E0E"/>
        </w:rPr>
        <w:t>The Company will not indemnify, insure or otherwise reimburse any Affected Officer against the recovery of Erroneously Awarded Compensation.</w:t>
      </w:r>
    </w:p>
    <w:p>
      <w:pPr>
        <w:spacing w:after="0" w:line="156"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IMPAIRMENT OF OTHER REMEDIES</w:t>
      </w:r>
    </w:p>
    <w:p>
      <w:pPr>
        <w:spacing w:after="0" w:line="220" w:lineRule="exact"/>
        <w:rPr>
          <w:sz w:val="20"/>
          <w:szCs w:val="20"/>
          <w:color w:val="auto"/>
        </w:rPr>
      </w:pPr>
    </w:p>
    <w:p>
      <w:pPr>
        <w:ind w:firstLine="626"/>
        <w:spacing w:after="0" w:line="283" w:lineRule="auto"/>
        <w:rPr>
          <w:sz w:val="20"/>
          <w:szCs w:val="20"/>
          <w:color w:val="auto"/>
        </w:rPr>
      </w:pPr>
      <w:r>
        <w:rPr>
          <w:rFonts w:ascii="Times New Roman" w:cs="Times New Roman" w:eastAsia="Times New Roman" w:hAnsi="Times New Roman"/>
          <w:sz w:val="20"/>
          <w:szCs w:val="20"/>
          <w:color w:val="auto"/>
        </w:rPr>
        <w:t>This Policy does not preclude the Company from taking any other action to enforce an Affected Officer’s obligations to the Company, including termination of employment, institution of civil</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proceedings, or reporting of any misconduct to appropriate government authorities or enforcement of any other remedy or right of recovery that may be available to the Company under applicable law, regulation or rule, or pursuant to the terms of any policy of the Company or any provision in any employment agreement, equity award agreement, compensatory plan, agreement or other arrangement. This Policy is in addition to the requirements of Section 304 of the Sarbanes-Oxley Act of 2002 that are applicable to the Company’s Chief Executive Officer and Chief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1)"/>
      <w:numFmt w:val="decimal"/>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1)"/>
      <w:numFmt w:val="decimal"/>
      <w:start w:val="1"/>
    </w:lvl>
  </w:abstractNum>
  <w:abstractNum w:abstractNumId="15">
    <w:nsid w:val="47398C89"/>
    <w:multiLevelType w:val="hybridMultilevel"/>
    <w:lvl w:ilvl="0">
      <w:lvlJc w:val="left"/>
      <w:lvlText w:val="(%1)"/>
      <w:numFmt w:val="decimal"/>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1)"/>
      <w:numFmt w:val="lowerLetter"/>
      <w:start w:val="1"/>
    </w:lvl>
  </w:abstractNum>
  <w:abstractNum w:abstractNumId="18">
    <w:nsid w:val="741226BB"/>
    <w:multiLevelType w:val="hybridMultilevel"/>
    <w:lvl w:ilvl="0">
      <w:lvlJc w:val="left"/>
      <w:lvlText w:val="(%1)"/>
      <w:numFmt w:val="lowerLetter"/>
      <w:start w:val="2"/>
    </w:lvl>
  </w:abstractNum>
  <w:abstractNum w:abstractNumId="19">
    <w:nsid w:val="D34B6A8"/>
    <w:multiLevelType w:val="hybridMultilevel"/>
    <w:lvl w:ilvl="0">
      <w:lvlJc w:val="left"/>
      <w:lvlText w:val="(%1)"/>
      <w:numFmt w:val="lowerLetter"/>
      <w:start w:val="3"/>
    </w:lvl>
  </w:abstractNum>
  <w:abstractNum w:abstractNumId="20">
    <w:nsid w:val="10233C99"/>
    <w:multiLevelType w:val="hybridMultilevel"/>
    <w:lvl w:ilvl="0">
      <w:lvlJc w:val="left"/>
      <w:lvlText w:val="(%1)"/>
      <w:numFmt w:val="lowerLetter"/>
      <w:start w:val="4"/>
    </w:lvl>
  </w:abstractNum>
  <w:abstractNum w:abstractNumId="21">
    <w:nsid w:val="3F6AB60F"/>
    <w:multiLevelType w:val="hybridMultilevel"/>
    <w:lvl w:ilvl="0">
      <w:lvlJc w:val="left"/>
      <w:lvlText w:val="(%1)"/>
      <w:numFmt w:val="lowerLetter"/>
      <w:start w:val="5"/>
    </w:lvl>
  </w:abstractNum>
  <w:abstractNum w:abstractNumId="22">
    <w:nsid w:val="61574095"/>
    <w:multiLevelType w:val="hybridMultilevel"/>
    <w:lvl w:ilvl="0">
      <w:lvlJc w:val="left"/>
      <w:lvlText w:val="(%1)"/>
      <w:numFmt w:val="lowerLetter"/>
      <w:start w:val="6"/>
    </w:lvl>
  </w:abstractNum>
  <w:abstractNum w:abstractNumId="23">
    <w:nsid w:val="7E0C57B1"/>
    <w:multiLevelType w:val="hybridMultilevel"/>
    <w:lvl w:ilvl="0">
      <w:lvlJc w:val="left"/>
      <w:lvlText w:val="(%1)"/>
      <w:numFmt w:val="lowerLetter"/>
      <w:start w:val="7"/>
    </w:lvl>
  </w:abstractNum>
  <w:abstractNum w:abstractNumId="24">
    <w:nsid w:val="77AE35EB"/>
    <w:multiLevelType w:val="hybridMultilevel"/>
    <w:lvl w:ilvl="0">
      <w:lvlJc w:val="left"/>
      <w:lvlText w:val="(%1)"/>
      <w:numFmt w:val="lowerLetter"/>
      <w:start w:val="8"/>
    </w:lvl>
  </w:abstractNum>
  <w:abstractNum w:abstractNumId="25">
    <w:nsid w:val="579BE4F1"/>
    <w:multiLevelType w:val="hybridMultilevel"/>
    <w:lvl w:ilvl="0">
      <w:lvlJc w:val="left"/>
      <w:lvlText w:val="(%1)"/>
      <w:numFmt w:val="lowerRoman"/>
      <w:start w:val="1"/>
    </w:lvl>
  </w:abstractNum>
  <w:abstractNum w:abstractNumId="26">
    <w:nsid w:val="310C50B3"/>
    <w:multiLevelType w:val="hybridMultilevel"/>
    <w:lvl w:ilvl="0">
      <w:lvlJc w:val="left"/>
      <w:lvlText w:val="(%1)"/>
      <w:numFmt w:val="lowerLetter"/>
      <w:start w:val="10"/>
    </w:lvl>
  </w:abstractNum>
  <w:abstractNum w:abstractNumId="27">
    <w:nsid w:val="5FF87E05"/>
    <w:multiLevelType w:val="hybridMultilevel"/>
    <w:lvl w:ilvl="0">
      <w:lvlJc w:val="left"/>
      <w:lvlText w:val="(%1)"/>
      <w:numFmt w:val="lowerLetter"/>
      <w:start w:val="11"/>
    </w:lvl>
  </w:abstractNum>
  <w:abstractNum w:abstractNumId="28">
    <w:nsid w:val="2F305DEF"/>
    <w:multiLevelType w:val="hybridMultilevel"/>
    <w:lvl w:ilvl="0">
      <w:lvlJc w:val="left"/>
      <w:lvlText w:val="(%1)"/>
      <w:numFmt w:val="lowerLetter"/>
      <w:start w:val="12"/>
    </w:lvl>
  </w:abstractNum>
  <w:abstractNum w:abstractNumId="29">
    <w:nsid w:val="25A70BF7"/>
    <w:multiLevelType w:val="hybridMultilevel"/>
    <w:lvl w:ilvl="0">
      <w:lvlJc w:val="left"/>
      <w:lvlText w:val="(%1)"/>
      <w:numFmt w:val="lowerLetter"/>
      <w:start w:val="13"/>
    </w:lvl>
  </w:abstractNum>
  <w:abstractNum w:abstractNumId="30">
    <w:nsid w:val="1DBABF00"/>
    <w:multiLevelType w:val="hybridMultilevel"/>
    <w:lvl w:ilvl="0">
      <w:lvlJc w:val="left"/>
      <w:lvlText w:val="(%1)"/>
      <w:numFmt w:val="lowerLetter"/>
      <w:start w:val="14"/>
    </w:lvl>
  </w:abstractNum>
  <w:abstractNum w:abstractNumId="31">
    <w:nsid w:val="4AD084E9"/>
    <w:multiLevelType w:val="hybridMultilevel"/>
    <w:lvl w:ilvl="0">
      <w:lvlJc w:val="left"/>
      <w:lvlText w:val="(%1)"/>
      <w:numFmt w:val="lowerLetter"/>
      <w:start w:val="15"/>
    </w:lvl>
  </w:abstractNum>
  <w:abstractNum w:abstractNumId="32">
    <w:nsid w:val="1F48EAA1"/>
    <w:multiLevelType w:val="hybridMultilevel"/>
    <w:lvl w:ilvl="0">
      <w:lvlJc w:val="left"/>
      <w:lvlText w:val="%1)"/>
      <w:numFmt w:val="decimal"/>
      <w:start w:val="1"/>
    </w:lvl>
  </w:abstractNum>
  <w:abstractNum w:abstractNumId="33">
    <w:nsid w:val="1381823A"/>
    <w:multiLevelType w:val="hybridMultilevel"/>
    <w:lvl w:ilvl="0">
      <w:lvlJc w:val="left"/>
      <w:lvlText w:val="(%1)"/>
      <w:numFmt w:val="lowerLetter"/>
      <w:start w:val="16"/>
    </w:lvl>
  </w:abstractNum>
  <w:abstractNum w:abstractNumId="34">
    <w:nsid w:val="5DB70AE5"/>
    <w:multiLevelType w:val="hybridMultilevel"/>
    <w:lvl w:ilvl="0">
      <w:lvlJc w:val="left"/>
      <w:lvlText w:val="(%1)"/>
      <w:numFmt w:val="lowerLetter"/>
      <w:start w:val="17"/>
    </w:lvl>
  </w:abstractNum>
  <w:abstractNum w:abstractNumId="35">
    <w:nsid w:val="100F8FCA"/>
    <w:multiLevelType w:val="hybridMultilevel"/>
    <w:lvl w:ilvl="0">
      <w:lvlJc w:val="left"/>
      <w:lvlText w:val="(%1)"/>
      <w:numFmt w:val="lowerLetter"/>
      <w:start w:val="18"/>
    </w:lvl>
  </w:abstractNum>
  <w:abstractNum w:abstractNumId="36">
    <w:nsid w:val="6590700B"/>
    <w:multiLevelType w:val="hybridMultilevel"/>
    <w:lvl w:ilvl="0">
      <w:lvlJc w:val="left"/>
      <w:lvlText w:val="(%1)"/>
      <w:numFmt w:val="lowerLetter"/>
      <w:start w:val="19"/>
    </w:lvl>
  </w:abstractNum>
  <w:abstractNum w:abstractNumId="37">
    <w:nsid w:val="15014ACB"/>
    <w:multiLevelType w:val="hybridMultilevel"/>
    <w:lvl w:ilvl="0">
      <w:lvlJc w:val="left"/>
      <w:lvlText w:val="(%1)"/>
      <w:numFmt w:val="lowerLetter"/>
      <w:start w:val="20"/>
    </w:lvl>
  </w:abstractNum>
  <w:abstractNum w:abstractNumId="38">
    <w:nsid w:val="5F5E7FD0"/>
    <w:multiLevelType w:val="hybridMultilevel"/>
    <w:lvl w:ilvl="0">
      <w:lvlJc w:val="left"/>
      <w:lvlText w:val="(%1)"/>
      <w:numFmt w:val="lowerLetter"/>
      <w:start w:val="2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1)"/>
      <w:numFmt w:val="decimal"/>
      <w:start w:val="14"/>
    </w:lvl>
    <w:lvl w:ilvl="1">
      <w:lvlJc w:val="left"/>
      <w:lvlText w:val="(%2)"/>
      <w:numFmt w:val="lowerLetter"/>
      <w:start w:val="1"/>
    </w:lvl>
  </w:abstractNum>
  <w:abstractNum w:abstractNumId="41">
    <w:nsid w:val="6B94764"/>
    <w:multiLevelType w:val="hybridMultilevel"/>
    <w:lvl w:ilvl="0">
      <w:lvlJc w:val="left"/>
      <w:lvlText w:val="(%1)"/>
      <w:numFmt w:val="lowerLetter"/>
      <w:start w:val="2"/>
    </w:lvl>
  </w:abstractNum>
  <w:abstractNum w:abstractNumId="42">
    <w:nsid w:val="42C296BD"/>
    <w:multiLevelType w:val="hybridMultilevel"/>
    <w:lvl w:ilvl="0">
      <w:lvlJc w:val="left"/>
      <w:lvlText w:val="(%1)"/>
      <w:numFmt w:val="lowerLetter"/>
      <w:start w:val="3"/>
    </w:lvl>
  </w:abstractNum>
  <w:abstractNum w:abstractNumId="43">
    <w:nsid w:val="168E121F"/>
    <w:multiLevelType w:val="hybridMultilevel"/>
    <w:lvl w:ilvl="0">
      <w:lvlJc w:val="left"/>
      <w:lvlText w:val="(%1)"/>
      <w:numFmt w:val="decimal"/>
      <w:start w:val="16"/>
    </w:lvl>
    <w:lvl w:ilvl="1">
      <w:lvlJc w:val="left"/>
      <w:lvlText w:val="(%2)"/>
      <w:numFmt w:val="lowerLetter"/>
      <w:start w:val="1"/>
    </w:lvl>
  </w:abstractNum>
  <w:abstractNum w:abstractNumId="44">
    <w:nsid w:val="1EBA5D23"/>
    <w:multiLevelType w:val="hybridMultilevel"/>
    <w:lvl w:ilvl="0">
      <w:lvlJc w:val="left"/>
      <w:lvlText w:val="(%1)"/>
      <w:numFmt w:val="lowerLetter"/>
      <w:start w:val="2"/>
    </w:lvl>
  </w:abstractNum>
  <w:abstractNum w:abstractNumId="45">
    <w:nsid w:val="661E3F1E"/>
    <w:multiLevelType w:val="hybridMultilevel"/>
    <w:lvl w:ilvl="0">
      <w:lvlJc w:val="left"/>
      <w:lvlText w:val="(%1)"/>
      <w:numFmt w:val="lowerLetter"/>
      <w:start w:val="3"/>
    </w:lvl>
  </w:abstractNum>
  <w:abstractNum w:abstractNumId="46">
    <w:nsid w:val="5DC79EA8"/>
    <w:multiLevelType w:val="hybridMultilevel"/>
    <w:lvl w:ilvl="0">
      <w:lvlJc w:val="left"/>
      <w:lvlText w:val="(%1)"/>
      <w:numFmt w:val="decimal"/>
      <w:start w:val="17"/>
    </w:lvl>
    <w:lvl w:ilvl="1">
      <w:lvlJc w:val="left"/>
      <w:lvlText w:val="(%2)"/>
      <w:numFmt w:val="lowerLetter"/>
      <w:start w:val="1"/>
    </w:lvl>
  </w:abstractNum>
  <w:abstractNum w:abstractNumId="47">
    <w:nsid w:val="540A471C"/>
    <w:multiLevelType w:val="hybridMultilevel"/>
    <w:lvl w:ilvl="0">
      <w:lvlJc w:val="left"/>
      <w:lvlText w:val="(%1)"/>
      <w:numFmt w:val="lowerLetter"/>
      <w:start w:val="2"/>
    </w:lvl>
  </w:abstractNum>
  <w:abstractNum w:abstractNumId="48">
    <w:nsid w:val="7BD3EE7B"/>
    <w:multiLevelType w:val="hybridMultilevel"/>
    <w:lvl w:ilvl="0">
      <w:lvlJc w:val="left"/>
      <w:lvlText w:val="%1."/>
      <w:numFmt w:val="decimal"/>
      <w:start w:val="1"/>
    </w:lvl>
  </w:abstractNum>
  <w:abstractNum w:abstractNumId="49">
    <w:nsid w:val="51D9C564"/>
    <w:multiLevelType w:val="hybridMultilevel"/>
    <w:lvl w:ilvl="0">
      <w:lvlJc w:val="left"/>
      <w:lvlText w:val="%1."/>
      <w:numFmt w:val="decimal"/>
      <w:start w:val="3"/>
    </w:lvl>
  </w:abstractNum>
  <w:abstractNum w:abstractNumId="50">
    <w:nsid w:val="613EFDC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1">
    <w:nsid w:val="BF72B14"/>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
    </w:lvl>
  </w:abstractNum>
  <w:abstractNum w:abstractNumId="52">
    <w:nsid w:val="11447B73"/>
    <w:multiLevelType w:val="hybridMultilevel"/>
    <w:lvl w:ilvl="0">
      <w:lvlJc w:val="left"/>
      <w:lvlText w:val="%1."/>
      <w:numFmt w:val="decimal"/>
      <w:start w:val="8"/>
    </w:lvl>
    <w:lvl w:ilvl="1">
      <w:lvlJc w:val="left"/>
      <w:lvlText w:val="(%2)"/>
      <w:numFmt w:val="lowerLetter"/>
      <w:start w:val="1"/>
    </w:lvl>
  </w:abstractNum>
  <w:abstractNum w:abstractNumId="53">
    <w:nsid w:val="42963E5A"/>
    <w:multiLevelType w:val="hybridMultilevel"/>
    <w:lvl w:ilvl="0">
      <w:lvlJc w:val="left"/>
      <w:lvlText w:val="%1"/>
      <w:numFmt w:val="decimal"/>
      <w:start w:val="1"/>
    </w:lvl>
    <w:lvl w:ilvl="1">
      <w:lvlJc w:val="left"/>
      <w:lvlText w:val="(%2)"/>
      <w:numFmt w:val="lowerLetter"/>
      <w:start w:val="3"/>
    </w:lvl>
  </w:abstractNum>
  <w:abstractNum w:abstractNumId="54">
    <w:nsid w:val="A0382C5"/>
    <w:multiLevelType w:val="hybridMultilevel"/>
    <w:lvl w:ilvl="0">
      <w:lvlJc w:val="left"/>
      <w:lvlText w:val="%1."/>
      <w:numFmt w:val="decimal"/>
      <w:start w:val="10"/>
    </w:lvl>
    <w:lvl w:ilvl="1">
      <w:lvlJc w:val="left"/>
      <w:lvlText w:val="%2"/>
      <w:numFmt w:val="lowerLetter"/>
      <w:start w:val="1"/>
    </w:lvl>
  </w:abstractNum>
  <w:abstractNum w:abstractNumId="55">
    <w:nsid w:val="8F2B15E"/>
    <w:multiLevelType w:val="hybridMultilevel"/>
    <w:lvl w:ilvl="0">
      <w:lvlJc w:val="left"/>
      <w:lvlText w:val="(%1)"/>
      <w:numFmt w:val="decimal"/>
      <w:start w:val="24"/>
    </w:lvl>
    <w:lvl w:ilvl="1">
      <w:lvlJc w:val="left"/>
      <w:lvlText w:val="%2."/>
      <w:numFmt w:val="decimal"/>
      <w:start w:val="13"/>
    </w:lvl>
  </w:abstractNum>
  <w:abstractNum w:abstractNumId="56">
    <w:nsid w:val="1A32234B"/>
    <w:multiLevelType w:val="hybridMultilevel"/>
    <w:lvl w:ilvl="0">
      <w:lvlJc w:val="left"/>
      <w:lvlText w:val="%1."/>
      <w:numFmt w:val="decimal"/>
      <w:start w:val="14"/>
    </w:lvl>
  </w:abstractNum>
  <w:abstractNum w:abstractNumId="57">
    <w:nsid w:val="3B0FD379"/>
    <w:multiLevelType w:val="hybridMultilevel"/>
    <w:lvl w:ilvl="0">
      <w:lvlJc w:val="left"/>
      <w:lvlText w:val="(%1)"/>
      <w:numFmt w:val="lowerLetter"/>
      <w:start w:val="1"/>
    </w:lvl>
  </w:abstractNum>
  <w:abstractNum w:abstractNumId="58">
    <w:nsid w:val="68EB2F63"/>
    <w:multiLevelType w:val="hybridMultilevel"/>
    <w:lvl w:ilvl="0">
      <w:lvlJc w:val="left"/>
      <w:lvlText w:val="%1."/>
      <w:numFmt w:val="decimal"/>
      <w:start w:val="15"/>
    </w:lvl>
  </w:abstractNum>
  <w:abstractNum w:abstractNumId="59">
    <w:nsid w:val="4962813B"/>
    <w:multiLevelType w:val="hybridMultilevel"/>
    <w:lvl w:ilvl="0">
      <w:lvlJc w:val="left"/>
      <w:lvlText w:val="%1."/>
      <w:numFmt w:val="decimal"/>
      <w:start w:val="16"/>
    </w:lvl>
  </w:abstractNum>
  <w:abstractNum w:abstractNumId="60">
    <w:nsid w:val="60B6DF70"/>
    <w:multiLevelType w:val="hybridMultilevel"/>
    <w:lvl w:ilvl="0">
      <w:lvlJc w:val="left"/>
      <w:lvlText w:val="%1."/>
      <w:numFmt w:val="upperLetter"/>
      <w:start w:val="9"/>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1."/>
      <w:numFmt w:val="upperLetter"/>
      <w:start w:val="35"/>
    </w:lvl>
  </w:abstractNum>
  <w:abstractNum w:abstractNumId="63">
    <w:nsid w:val="7FFFCA11"/>
    <w:multiLevelType w:val="hybridMultilevel"/>
    <w:lvl w:ilvl="0">
      <w:lvlJc w:val="left"/>
      <w:lvlText w:val="%1."/>
      <w:numFmt w:val="upperLetter"/>
      <w:start w:val="61"/>
    </w:lvl>
    <w:lvl w:ilvl="1">
      <w:lvlJc w:val="left"/>
      <w:lvlText w:val="%2."/>
      <w:numFmt w:val="upperLetter"/>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1."/>
      <w:numFmt w:val="upperLetter"/>
      <w:start w:val="22"/>
    </w:lvl>
    <w:lvl w:ilvl="1">
      <w:lvlJc w:val="left"/>
      <w:lvlText w:val="%2."/>
      <w:numFmt w:val="upperLetter"/>
      <w:start w:val="1"/>
    </w:lvl>
  </w:abstractNum>
  <w:abstractNum w:abstractNumId="67">
    <w:nsid w:val="7FB7E0AA"/>
    <w:multiLevelType w:val="hybridMultilevel"/>
    <w:lvl w:ilvl="0">
      <w:lvlJc w:val="left"/>
      <w:lvlText w:val="%1."/>
      <w:numFmt w:val="upperLetter"/>
      <w:start w:val="3"/>
    </w:lvl>
  </w:abstractNum>
  <w:abstractNum w:abstractNumId="68">
    <w:nsid w:val="6EB5BD4"/>
    <w:multiLevelType w:val="hybridMultilevel"/>
    <w:lvl w:ilvl="0">
      <w:lvlJc w:val="left"/>
      <w:lvlText w:val="%1."/>
      <w:numFmt w:val="upperLetter"/>
      <w:start w:val="1"/>
    </w:lvl>
    <w:lvl w:ilvl="1">
      <w:lvlJc w:val="left"/>
      <w:lvlText w:val="•"/>
      <w:numFmt w:val="bullet"/>
      <w:start w:val="1"/>
    </w:lvl>
  </w:abstractNum>
  <w:abstractNum w:abstractNumId="69">
    <w:nsid w:val="6F6DD9AC"/>
    <w:multiLevelType w:val="hybridMultilevel"/>
    <w:lvl w:ilvl="0">
      <w:lvlJc w:val="left"/>
      <w:lvlText w:val="%1."/>
      <w:numFmt w:val="upperLetter"/>
      <w:start w:val="1"/>
    </w:lvl>
    <w:lvl w:ilvl="1">
      <w:lvlJc w:val="left"/>
      <w:lvlText w:val="•"/>
      <w:numFmt w:val="bullet"/>
      <w:start w:val="1"/>
    </w:lvl>
  </w:abstractNum>
  <w:abstractNum w:abstractNumId="70">
    <w:nsid w:val="94211F2"/>
    <w:multiLevelType w:val="hybridMultilevel"/>
    <w:lvl w:ilvl="0">
      <w:lvlJc w:val="left"/>
      <w:lvlText w:val="%1."/>
      <w:numFmt w:val="upperLetter"/>
      <w:start w:val="24"/>
    </w:lvl>
    <w:lvl w:ilvl="1">
      <w:lvlJc w:val="left"/>
      <w:lvlText w:val="%2."/>
      <w:numFmt w:val="upperLetter"/>
      <w:start w:val="1"/>
    </w:lvl>
  </w:abstractNum>
  <w:abstractNum w:abstractNumId="71">
    <w:nsid w:val="885E1B"/>
    <w:multiLevelType w:val="hybridMultilevel"/>
    <w:lvl w:ilvl="0">
      <w:lvlJc w:val="left"/>
      <w:lvlText w:val="%1."/>
      <w:numFmt w:val="upperLetter"/>
      <w:start w:val="1"/>
    </w:lvl>
  </w:abstractNum>
  <w:abstractNum w:abstractNumId="72">
    <w:nsid w:val="76272110"/>
    <w:multiLevelType w:val="hybridMultilevel"/>
    <w:lvl w:ilvl="0">
      <w:lvlJc w:val="left"/>
      <w:lvlText w:val="%1."/>
      <w:numFmt w:val="upperLetter"/>
      <w:start w:val="9"/>
    </w:lvl>
  </w:abstractNum>
  <w:abstractNum w:abstractNumId="73">
    <w:nsid w:val="4C04A8AF"/>
    <w:multiLevelType w:val="hybridMultilevel"/>
    <w:lvl w:ilvl="0">
      <w:lvlJc w:val="left"/>
      <w:lvlText w:val="%1."/>
      <w:numFmt w:val="upperLetter"/>
      <w:start w:val="35"/>
    </w:lvl>
  </w:abstractNum>
  <w:abstractNum w:abstractNumId="74">
    <w:nsid w:val="1716703B"/>
    <w:multiLevelType w:val="hybridMultilevel"/>
    <w:lvl w:ilvl="0">
      <w:lvlJc w:val="left"/>
      <w:lvlText w:val="%1."/>
      <w:numFmt w:val="upperLetter"/>
      <w:start w:val="61"/>
    </w:lvl>
  </w:abstractNum>
  <w:abstractNum w:abstractNumId="75">
    <w:nsid w:val="14E17E33"/>
    <w:multiLevelType w:val="hybridMultilevel"/>
    <w:lvl w:ilvl="0">
      <w:lvlJc w:val="left"/>
      <w:lvlText w:val="%1."/>
      <w:numFmt w:val="upperLetter"/>
      <w:start w:val="22"/>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1."/>
      <w:numFmt w:val="upperLetter"/>
      <w:start w:val="24"/>
    </w:lvl>
  </w:abstractNum>
  <w:abstractNum w:abstractNumId="80">
    <w:nsid w:val="46B7D44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81">
    <w:nsid w:val="4A2AC315"/>
    <w:multiLevelType w:val="hybridMultilevel"/>
    <w:lvl w:ilvl="0">
      <w:lvlJc w:val="left"/>
      <w:lvlText w:val="%1."/>
      <w:numFmt w:val="decimal"/>
      <w:start w:val="3"/>
    </w:lvl>
  </w:abstractNum>
  <w:abstractNum w:abstractNumId="82">
    <w:nsid w:val="39EE015C"/>
    <w:multiLevelType w:val="hybridMultilevel"/>
    <w:lvl w:ilvl="0">
      <w:lvlJc w:val="left"/>
      <w:lvlText w:val="%1."/>
      <w:numFmt w:val="decimal"/>
      <w:start w:val="1"/>
    </w:lvl>
  </w:abstractNum>
  <w:abstractNum w:abstractNumId="83">
    <w:nsid w:val="57FC4FBB"/>
    <w:multiLevelType w:val="hybridMultilevel"/>
    <w:lvl w:ilvl="0">
      <w:lvlJc w:val="left"/>
      <w:lvlText w:val="%1"/>
      <w:numFmt w:val="upperLetter"/>
      <w:start w:val="1"/>
    </w:lvl>
    <w:lvl w:ilvl="1">
      <w:lvlJc w:val="left"/>
      <w:lvlText w:val="%2."/>
      <w:numFmt w:val="decimal"/>
      <w:start w:val="3"/>
    </w:lvl>
  </w:abstractNum>
  <w:abstractNum w:abstractNumId="84">
    <w:nsid w:val="CC1016F"/>
    <w:multiLevelType w:val="hybridMultilevel"/>
    <w:lvl w:ilvl="0">
      <w:lvlJc w:val="left"/>
      <w:lvlText w:val="%1."/>
      <w:numFmt w:val="upperLetter"/>
      <w:start w:val="3"/>
    </w:lvl>
    <w:lvl w:ilvl="1">
      <w:lvlJc w:val="left"/>
      <w:lvlText w:val="%2"/>
      <w:numFmt w:val="decimal"/>
      <w:start w:val="1"/>
    </w:lvl>
  </w:abstractNum>
  <w:abstractNum w:abstractNumId="85">
    <w:nsid w:val="43F18422"/>
    <w:multiLevelType w:val="hybridMultilevel"/>
    <w:lvl w:ilvl="0">
      <w:lvlJc w:val="left"/>
      <w:lvlText w:val="•"/>
      <w:numFmt w:val="bullet"/>
      <w:start w:val="1"/>
    </w:lvl>
  </w:abstractNum>
  <w:abstractNum w:abstractNumId="86">
    <w:nsid w:val="60EF0119"/>
    <w:multiLevelType w:val="hybridMultilevel"/>
    <w:lvl w:ilvl="0">
      <w:lvlJc w:val="left"/>
      <w:lvlText w:val="%1."/>
      <w:numFmt w:val="decimal"/>
      <w:start w:val="1"/>
    </w:lvl>
    <w:lvl w:ilvl="1">
      <w:lvlJc w:val="left"/>
      <w:lvlText w:val="%2."/>
      <w:numFmt w:val="lowerLetter"/>
      <w:start w:val="1"/>
    </w:lvl>
  </w:abstractNum>
  <w:abstractNum w:abstractNumId="87">
    <w:nsid w:val="26F324BA"/>
    <w:multiLevelType w:val="hybridMultilevel"/>
    <w:lvl w:ilvl="0">
      <w:lvlJc w:val="left"/>
      <w:lvlText w:val="%1."/>
      <w:numFmt w:val="decimal"/>
      <w:start w:val="1"/>
    </w:lvl>
    <w:lvl w:ilvl="1">
      <w:lvlJc w:val="left"/>
      <w:lvlText w:val="%2."/>
      <w:numFmt w:val="lowerLetter"/>
      <w:start w:val="1"/>
    </w:lvl>
  </w:abstractNum>
  <w:abstractNum w:abstractNumId="88">
    <w:nsid w:val="7F01579B"/>
    <w:multiLevelType w:val="hybridMultilevel"/>
    <w:lvl w:ilvl="0">
      <w:lvlJc w:val="left"/>
      <w:lvlText w:val="%1."/>
      <w:numFmt w:val="decimal"/>
      <w:start w:val="1"/>
    </w:lvl>
    <w:lvl w:ilvl="1">
      <w:lvlJc w:val="left"/>
      <w:lvlText w:val="%2."/>
      <w:numFmt w:val="lowerLetter"/>
      <w:start w:val="1"/>
    </w:lvl>
  </w:abstractNum>
  <w:abstractNum w:abstractNumId="89">
    <w:nsid w:val="49DA307D"/>
    <w:multiLevelType w:val="hybridMultilevel"/>
    <w:lvl w:ilvl="0">
      <w:lvlJc w:val="left"/>
      <w:lvlText w:val="%1."/>
      <w:numFmt w:val="decimal"/>
      <w:start w:val="1"/>
    </w:lvl>
  </w:abstractNum>
  <w:abstractNum w:abstractNumId="90">
    <w:nsid w:val="7055A5F5"/>
    <w:multiLevelType w:val="hybridMultilevel"/>
    <w:lvl w:ilvl="0">
      <w:lvlJc w:val="left"/>
      <w:lvlText w:val="%1."/>
      <w:numFmt w:val="decimal"/>
      <w:start w:val="2"/>
    </w:lvl>
  </w:abstractNum>
  <w:abstractNum w:abstractNumId="91">
    <w:nsid w:val="5FB8370B"/>
    <w:multiLevelType w:val="hybridMultilevel"/>
    <w:lvl w:ilvl="0">
      <w:lvlJc w:val="left"/>
      <w:lvlText w:val="%1."/>
      <w:numFmt w:val="decimal"/>
      <w:start w:val="3"/>
    </w:lvl>
  </w:abstractNum>
  <w:abstractNum w:abstractNumId="92">
    <w:nsid w:val="50801EE1"/>
    <w:multiLevelType w:val="hybridMultilevel"/>
    <w:lvl w:ilvl="0">
      <w:lvlJc w:val="left"/>
      <w:lvlText w:val="%1."/>
      <w:numFmt w:val="decimal"/>
      <w:start w:val="4"/>
    </w:lvl>
  </w:abstractNum>
  <w:abstractNum w:abstractNumId="93">
    <w:nsid w:val="488AC1A"/>
    <w:multiLevelType w:val="hybridMultilevel"/>
    <w:lvl w:ilvl="0">
      <w:lvlJc w:val="left"/>
      <w:lvlText w:val="(%1)"/>
      <w:numFmt w:val="lowerRoman"/>
      <w:start w:val="1"/>
    </w:lvl>
  </w:abstractNum>
  <w:abstractNum w:abstractNumId="94">
    <w:nsid w:val="5FB8011C"/>
    <w:multiLevelType w:val="hybridMultilevel"/>
    <w:lvl w:ilvl="0">
      <w:lvlJc w:val="left"/>
      <w:lvlText w:val="•"/>
      <w:numFmt w:val="bullet"/>
      <w:start w:val="1"/>
    </w:lvl>
  </w:abstractNum>
  <w:abstractNum w:abstractNumId="95">
    <w:nsid w:val="6AA78F7F"/>
    <w:multiLevelType w:val="hybridMultilevel"/>
    <w:lvl w:ilvl="0">
      <w:lvlJc w:val="left"/>
      <w:lvlText w:val="•"/>
      <w:numFmt w:val="bullet"/>
      <w:start w:val="1"/>
    </w:lvl>
  </w:abstractNum>
  <w:abstractNum w:abstractNumId="96">
    <w:nsid w:val="7672BD23"/>
    <w:multiLevelType w:val="hybridMultilevel"/>
    <w:lvl w:ilvl="0">
      <w:lvlJc w:val="left"/>
      <w:lvlText w:val="%1."/>
      <w:numFmt w:val="decimal"/>
      <w:start w:val="5"/>
    </w:lvl>
  </w:abstractNum>
  <w:abstractNum w:abstractNumId="97">
    <w:nsid w:val="6FC75AF8"/>
    <w:multiLevelType w:val="hybridMultilevel"/>
    <w:lvl w:ilvl="0">
      <w:lvlJc w:val="left"/>
      <w:lvlText w:val="%1."/>
      <w:numFmt w:val="decimal"/>
      <w:start w:val="6"/>
    </w:lvl>
  </w:abstractNum>
  <w:abstractNum w:abstractNumId="98">
    <w:nsid w:val="6A5F7029"/>
    <w:multiLevelType w:val="hybridMultilevel"/>
    <w:lvl w:ilvl="0">
      <w:lvlJc w:val="left"/>
      <w:lvlText w:val="%1"/>
      <w:numFmt w:val="decimal"/>
      <w:start w:val="1"/>
    </w:lvl>
    <w:lvl w:ilvl="1">
      <w:lvlJc w:val="left"/>
      <w:lvlText w:val="(%2)"/>
      <w:numFmt w:val="lowerRoman"/>
      <w:start w:val="1"/>
    </w:lvl>
  </w:abstractNum>
  <w:abstractNum w:abstractNumId="99">
    <w:nsid w:val="7D5E18F8"/>
    <w:multiLevelType w:val="hybridMultilevel"/>
    <w:lvl w:ilvl="0">
      <w:lvlJc w:val="left"/>
      <w:lvlText w:val="%1."/>
      <w:numFmt w:val="decimal"/>
      <w:start w:val="7"/>
    </w:lvl>
    <w:lvl w:ilvl="1">
      <w:lvlJc w:val="left"/>
      <w:lvlText w:val="%2"/>
      <w:numFmt w:val="lowerRoman"/>
      <w:start w:val="1"/>
    </w:lvl>
  </w:abstractNum>
  <w:abstractNum w:abstractNumId="100">
    <w:nsid w:val="5F3534A4"/>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57" Type="http://schemas.openxmlformats.org/officeDocument/2006/relationships/hyperlink" Target="https://www.sec.gov/ix?doc=/Archives/edgar/data/1591698/000159169823000115/pcty-20230630.htm" TargetMode="External"/><Relationship Id="rId77" Type="http://schemas.openxmlformats.org/officeDocument/2006/relationships/hyperlink" Target="https://www.sec.gov/Archives/edgar/data/1591698/000159169823000278/pcty-20231130xexhibit31.htm" TargetMode="External"/><Relationship Id="rId78" Type="http://schemas.openxmlformats.org/officeDocument/2006/relationships/hyperlink" Target="https://www.sec.gov/Archives/edgar/data/1591698/000159169823000278/pcty-20231130xexhibit32.htm" TargetMode="External"/><Relationship Id="rId79" Type="http://schemas.openxmlformats.org/officeDocument/2006/relationships/hyperlink" Target="https://www.sec.gov/Archives/edgar/data/1591698/000104746914000464/a2218017zex-4_1.htm" TargetMode="External"/><Relationship Id="rId80" Type="http://schemas.openxmlformats.org/officeDocument/2006/relationships/hyperlink" Target="https://www.sec.gov/Archives/edgar/data/1591698/000104746914000464/a2218017zex-10_2.htm" TargetMode="External"/><Relationship Id="rId81" Type="http://schemas.openxmlformats.org/officeDocument/2006/relationships/hyperlink" Target="https://www.sec.gov/Archives/edgar/data/1591698/000104746914000931/a2218171zex-10_4.htm" TargetMode="External"/><Relationship Id="rId82" Type="http://schemas.openxmlformats.org/officeDocument/2006/relationships/hyperlink" Target="https://www.sec.gov/Archives/edgar/data/0001591698/000110465920096509/tm2027535d1_ex10-1.htm" TargetMode="External"/><Relationship Id="rId83" Type="http://schemas.openxmlformats.org/officeDocument/2006/relationships/hyperlink" Target="https://www.sec.gov/Archives/edgar/data/1591698/000159169822000064/pcty-20220331x10qex105.htm" TargetMode="External"/><Relationship Id="rId84" Type="http://schemas.openxmlformats.org/officeDocument/2006/relationships/hyperlink" Target="https://www.sec.gov/Archives/edgar/data/1591698/000159169823000278/pcty-20231130xex1012023equ.htm" TargetMode="External"/><Relationship Id="rId85" Type="http://schemas.openxmlformats.org/officeDocument/2006/relationships/hyperlink" Target="https://www.sec.gov/Archives/edgar/data/1591698/000159169823000278/pcty-20231130xex102executi.htm" TargetMode="External"/><Relationship Id="rId86" Type="http://schemas.openxmlformats.org/officeDocument/2006/relationships/hyperlink" Target="https://www.sec.gov/Archives/edgar/data/1591698/000159169823000278/pcty-20231130xex103msuform.htm" TargetMode="External"/><Relationship Id="rId87" Type="http://schemas.openxmlformats.org/officeDocument/2006/relationships/hyperlink" Target="https://www.sec.gov/Archives/edgar/data/1591698/000104746914000931/a2218171zex-10_9.htm" TargetMode="External"/><Relationship Id="rId88" Type="http://schemas.openxmlformats.org/officeDocument/2006/relationships/hyperlink" Target="https://www.sec.gov/Archives/edgar/data/1591698/000104746914000931/a2218171zex-10_5.htm" TargetMode="External"/><Relationship Id="rId89" Type="http://schemas.openxmlformats.org/officeDocument/2006/relationships/hyperlink" Target="https://www.sec.gov/Archives/edgar/data/1591698/000159169822000094/pcty-20220630xexx1011.htm" TargetMode="External"/><Relationship Id="rId90" Type="http://schemas.openxmlformats.org/officeDocument/2006/relationships/hyperlink" Target="https://www.sec.gov/Archives/edgar/data/1591698/000159169822000045/pcty-202203118xkexhibit101.htm" TargetMode="External"/><Relationship Id="rId91" Type="http://schemas.openxmlformats.org/officeDocument/2006/relationships/hyperlink" Target="https://www.sec.gov/Archives/edgar/data/1591698/000159169822000045/pcty-202203118xkexhibit102.htm" TargetMode="External"/><Relationship Id="rId92" Type="http://schemas.openxmlformats.org/officeDocument/2006/relationships/hyperlink" Target="https://www.sec.gov/Archives/edgar/data/1591698/000159169823000115/pcty-20230630xexx1015.htm" TargetMode="External"/><Relationship Id="rId95" Type="http://schemas.openxmlformats.org/officeDocument/2006/relationships/hyperlink" Target="https://www.sec.gov/Archives/edgar/data/1591698/000110465916125126/a16-12426_1ex10d1.htm" TargetMode="External"/><Relationship Id="rId96" Type="http://schemas.openxmlformats.org/officeDocument/2006/relationships/hyperlink" Target="https://www.sec.gov/Archives/edgar/data/1591698/000159169824000014/pcty-20231231x10qex104.htm" TargetMode="External"/><Relationship Id="rId97" Type="http://schemas.openxmlformats.org/officeDocument/2006/relationships/hyperlink" Target="https://www.sec.gov/Archives/edgar/data/0001591698/000110465921111860/tm2126413d1_ex10-1.htm" TargetMode="External"/><Relationship Id="rId98" Type="http://schemas.openxmlformats.org/officeDocument/2006/relationships/hyperlink" Target="https://www.sec.gov/Archives/edgar/data/0001591698/000110465919040751/a19-12817_1ex10d1.htm" TargetMode="External"/><Relationship Id="rId99" Type="http://schemas.openxmlformats.org/officeDocument/2006/relationships/hyperlink" Target="https://www.sec.gov/Archives/edgar/data/1591698/000159169822000144/pcty-202208198k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2024-08-02T09:07:18Z</dcterms:created>
  <dcterms:modified xsi:type="dcterms:W3CDTF">2024-08-02T09:07:18Z</dcterms:modified>
</cp:coreProperties>
</file>