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8.jpeg" ContentType="image/jpeg"/>
  <Override PartName="/word/media/image67.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16.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UNITED STATES</w:t>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SECURITIES AND EXCHANGE COMMISSION</w:t>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Washington, D.C. 20549</w:t>
      </w:r>
    </w:p>
    <w:p>
      <w:pPr>
        <w:pStyle w:val="TextBody"/>
        <w:bidi w:val="0"/>
        <w:spacing w:before="0" w:after="0"/>
        <w:jc w:val="left"/>
        <w:rPr/>
      </w:pPr>
      <w:r>
        <w:rPr/>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SCHEDULE 14A</w:t>
      </w:r>
    </w:p>
    <w:p>
      <w:pPr>
        <w:pStyle w:val="TextBody"/>
        <w:bidi w:val="0"/>
        <w:spacing w:before="0" w:after="0"/>
        <w:jc w:val="left"/>
        <w:rPr/>
      </w:pPr>
      <w:r>
        <w:rPr/>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Proxy Statement Pursuant to Section 14(a) of the</w:t>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Securities Exchange Act of 1934 (Amendment No. )</w:t>
      </w:r>
    </w:p>
    <w:p>
      <w:pPr>
        <w:pStyle w:val="TextBody"/>
        <w:bidi w:val="0"/>
        <w:spacing w:before="0" w:after="0"/>
        <w:jc w:val="center"/>
        <w:rPr/>
      </w:pPr>
      <w:r>
        <w:rPr/>
      </w:r>
    </w:p>
    <w:tbl>
      <w:tblPr>
        <w:tblW w:w="80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56"/>
        <w:gridCol w:w="756"/>
        <w:gridCol w:w="759"/>
        <w:gridCol w:w="114"/>
        <w:gridCol w:w="114"/>
        <w:gridCol w:w="114"/>
        <w:gridCol w:w="114"/>
        <w:gridCol w:w="114"/>
        <w:gridCol w:w="114"/>
        <w:gridCol w:w="114"/>
        <w:gridCol w:w="114"/>
        <w:gridCol w:w="114"/>
        <w:gridCol w:w="1204"/>
        <w:gridCol w:w="1204"/>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Filed by the Registrant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Filed by a Party other than the 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CHECK THE APPROPRIATE BOX:</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Preliminary Proxy Statement</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Confidential, For Use of the Commission Only (as permitted by Rule 14a-6(e)(2))</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Definitive Proxy Statement</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Definitive Additional Materials</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Soliciting Material Under Rule 14a-12</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23812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71500"/>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312" w:before="0" w:after="0"/>
        <w:jc w:val="center"/>
        <w:rPr>
          <w:rFonts w:ascii="ITC Avant Garde Pro Md;sans-serif" w:hAnsi="ITC Avant Garde Pro Md;sans-serif"/>
          <w:b/>
          <w:color w:val="313D48"/>
          <w:sz w:val="28"/>
        </w:rPr>
      </w:pPr>
      <w:r>
        <w:rPr>
          <w:rFonts w:ascii="ITC Avant Garde Pro Md;sans-serif" w:hAnsi="ITC Avant Garde Pro Md;sans-serif"/>
          <w:b/>
          <w:color w:val="313D48"/>
          <w:sz w:val="28"/>
        </w:rPr>
        <w:t>Paylocity Holding Corporation</w:t>
      </w:r>
    </w:p>
    <w:p>
      <w:pPr>
        <w:pStyle w:val="TextBody"/>
        <w:bidi w:val="0"/>
        <w:spacing w:before="0" w:after="0"/>
        <w:jc w:val="center"/>
        <w:rPr/>
      </w:pPr>
      <w:r>
        <w:rPr/>
      </w:r>
    </w:p>
    <w:p>
      <w:pPr>
        <w:pStyle w:val="TextBody"/>
        <w:bidi w:val="0"/>
        <w:spacing w:lineRule="auto" w:line="312" w:before="0" w:after="0"/>
        <w:jc w:val="center"/>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(Name of Registrant as Specified In Its Charter)</w:t>
      </w:r>
    </w:p>
    <w:p>
      <w:pPr>
        <w:pStyle w:val="TextBody"/>
        <w:bidi w:val="0"/>
        <w:spacing w:lineRule="auto" w:line="312" w:before="0" w:after="0"/>
        <w:jc w:val="center"/>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(Name of Person(s) Filing Proxy Statement, if Other Than the Registrant)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69"/>
        <w:gridCol w:w="269"/>
        <w:gridCol w:w="269"/>
        <w:gridCol w:w="269"/>
        <w:gridCol w:w="784"/>
        <w:gridCol w:w="767"/>
        <w:gridCol w:w="767"/>
        <w:gridCol w:w="767"/>
        <w:gridCol w:w="767"/>
        <w:gridCol w:w="767"/>
        <w:gridCol w:w="767"/>
        <w:gridCol w:w="767"/>
        <w:gridCol w:w="767"/>
        <w:gridCol w:w="475"/>
        <w:gridCol w:w="475"/>
        <w:gridCol w:w="684"/>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PAYMENT OF FILING FEE (CHECK THE APPROPRIATE BOX):</w:t>
            </w:r>
          </w:p>
        </w:tc>
      </w:tr>
      <w:tr>
        <w:trPr/>
        <w:tc>
          <w:tcPr>
            <w:tcW w:w="8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8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0" w:type="dxa"/>
            <w:gridSpan w:val="9"/>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No fee required.</w:t>
            </w:r>
          </w:p>
        </w:tc>
        <w:tc>
          <w:tcPr>
            <w:tcW w:w="16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313D48"/>
              </w:rPr>
            </w:pPr>
            <w:r>
              <w:rPr>
                <w:color w:val="313D48"/>
              </w:rPr>
              <w:t>☐</w:t>
            </w:r>
          </w:p>
        </w:tc>
        <w:tc>
          <w:tcPr>
            <w:tcW w:w="8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0" w:type="dxa"/>
            <w:gridSpan w:val="9"/>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Fee paid previously with preliminary materials</w:t>
            </w:r>
          </w:p>
        </w:tc>
        <w:tc>
          <w:tcPr>
            <w:tcW w:w="1634"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color w:val="313D48"/>
              </w:rPr>
            </w:pPr>
            <w:r>
              <w:rPr>
                <w:color w:val="313D48"/>
              </w:rPr>
              <w:t>☐</w:t>
            </w:r>
          </w:p>
        </w:tc>
        <w:tc>
          <w:tcPr>
            <w:tcW w:w="80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4" w:type="dxa"/>
            <w:gridSpan w:val="1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8"/>
              </w:rPr>
            </w:pPr>
            <w:r>
              <w:rPr>
                <w:rFonts w:ascii="ITC Avant Garde Pro Md;sans-serif" w:hAnsi="ITC Avant Garde Pro Md;sans-serif"/>
                <w:b w:val="false"/>
                <w:color w:val="313D48"/>
                <w:sz w:val="18"/>
              </w:rPr>
              <w:t>Fee computed on table in exhibit required by Item 25(b) per Exchange Act Rules 14a-6(i)(1) and 0-11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before="0" w:after="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Letter to</w:t>
        <w:br/>
        <w:t>Stockholders</w:t>
      </w:r>
    </w:p>
    <w:p>
      <w:pPr>
        <w:pStyle w:val="TextBody"/>
        <w:bidi w:val="0"/>
        <w:spacing w:lineRule="auto" w:line="312" w:before="120" w:after="120"/>
        <w:jc w:val="left"/>
        <w:rPr>
          <w:rFonts w:ascii="ITC Avant Garde Pro Bk;sans-serif" w:hAnsi="ITC Avant Garde Pro Bk;sans-serif"/>
          <w:b/>
          <w:color w:val="313D48"/>
          <w:sz w:val="20"/>
        </w:rPr>
      </w:pPr>
      <w:r>
        <w:rPr>
          <w:rFonts w:ascii="ITC Avant Garde Pro Bk;sans-serif" w:hAnsi="ITC Avant Garde Pro Bk;sans-serif"/>
          <w:b/>
          <w:color w:val="313D48"/>
          <w:sz w:val="20"/>
        </w:rPr>
        <w:t>October 22, 2026</w:t>
      </w:r>
    </w:p>
    <w:p>
      <w:pPr>
        <w:pStyle w:val="TextBody"/>
        <w:bidi w:val="0"/>
        <w:spacing w:lineRule="auto" w:line="312" w:before="120" w:after="120"/>
        <w:jc w:val="left"/>
        <w:rPr>
          <w:rFonts w:ascii="ITC Avant Garde Pro Bk;sans-serif" w:hAnsi="ITC Avant Garde Pro Bk;sans-serif"/>
          <w:b/>
          <w:color w:val="F78D2D"/>
          <w:sz w:val="24"/>
        </w:rPr>
      </w:pPr>
      <w:r>
        <w:rPr>
          <w:rFonts w:ascii="ITC Avant Garde Pro Bk;sans-serif" w:hAnsi="ITC Avant Garde Pro Bk;sans-serif"/>
          <w:b/>
          <w:color w:val="F78D2D"/>
          <w:sz w:val="24"/>
        </w:rPr>
        <w:t>Dear Stockholder:</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You are cordially invited to attend this year’s Annual Meeting of Stockholders of Paylocity Holding Corporation on December 3, 2026, at 8:30 a.m. Central Time. The Annual Meeting of Stockholders will be conducted virtually via a live webcast. You will be able to listen to the Annual Meeting of Stockholders, submit your questions, and vote during the live webcast of the meeting by visiting </w:t>
      </w:r>
      <w:r>
        <w:rPr>
          <w:rFonts w:ascii="ITC Avant Garde Pro Md;sans-serif" w:hAnsi="ITC Avant Garde Pro Md;sans-serif"/>
          <w:b w:val="false"/>
          <w:color w:val="F78D2D"/>
          <w:sz w:val="17"/>
        </w:rPr>
        <w:t>http://www.virtualshareholdermeeting.com/PCTY2026</w:t>
      </w:r>
      <w:r>
        <w:rPr>
          <w:color w:val="F78D2D"/>
        </w:rPr>
        <w:t xml:space="preserve"> </w:t>
      </w:r>
      <w:r>
        <w:rPr>
          <w:rFonts w:ascii="ITC Avant Garde Pro Md;sans-serif" w:hAnsi="ITC Avant Garde Pro Md;sans-serif"/>
          <w:b w:val="false"/>
          <w:color w:val="313D48"/>
          <w:sz w:val="17"/>
        </w:rPr>
        <w:t xml:space="preserve">and entering the </w:t>
      </w:r>
      <w:r>
        <w:rPr>
          <w:rFonts w:ascii="ITC Avant Garde Pro Bk;sans-serif" w:hAnsi="ITC Avant Garde Pro Bk;sans-serif"/>
          <w:b/>
          <w:color w:val="F78D2D"/>
          <w:sz w:val="17"/>
        </w:rPr>
        <w:t>16-digit control number</w:t>
      </w:r>
      <w:r>
        <w:rPr>
          <w:color w:val="F78D2D"/>
        </w:rPr>
        <w:t xml:space="preserve"> </w:t>
      </w:r>
      <w:r>
        <w:rPr>
          <w:rFonts w:ascii="ITC Avant Garde Pro Md;sans-serif" w:hAnsi="ITC Avant Garde Pro Md;sans-serif"/>
          <w:b w:val="false"/>
          <w:color w:val="313D48"/>
          <w:sz w:val="17"/>
        </w:rPr>
        <w:t>included in our Notice of Internet Availability of Proxy Materials (the "Notice"), on your proxy card or in the instructions that accompanied your proxy materials.</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We are pleased to take advantage of the U.S. Securities and Exchange Commission rule that allows companies to furnish proxy materials primarily over the Internet. On or about October 22, 2026, we mailed to our stockholders the Notice containing instructions on how to access our proxy materials, including our Proxy Statement and Annual Report to Stockholders for the fiscal year ended June 30, 2026, over the Internet. The Notice also provides instructions on how to vote online or by telephone and includes instructions on how you can receive a paper copy of the proxy materials by mail. If you receive your annual meeting materials by mail, the Notice of Annual Meeting of Stockholders, Proxy Statement, 2026 Annual Report and proxy card will be enclosed. If you receive your proxy materials via e-mail, the e-mail will contain voting instructions and links to the Annual Report and Proxy Statement on the Internet, both of which are available at </w:t>
      </w:r>
      <w:r>
        <w:rPr>
          <w:rFonts w:ascii="ITC Avant Garde Pro Md;sans-serif" w:hAnsi="ITC Avant Garde Pro Md;sans-serif"/>
          <w:b w:val="false"/>
          <w:color w:val="F78D2D"/>
          <w:sz w:val="17"/>
        </w:rPr>
        <w:t>www.proxyvote.com</w:t>
      </w:r>
      <w:r>
        <w:rPr>
          <w:rFonts w:ascii="ITC Avant Garde Pro Md;sans-serif" w:hAnsi="ITC Avant Garde Pro Md;sans-serif"/>
          <w:b w:val="false"/>
          <w:color w:val="313D48"/>
          <w:sz w:val="17"/>
        </w:rPr>
        <w:t>.</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Details regarding admission to the Annual Meeting and the business to be conducted at the Annual Meeting are described in the accompanying Notice of Annual Meeting of Stockholders and Proxy Statement. Whether or not you plan to attend the meeting, your vote is very important, and we encourage you to vote promptly. You may vote by either marking, signing and returning the enclosed proxy card or using telephone or internet voting. For specific instructions on voting, please refer to the instructions on your enclosed proxy card. If you attend the virtual meeting, you will have the right to revoke the proxy and vote your shares during the meeting. If you hold your shares through an account with a brokerage firm, bank or other nominee, please follow the instructions you receive from your brokerage firm, bank or other nominee to vote your shares.</w:t>
      </w:r>
    </w:p>
    <w:p>
      <w:pPr>
        <w:pStyle w:val="TextBody"/>
        <w:bidi w:val="0"/>
        <w:spacing w:lineRule="auto" w:line="312" w:before="48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Sincerely,</w:t>
      </w:r>
    </w:p>
    <w:tbl>
      <w:tblPr>
        <w:tblW w:w="3285" w:type="dxa"/>
        <w:jc w:val="left"/>
        <w:tblInd w:w="0" w:type="dxa"/>
        <w:tblLayout w:type="fixed"/>
        <w:tblCellMar>
          <w:top w:w="28" w:type="dxa"/>
          <w:left w:w="28" w:type="dxa"/>
          <w:bottom w:w="28" w:type="dxa"/>
          <w:right w:w="28" w:type="dxa"/>
        </w:tblCellMar>
      </w:tblPr>
      <w:tblGrid>
        <w:gridCol w:w="1052"/>
        <w:gridCol w:w="924"/>
        <w:gridCol w:w="1309"/>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5429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14400" cy="542925"/>
                          </a:xfrm>
                          <a:prstGeom prst="rect">
                            <a:avLst/>
                          </a:prstGeom>
                        </pic:spPr>
                      </pic:pic>
                    </a:graphicData>
                  </a:graphic>
                </wp:inline>
              </w:drawing>
            </w:r>
            <w:bookmarkStart w:id="2" w:name="i-3"/>
            <w:bookmarkEnd w:id="2"/>
          </w:p>
        </w:tc>
      </w:tr>
      <w:tr>
        <w:trPr/>
        <w:tc>
          <w:tcPr>
            <w:tcW w:w="328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313D48"/>
                <w:sz w:val="17"/>
              </w:rPr>
            </w:pPr>
            <w:r>
              <w:rPr>
                <w:rFonts w:ascii="ITC Avant Garde Pro Bk;sans-serif" w:hAnsi="ITC Avant Garde Pro Bk;sans-serif"/>
                <w:b/>
                <w:color w:val="313D48"/>
                <w:sz w:val="17"/>
              </w:rPr>
              <w:t>Toby J. Williams</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28650"/>
                <wp:effectExtent l="0" t="0" r="0" b="0"/>
                <wp:wrapNone/>
                <wp:docPr id="6"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10"/>
        <w:jc w:val="left"/>
        <w:rPr/>
      </w:pPr>
      <w:r>
        <w:rPr/>
        <w:drawing>
          <wp:inline distT="0" distB="0" distL="0" distR="0">
            <wp:extent cx="714375" cy="1047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14375" cy="104775"/>
                    </a:xfrm>
                    <a:prstGeom prst="rect">
                      <a:avLst/>
                    </a:prstGeom>
                  </pic:spPr>
                </pic:pic>
              </a:graphicData>
            </a:graphic>
          </wp:inline>
        </w:drawing>
      </w:r>
      <w:bookmarkStart w:id="3" w:name="i-4"/>
      <w:bookmarkEnd w:id="3"/>
    </w:p>
    <w:p>
      <w:pPr>
        <w:pStyle w:val="TextBody"/>
        <w:bidi w:val="0"/>
        <w:spacing w:lineRule="auto" w:line="312" w:before="0" w:after="120"/>
        <w:jc w:val="left"/>
        <w:rPr/>
      </w:pPr>
      <w:hyperlink w:anchor="ibfd6b0483d1b4b30b74b2f1f409ac4ea_16">
        <w:r>
          <w:rPr>
            <w:rStyle w:val="InternetLink"/>
          </w:rPr>
          <w:t xml:space="preserve">Table </w:t>
        </w:r>
      </w:hyperlink>
      <w:hyperlink w:anchor="ibfd6b0483d1b4b30b74b2f1f409ac4ea_16">
        <w:r>
          <w:rPr>
            <w:rStyle w:val="InternetLink"/>
          </w:rPr>
          <w:t>of</w:t>
        </w:r>
      </w:hyperlink>
      <w:hyperlink w:anchor="ibfd6b0483d1b4b30b74b2f1f409ac4ea_16">
        <w:r>
          <w:rPr>
            <w:rStyle w:val="InternetLink"/>
          </w:rPr>
          <w:t xml:space="preserve"> Contents</w:t>
        </w:r>
      </w:hyperlink>
      <w:r>
        <w:rPr>
          <w:color w:val="313D48"/>
        </w:rPr>
        <w:t xml:space="preserve"> </w:t>
      </w:r>
    </w:p>
    <w:p>
      <w:pPr>
        <w:pStyle w:val="TextBody"/>
        <w:bidi w:val="0"/>
        <w:spacing w:before="120" w:after="283"/>
        <w:jc w:val="right"/>
        <w:rPr/>
      </w:pPr>
      <w:r>
        <w:rPr/>
      </w:r>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Notice of 2027 Annual Meeting of Stockholders</w:t>
      </w:r>
    </w:p>
    <w:tbl>
      <w:tblPr>
        <w:tblW w:w="10205" w:type="dxa"/>
        <w:jc w:val="left"/>
        <w:tblInd w:w="0" w:type="dxa"/>
        <w:tblLayout w:type="fixed"/>
        <w:tblCellMar>
          <w:top w:w="28" w:type="dxa"/>
          <w:left w:w="28" w:type="dxa"/>
          <w:bottom w:w="28" w:type="dxa"/>
          <w:right w:w="28" w:type="dxa"/>
        </w:tblCellMar>
      </w:tblPr>
      <w:tblGrid>
        <w:gridCol w:w="1650"/>
        <w:gridCol w:w="1456"/>
        <w:gridCol w:w="1350"/>
        <w:gridCol w:w="1786"/>
        <w:gridCol w:w="1639"/>
        <w:gridCol w:w="2324"/>
      </w:tblGrid>
      <w:tr>
        <w:trPr/>
        <w:tc>
          <w:tcPr>
            <w:tcW w:w="165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op w:val="single" w:sz="8" w:space="0" w:color="CEC8C2"/>
              <w:left w:val="single" w:sz="8" w:space="0" w:color="CEC8C2"/>
            </w:tcBorders>
            <w:shd w:fill="F2EEEA" w:val="clear"/>
            <w:tcMar>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top w:val="single" w:sz="8" w:space="0" w:color="CEC8C2"/>
              <w:right w:val="single" w:sz="8" w:space="0" w:color="CEC8C2"/>
            </w:tcBorders>
            <w:shd w:fill="F2EEEA"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left w:val="single" w:sz="8" w:space="0" w:color="CEC8C2"/>
            </w:tcBorders>
            <w:shd w:fill="F2EEEA" w:val="clear"/>
            <w:tcMar>
              <w:top w:w="0" w:type="dxa"/>
              <w:bottom w:w="0" w:type="dxa"/>
              <w:right w:w="0" w:type="dxa"/>
            </w:tcMar>
            <w:vAlign w:val="center"/>
          </w:tcPr>
          <w:p>
            <w:pPr>
              <w:pStyle w:val="TableContents"/>
              <w:bidi w:val="0"/>
              <w:spacing w:lineRule="auto" w:line="312" w:before="0" w:after="0"/>
              <w:jc w:val="left"/>
              <w:rPr/>
            </w:pPr>
            <w:r>
              <w:rPr/>
              <w:drawing>
                <wp:inline distT="0" distB="0" distL="0" distR="0">
                  <wp:extent cx="180975" cy="1809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80975" cy="180975"/>
                          </a:xfrm>
                          <a:prstGeom prst="rect">
                            <a:avLst/>
                          </a:prstGeom>
                        </pic:spPr>
                      </pic:pic>
                    </a:graphicData>
                  </a:graphic>
                </wp:inline>
              </w:drawing>
            </w:r>
            <w:bookmarkStart w:id="4" w:name="i-5"/>
            <w:bookmarkEnd w:id="4"/>
            <w:r>
              <w:rPr>
                <w:color w:val="313D48"/>
              </w:rPr>
              <w:t> </w:t>
            </w:r>
          </w:p>
        </w:tc>
        <w:tc>
          <w:tcPr>
            <w:tcW w:w="5749" w:type="dxa"/>
            <w:gridSpan w:val="3"/>
            <w:tcBorders>
              <w:right w:val="single" w:sz="8" w:space="0" w:color="CEC8C2"/>
            </w:tcBorders>
            <w:shd w:fill="F2EEEA" w:val="clear"/>
            <w:tcMar>
              <w:top w:w="0" w:type="dxa"/>
              <w:left w:w="0" w:type="dxa"/>
              <w:bottom w:w="0" w:type="dxa"/>
            </w:tcMar>
            <w:vAlign w:val="center"/>
          </w:tcPr>
          <w:p>
            <w:pPr>
              <w:pStyle w:val="TableContents"/>
              <w:bidi w:val="0"/>
              <w:spacing w:lineRule="auto" w:line="312" w:before="0" w:after="283"/>
              <w:jc w:val="left"/>
              <w:rPr>
                <w:rFonts w:ascii="ITC Avant Garde Pro Bk;sans-serif" w:hAnsi="ITC Avant Garde Pro Bk;sans-serif"/>
                <w:b/>
                <w:color w:val="F78D2D"/>
                <w:sz w:val="20"/>
              </w:rPr>
            </w:pPr>
            <w:r>
              <w:rPr>
                <w:rFonts w:ascii="ITC Avant Garde Pro Bk;sans-serif" w:hAnsi="ITC Avant Garde Pro Bk;sans-serif"/>
                <w:b/>
                <w:color w:val="F78D2D"/>
                <w:sz w:val="20"/>
              </w:rPr>
              <w:t>Date</w:t>
            </w:r>
          </w:p>
        </w:tc>
      </w:tr>
      <w:tr>
        <w:trPr/>
        <w:tc>
          <w:tcPr>
            <w:tcW w:w="10205" w:type="dxa"/>
            <w:gridSpan w:val="6"/>
            <w:tcBorders>
              <w:left w:val="single" w:sz="8" w:space="0" w:color="CEC8C2"/>
              <w:right w:val="single" w:sz="8" w:space="0" w:color="CEC8C2"/>
            </w:tcBorders>
            <w:shd w:fill="F2EEEA" w:val="clear"/>
            <w:tcMar>
              <w:top w:w="0" w:type="dxa"/>
              <w:bottom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Thursday, December 3, 2026 at 8:30 a.m. Central Time</w:t>
            </w:r>
          </w:p>
        </w:tc>
      </w:tr>
      <w:tr>
        <w:trPr/>
        <w:tc>
          <w:tcPr>
            <w:tcW w:w="4456" w:type="dxa"/>
            <w:gridSpan w:val="3"/>
            <w:tcBorders>
              <w:left w:val="single" w:sz="8" w:space="0" w:color="CEC8C2"/>
            </w:tcBorders>
            <w:shd w:fill="F2EE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right w:val="single" w:sz="8" w:space="0" w:color="CEC8C2"/>
            </w:tcBorders>
            <w:shd w:fill="F2EEE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left w:val="single" w:sz="8" w:space="0" w:color="CEC8C2"/>
            </w:tcBorders>
            <w:shd w:fill="F2EEEA" w:val="clear"/>
            <w:tcMar>
              <w:top w:w="0" w:type="dxa"/>
              <w:bottom w:w="0" w:type="dxa"/>
              <w:right w:w="0" w:type="dxa"/>
            </w:tcMar>
            <w:vAlign w:val="center"/>
          </w:tcPr>
          <w:p>
            <w:pPr>
              <w:pStyle w:val="TableContents"/>
              <w:bidi w:val="0"/>
              <w:spacing w:lineRule="auto" w:line="312" w:before="0" w:after="0"/>
              <w:jc w:val="left"/>
              <w:rPr/>
            </w:pPr>
            <w:r>
              <w:rPr/>
              <w:drawing>
                <wp:inline distT="0" distB="0" distL="0" distR="0">
                  <wp:extent cx="180975" cy="1809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80975" cy="180975"/>
                          </a:xfrm>
                          <a:prstGeom prst="rect">
                            <a:avLst/>
                          </a:prstGeom>
                        </pic:spPr>
                      </pic:pic>
                    </a:graphicData>
                  </a:graphic>
                </wp:inline>
              </w:drawing>
            </w:r>
            <w:bookmarkStart w:id="5" w:name="i-6"/>
            <w:bookmarkEnd w:id="5"/>
            <w:r>
              <w:rPr>
                <w:color w:val="313D48"/>
              </w:rPr>
              <w:t> </w:t>
            </w:r>
          </w:p>
        </w:tc>
        <w:tc>
          <w:tcPr>
            <w:tcW w:w="5749" w:type="dxa"/>
            <w:gridSpan w:val="3"/>
            <w:tcBorders>
              <w:right w:val="single" w:sz="8" w:space="0" w:color="CEC8C2"/>
            </w:tcBorders>
            <w:shd w:fill="F2EEEA" w:val="clear"/>
            <w:tcMar>
              <w:top w:w="0" w:type="dxa"/>
              <w:left w:w="0" w:type="dxa"/>
              <w:bottom w:w="0" w:type="dxa"/>
            </w:tcMar>
            <w:vAlign w:val="center"/>
          </w:tcPr>
          <w:p>
            <w:pPr>
              <w:pStyle w:val="TableContents"/>
              <w:bidi w:val="0"/>
              <w:spacing w:lineRule="auto" w:line="312" w:before="0" w:after="283"/>
              <w:jc w:val="left"/>
              <w:rPr>
                <w:rFonts w:ascii="ITC Avant Garde Pro Bk;sans-serif" w:hAnsi="ITC Avant Garde Pro Bk;sans-serif"/>
                <w:b/>
                <w:color w:val="F78D2D"/>
                <w:sz w:val="20"/>
              </w:rPr>
            </w:pPr>
            <w:r>
              <w:rPr>
                <w:rFonts w:ascii="ITC Avant Garde Pro Bk;sans-serif" w:hAnsi="ITC Avant Garde Pro Bk;sans-serif"/>
                <w:b/>
                <w:color w:val="F78D2D"/>
                <w:sz w:val="20"/>
              </w:rPr>
              <w:t>Place</w:t>
            </w:r>
          </w:p>
        </w:tc>
      </w:tr>
      <w:tr>
        <w:trPr/>
        <w:tc>
          <w:tcPr>
            <w:tcW w:w="10205" w:type="dxa"/>
            <w:gridSpan w:val="6"/>
            <w:tcBorders>
              <w:left w:val="single" w:sz="8" w:space="0" w:color="CEC8C2"/>
              <w:right w:val="single" w:sz="8" w:space="0" w:color="CEC8C2"/>
            </w:tcBorders>
            <w:shd w:fill="F2EEEA" w:val="clear"/>
            <w:tcMar>
              <w:top w:w="0" w:type="dxa"/>
              <w:bottom w:w="0" w:type="dxa"/>
            </w:tcMar>
            <w:vAlign w:val="center"/>
          </w:tcPr>
          <w:p>
            <w:pPr>
              <w:pStyle w:val="TableContents"/>
              <w:bidi w:val="0"/>
              <w:spacing w:lineRule="auto" w:line="312" w:before="20" w:after="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Virtually at</w:t>
            </w:r>
          </w:p>
          <w:p>
            <w:pPr>
              <w:pStyle w:val="TableContents"/>
              <w:bidi w:val="0"/>
              <w:spacing w:lineRule="auto" w:line="312" w:before="20" w:after="20"/>
              <w:jc w:val="left"/>
              <w:rPr>
                <w:rFonts w:ascii="ITC Avant Garde Pro Md;sans-serif" w:hAnsi="ITC Avant Garde Pro Md;sans-serif"/>
                <w:b w:val="false"/>
                <w:color w:val="F78D2D"/>
                <w:sz w:val="12"/>
              </w:rPr>
            </w:pPr>
            <w:r>
              <w:rPr>
                <w:rFonts w:ascii="ITC Avant Garde Pro Md;sans-serif" w:hAnsi="ITC Avant Garde Pro Md;sans-serif"/>
                <w:b w:val="false"/>
                <w:color w:val="F78D2D"/>
                <w:sz w:val="12"/>
              </w:rPr>
              <w:t>www.virtualshareholdermeeting.com/PCTY2026</w:t>
            </w:r>
          </w:p>
        </w:tc>
      </w:tr>
      <w:tr>
        <w:trPr/>
        <w:tc>
          <w:tcPr>
            <w:tcW w:w="4456" w:type="dxa"/>
            <w:gridSpan w:val="3"/>
            <w:tcBorders>
              <w:left w:val="single" w:sz="8" w:space="0" w:color="CEC8C2"/>
            </w:tcBorders>
            <w:shd w:fill="F2EE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right w:val="single" w:sz="8" w:space="0" w:color="CEC8C2"/>
            </w:tcBorders>
            <w:shd w:fill="F2EEE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left w:val="single" w:sz="8" w:space="0" w:color="CEC8C2"/>
            </w:tcBorders>
            <w:shd w:fill="F2EEEA" w:val="clear"/>
            <w:tcMar>
              <w:top w:w="0" w:type="dxa"/>
              <w:bottom w:w="0" w:type="dxa"/>
              <w:right w:w="0" w:type="dxa"/>
            </w:tcMar>
            <w:vAlign w:val="center"/>
          </w:tcPr>
          <w:p>
            <w:pPr>
              <w:pStyle w:val="TableContents"/>
              <w:bidi w:val="0"/>
              <w:spacing w:lineRule="auto" w:line="312" w:before="0" w:after="0"/>
              <w:jc w:val="left"/>
              <w:rPr/>
            </w:pPr>
            <w:r>
              <w:rPr/>
              <w:drawing>
                <wp:inline distT="0" distB="0" distL="0" distR="0">
                  <wp:extent cx="180975" cy="1809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80975" cy="180975"/>
                          </a:xfrm>
                          <a:prstGeom prst="rect">
                            <a:avLst/>
                          </a:prstGeom>
                        </pic:spPr>
                      </pic:pic>
                    </a:graphicData>
                  </a:graphic>
                </wp:inline>
              </w:drawing>
            </w:r>
            <w:bookmarkStart w:id="6" w:name="i-7"/>
            <w:bookmarkEnd w:id="6"/>
            <w:r>
              <w:rPr>
                <w:color w:val="313D48"/>
              </w:rPr>
              <w:t> </w:t>
            </w:r>
          </w:p>
        </w:tc>
        <w:tc>
          <w:tcPr>
            <w:tcW w:w="5749" w:type="dxa"/>
            <w:gridSpan w:val="3"/>
            <w:tcBorders>
              <w:right w:val="single" w:sz="8" w:space="0" w:color="CEC8C2"/>
            </w:tcBorders>
            <w:shd w:fill="F2EEEA" w:val="clear"/>
            <w:tcMar>
              <w:top w:w="0" w:type="dxa"/>
              <w:left w:w="0" w:type="dxa"/>
              <w:bottom w:w="0" w:type="dxa"/>
            </w:tcMar>
            <w:vAlign w:val="center"/>
          </w:tcPr>
          <w:p>
            <w:pPr>
              <w:pStyle w:val="TableContents"/>
              <w:bidi w:val="0"/>
              <w:spacing w:lineRule="auto" w:line="312" w:before="0" w:after="283"/>
              <w:jc w:val="left"/>
              <w:rPr>
                <w:rFonts w:ascii="ITC Avant Garde Pro Bk;sans-serif" w:hAnsi="ITC Avant Garde Pro Bk;sans-serif"/>
                <w:b/>
                <w:color w:val="F78D2D"/>
                <w:sz w:val="20"/>
              </w:rPr>
            </w:pPr>
            <w:r>
              <w:rPr>
                <w:rFonts w:ascii="ITC Avant Garde Pro Bk;sans-serif" w:hAnsi="ITC Avant Garde Pro Bk;sans-serif"/>
                <w:b/>
                <w:color w:val="F78D2D"/>
                <w:sz w:val="20"/>
              </w:rPr>
              <w:t>Record Date</w:t>
            </w:r>
          </w:p>
        </w:tc>
      </w:tr>
      <w:tr>
        <w:trPr/>
        <w:tc>
          <w:tcPr>
            <w:tcW w:w="10205" w:type="dxa"/>
            <w:gridSpan w:val="6"/>
            <w:tcBorders>
              <w:left w:val="single" w:sz="8" w:space="0" w:color="CEC8C2"/>
              <w:right w:val="single" w:sz="8" w:space="0" w:color="CEC8C2"/>
            </w:tcBorders>
            <w:shd w:fill="F2EEEA" w:val="clear"/>
            <w:tcMar>
              <w:top w:w="0" w:type="dxa"/>
              <w:bottom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You can vote if you were a stockholder of record at the close of business on October 6, 2026. Attendance at the meeting is limited to stockholders or their proxy holders and Company guests. Only stockholders or their valid proxy holders may address the meeting.</w:t>
            </w:r>
          </w:p>
        </w:tc>
      </w:tr>
      <w:tr>
        <w:trPr/>
        <w:tc>
          <w:tcPr>
            <w:tcW w:w="4456" w:type="dxa"/>
            <w:gridSpan w:val="3"/>
            <w:tcBorders>
              <w:left w:val="single" w:sz="8" w:space="0" w:color="CEC8C2"/>
            </w:tcBorders>
            <w:shd w:fill="F2EE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right w:val="single" w:sz="8" w:space="0" w:color="CEC8C2"/>
            </w:tcBorders>
            <w:shd w:fill="F2EEE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CEC8C2"/>
              <w:right w:val="single" w:sz="8" w:space="0" w:color="CEC8C2"/>
            </w:tcBorders>
            <w:shd w:fill="F2EEEA" w:val="clear"/>
            <w:tcMar>
              <w:top w:w="0" w:type="dxa"/>
              <w:bottom w:w="0" w:type="dxa"/>
            </w:tcMar>
            <w:vAlign w:val="center"/>
          </w:tcPr>
          <w:p>
            <w:pPr>
              <w:pStyle w:val="TableContents"/>
              <w:bidi w:val="0"/>
              <w:spacing w:lineRule="auto" w:line="312" w:before="0" w:after="0"/>
              <w:jc w:val="left"/>
              <w:rPr>
                <w:rFonts w:ascii="ITC Avant Garde Pro Bk;sans-serif" w:hAnsi="ITC Avant Garde Pro Bk;sans-serif"/>
                <w:b/>
                <w:color w:val="EE2626"/>
                <w:sz w:val="16"/>
              </w:rPr>
            </w:pPr>
            <w:r>
              <w:rPr>
                <w:rFonts w:ascii="ITC Avant Garde Pro Bk;sans-serif" w:hAnsi="ITC Avant Garde Pro Bk;sans-serif"/>
                <w:b/>
                <w:color w:val="EE2626"/>
                <w:sz w:val="16"/>
              </w:rPr>
              <w:t>Important notice regarding the internet availability of proxy materials for the Annual Meeting of Stockholders to be held on December 3, 2026.</w:t>
            </w:r>
          </w:p>
        </w:tc>
      </w:tr>
      <w:tr>
        <w:trPr/>
        <w:tc>
          <w:tcPr>
            <w:tcW w:w="4456" w:type="dxa"/>
            <w:gridSpan w:val="3"/>
            <w:tcBorders>
              <w:left w:val="single" w:sz="8" w:space="0" w:color="CEC8C2"/>
            </w:tcBorders>
            <w:shd w:fill="F2EE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right w:val="single" w:sz="8" w:space="0" w:color="CEC8C2"/>
            </w:tcBorders>
            <w:shd w:fill="F2EEE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CEC8C2"/>
              <w:right w:val="single" w:sz="8" w:space="0" w:color="CEC8C2"/>
            </w:tcBorders>
            <w:shd w:fill="F2EEEA" w:val="clear"/>
            <w:tcMar>
              <w:top w:w="0" w:type="dxa"/>
              <w:bottom w:w="0" w:type="dxa"/>
            </w:tcMar>
            <w:vAlign w:val="center"/>
          </w:tcPr>
          <w:p>
            <w:pPr>
              <w:pStyle w:val="TableContents"/>
              <w:bidi w:val="0"/>
              <w:spacing w:lineRule="auto" w:line="312" w:before="20" w:after="20"/>
              <w:jc w:val="left"/>
              <w:rPr/>
            </w:pPr>
            <w:r>
              <w:rPr>
                <w:rFonts w:ascii="ITC Avant Garde Pro Bk;sans-serif" w:hAnsi="ITC Avant Garde Pro Bk;sans-serif"/>
                <w:b/>
                <w:color w:val="313D48"/>
                <w:sz w:val="16"/>
              </w:rPr>
              <w:t xml:space="preserve">A complete set of proxy materials relating to our annual meeting, consisting of the Notice of Annual Meeting, Proxy Statement, Proxy Card and Annual Report, is available on the Internet and may be viewed at </w:t>
            </w:r>
            <w:r>
              <w:rPr>
                <w:rFonts w:ascii="ITC Avant Garde Pro Md;sans-serif" w:hAnsi="ITC Avant Garde Pro Md;sans-serif"/>
                <w:b w:val="false"/>
                <w:color w:val="F78D2D"/>
                <w:sz w:val="16"/>
              </w:rPr>
              <w:t>www.proxyvote.com</w:t>
            </w:r>
            <w:r>
              <w:rPr>
                <w:rFonts w:ascii="ITC Avant Garde Pro Bk;sans-serif" w:hAnsi="ITC Avant Garde Pro Bk;sans-serif"/>
                <w:b/>
                <w:color w:val="313D48"/>
                <w:sz w:val="16"/>
              </w:rPr>
              <w:t>.</w:t>
            </w:r>
          </w:p>
        </w:tc>
      </w:tr>
      <w:tr>
        <w:trPr/>
        <w:tc>
          <w:tcPr>
            <w:tcW w:w="10205" w:type="dxa"/>
            <w:gridSpan w:val="6"/>
            <w:tcBorders>
              <w:left w:val="single" w:sz="8" w:space="0" w:color="CEC8C2"/>
              <w:bottom w:val="single" w:sz="8" w:space="0" w:color="CEC8C2"/>
              <w:right w:val="single" w:sz="8" w:space="0" w:color="CEC8C2"/>
            </w:tcBorders>
            <w:shd w:fill="F2EEEA"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ITC Avant Garde Pro Bk;sans-serif" w:hAnsi="ITC Avant Garde Pro Bk;sans-serif"/>
          <w:b/>
          <w:color w:val="313D48"/>
          <w:sz w:val="28"/>
        </w:rPr>
      </w:pPr>
      <w:r>
        <w:rPr>
          <w:rFonts w:ascii="ITC Avant Garde Pro Bk;sans-serif" w:hAnsi="ITC Avant Garde Pro Bk;sans-serif"/>
          <w:b/>
          <w:color w:val="313D48"/>
          <w:sz w:val="28"/>
        </w:rPr>
        <w:t>Purposes</w:t>
      </w:r>
    </w:p>
    <w:tbl>
      <w:tblPr>
        <w:tblW w:w="10205" w:type="dxa"/>
        <w:jc w:val="left"/>
        <w:tblInd w:w="0" w:type="dxa"/>
        <w:tblLayout w:type="fixed"/>
        <w:tblCellMar>
          <w:top w:w="28" w:type="dxa"/>
          <w:left w:w="28" w:type="dxa"/>
          <w:bottom w:w="28" w:type="dxa"/>
          <w:right w:w="28" w:type="dxa"/>
        </w:tblCellMar>
      </w:tblPr>
      <w:tblGrid>
        <w:gridCol w:w="3332"/>
        <w:gridCol w:w="2840"/>
        <w:gridCol w:w="4033"/>
      </w:tblGrid>
      <w:tr>
        <w:trPr/>
        <w:tc>
          <w:tcPr>
            <w:tcW w:w="3332"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403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EE2626"/>
                <w:sz w:val="20"/>
              </w:rPr>
            </w:pPr>
            <w:r>
              <w:rPr>
                <w:rFonts w:ascii="ITC Avant Garde Pro Bk;sans-serif" w:hAnsi="ITC Avant Garde Pro Bk;sans-serif"/>
                <w:b/>
                <w:color w:val="EE2626"/>
                <w:sz w:val="20"/>
              </w:rPr>
              <w:t>Proposal No. 1</w:t>
            </w:r>
          </w:p>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To elect Steven R. Beauchamp, Linda M. Breard, Virginia G. Breen, Robin L. Pederson, Andres D. Reiner, Kenneth B. Robinson, Steven I. Sarowitz, Ronald V. Waters III and Toby J. Williams as directors to hold office until the 2028 annual meeting of stockholders and until their respective successors are elected and qualified.</w:t>
            </w:r>
          </w:p>
          <w:p>
            <w:pPr>
              <w:pStyle w:val="TableContents"/>
              <w:bidi w:val="0"/>
              <w:spacing w:lineRule="auto" w:line="312" w:before="0" w:after="0"/>
              <w:jc w:val="left"/>
              <w:rPr/>
            </w:pPr>
            <w:r>
              <w:rPr/>
              <w:drawing>
                <wp:inline distT="0" distB="0" distL="0" distR="0">
                  <wp:extent cx="95250" cy="952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5250" cy="95250"/>
                          </a:xfrm>
                          <a:prstGeom prst="rect">
                            <a:avLst/>
                          </a:prstGeom>
                        </pic:spPr>
                      </pic:pic>
                    </a:graphicData>
                  </a:graphic>
                </wp:inline>
              </w:drawing>
            </w:r>
            <w:bookmarkStart w:id="7" w:name="i-8"/>
            <w:bookmarkEnd w:id="7"/>
            <w:r>
              <w:rPr>
                <w:color w:val="FF0000"/>
              </w:rPr>
              <w:t xml:space="preserve"> </w:t>
            </w:r>
            <w:r>
              <w:rPr>
                <w:rFonts w:ascii="ITC Avant Garde Pro Bk;sans-serif" w:hAnsi="ITC Avant Garde Pro Bk;sans-serif"/>
                <w:b/>
                <w:color w:val="EE2626"/>
                <w:sz w:val="16"/>
              </w:rPr>
              <w:t>FOR</w:t>
            </w:r>
            <w:r>
              <w:rPr>
                <w:color w:val="313D48"/>
              </w:rPr>
              <w:t xml:space="preserve"> </w:t>
            </w:r>
            <w:r>
              <w:rPr>
                <w:rFonts w:ascii="ITC Avant Garde Pro Md;sans-serif" w:hAnsi="ITC Avant Garde Pro Md;sans-serif"/>
                <w:b w:val="false"/>
                <w:color w:val="313D48"/>
                <w:sz w:val="16"/>
              </w:rPr>
              <w:t>each director nominee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EE2626"/>
                <w:sz w:val="20"/>
              </w:rPr>
            </w:pPr>
            <w:r>
              <w:rPr>
                <w:rFonts w:ascii="ITC Avant Garde Pro Bk;sans-serif" w:hAnsi="ITC Avant Garde Pro Bk;sans-serif"/>
                <w:b/>
                <w:color w:val="EE2626"/>
                <w:sz w:val="20"/>
              </w:rPr>
              <w:t>Proposal No. 2</w:t>
            </w:r>
          </w:p>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To ratify the appointment of KPMG LLP as our independent registered public accounting firm for the fiscal year ending June 30, 2027.</w:t>
            </w:r>
          </w:p>
          <w:p>
            <w:pPr>
              <w:pStyle w:val="TableContents"/>
              <w:bidi w:val="0"/>
              <w:spacing w:lineRule="auto" w:line="312" w:before="0" w:after="0"/>
              <w:jc w:val="left"/>
              <w:rPr/>
            </w:pPr>
            <w:r>
              <w:rPr/>
              <w:drawing>
                <wp:inline distT="0" distB="0" distL="0" distR="0">
                  <wp:extent cx="95250" cy="952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5250" cy="95250"/>
                          </a:xfrm>
                          <a:prstGeom prst="rect">
                            <a:avLst/>
                          </a:prstGeom>
                        </pic:spPr>
                      </pic:pic>
                    </a:graphicData>
                  </a:graphic>
                </wp:inline>
              </w:drawing>
            </w:r>
            <w:bookmarkStart w:id="8" w:name="i-9"/>
            <w:bookmarkEnd w:id="8"/>
            <w:r>
              <w:rPr>
                <w:color w:val="FF0000"/>
              </w:rPr>
              <w:t xml:space="preserve"> </w:t>
            </w:r>
            <w:r>
              <w:rPr>
                <w:rFonts w:ascii="ITC Avant Garde Pro Bk;sans-serif" w:hAnsi="ITC Avant Garde Pro Bk;sans-serif"/>
                <w:b/>
                <w:color w:val="EE2626"/>
                <w:sz w:val="16"/>
              </w:rPr>
              <w:t>FOR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EE2626"/>
                <w:sz w:val="20"/>
              </w:rPr>
            </w:pPr>
            <w:r>
              <w:rPr>
                <w:rFonts w:ascii="ITC Avant Garde Pro Bk;sans-serif" w:hAnsi="ITC Avant Garde Pro Bk;sans-serif"/>
                <w:b/>
                <w:color w:val="EE2626"/>
                <w:sz w:val="20"/>
              </w:rPr>
              <w:t>Proposal No. 3</w:t>
            </w:r>
          </w:p>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To vote on a non-binding basis to approve the compensation of our named executive officers.</w:t>
            </w:r>
          </w:p>
          <w:p>
            <w:pPr>
              <w:pStyle w:val="TableContents"/>
              <w:bidi w:val="0"/>
              <w:spacing w:lineRule="auto" w:line="312" w:before="0" w:after="0"/>
              <w:jc w:val="left"/>
              <w:rPr/>
            </w:pPr>
            <w:r>
              <w:rPr/>
              <w:drawing>
                <wp:inline distT="0" distB="0" distL="0" distR="0">
                  <wp:extent cx="95250" cy="952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5250" cy="95250"/>
                          </a:xfrm>
                          <a:prstGeom prst="rect">
                            <a:avLst/>
                          </a:prstGeom>
                        </pic:spPr>
                      </pic:pic>
                    </a:graphicData>
                  </a:graphic>
                </wp:inline>
              </w:drawing>
            </w:r>
            <w:bookmarkStart w:id="9" w:name="i-10"/>
            <w:bookmarkEnd w:id="9"/>
            <w:r>
              <w:rPr>
                <w:color w:val="FF0000"/>
              </w:rPr>
              <w:t xml:space="preserve"> </w:t>
            </w:r>
            <w:r>
              <w:rPr>
                <w:rFonts w:ascii="ITC Avant Garde Pro Bk;sans-serif" w:hAnsi="ITC Avant Garde Pro Bk;sans-serif"/>
                <w:b/>
                <w:color w:val="EE2626"/>
                <w:sz w:val="16"/>
              </w:rPr>
              <w:t>FOR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EE2626"/>
                <w:sz w:val="20"/>
              </w:rPr>
            </w:pPr>
            <w:r>
              <w:rPr>
                <w:rFonts w:ascii="ITC Avant Garde Pro Bk;sans-serif" w:hAnsi="ITC Avant Garde Pro Bk;sans-serif"/>
                <w:b/>
                <w:color w:val="EE2626"/>
                <w:sz w:val="20"/>
              </w:rPr>
              <w:t>Proposal No. 4</w:t>
            </w:r>
          </w:p>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To vote to approve the Second Amended and Restated 2023 Equity Incentive Plan.</w:t>
            </w:r>
          </w:p>
          <w:p>
            <w:pPr>
              <w:pStyle w:val="TableContents"/>
              <w:bidi w:val="0"/>
              <w:spacing w:lineRule="auto" w:line="312" w:before="0" w:after="0"/>
              <w:jc w:val="left"/>
              <w:rPr/>
            </w:pPr>
            <w:r>
              <w:rPr/>
              <w:drawing>
                <wp:inline distT="0" distB="0" distL="0" distR="0">
                  <wp:extent cx="85725" cy="857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85725" cy="85725"/>
                          </a:xfrm>
                          <a:prstGeom prst="rect">
                            <a:avLst/>
                          </a:prstGeom>
                        </pic:spPr>
                      </pic:pic>
                    </a:graphicData>
                  </a:graphic>
                </wp:inline>
              </w:drawing>
            </w:r>
            <w:bookmarkStart w:id="10" w:name="i-11"/>
            <w:bookmarkEnd w:id="10"/>
            <w:r>
              <w:rPr>
                <w:color w:val="EE2626"/>
              </w:rPr>
              <w:t xml:space="preserve"> </w:t>
            </w:r>
            <w:r>
              <w:rPr>
                <w:rFonts w:ascii="ITC Avant Garde Pro Bk;sans-serif" w:hAnsi="ITC Avant Garde Pro Bk;sans-serif"/>
                <w:b/>
                <w:color w:val="EE2626"/>
                <w:sz w:val="16"/>
              </w:rPr>
              <w:t>FOR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To transact such other business as may properly be brought before the meeting or any adjournment or postponement thereof.</w:t>
            </w:r>
          </w:p>
        </w:tc>
      </w:tr>
    </w:tbl>
    <w:p>
      <w:pPr>
        <w:pStyle w:val="TextBody"/>
        <w:bidi w:val="0"/>
        <w:spacing w:lineRule="auto" w:line="288" w:before="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Voting</w:t>
      </w:r>
    </w:p>
    <w:p>
      <w:pPr>
        <w:pStyle w:val="TextBody"/>
        <w:bidi w:val="0"/>
        <w:spacing w:lineRule="auto" w:line="312" w:before="80" w:after="120"/>
        <w:jc w:val="left"/>
        <w:rPr>
          <w:rFonts w:ascii="ITC Avant Garde Pro Bk;sans-serif" w:hAnsi="ITC Avant Garde Pro Bk;sans-serif"/>
          <w:b/>
          <w:color w:val="313D48"/>
          <w:sz w:val="16"/>
        </w:rPr>
      </w:pPr>
      <w:r>
        <w:rPr>
          <w:rFonts w:ascii="ITC Avant Garde Pro Bk;sans-serif" w:hAnsi="ITC Avant Garde Pro Bk;sans-serif"/>
          <w:b/>
          <w:color w:val="313D48"/>
          <w:sz w:val="16"/>
        </w:rPr>
        <w:t>IMPORTANT: Please vote your shares by submitting a proxy by Internet, by telephone, or by completing, signing, dating and returning the enclosed proxy card. The proxy card describes your voting options in more detail. If you attend the meeting, you may choose to vote online at the meeting even if you have previously voted your shares. If for any reason you desire to revoke your proxy, you can do so at any time before it is voted.</w:t>
      </w:r>
    </w:p>
    <w:p>
      <w:pPr>
        <w:pStyle w:val="TextBody"/>
        <w:bidi w:val="0"/>
        <w:spacing w:lineRule="auto" w:line="288" w:before="200" w:after="120"/>
        <w:jc w:val="left"/>
        <w:rPr>
          <w:rFonts w:ascii="ITC Avant Garde Pro Bk;sans-serif" w:hAnsi="ITC Avant Garde Pro Bk;sans-serif"/>
          <w:b/>
          <w:color w:val="313D48"/>
          <w:sz w:val="28"/>
        </w:rPr>
      </w:pPr>
      <w:r>
        <w:rPr>
          <w:rFonts w:ascii="ITC Avant Garde Pro Bk;sans-serif" w:hAnsi="ITC Avant Garde Pro Bk;sans-serif"/>
          <w:b/>
          <w:color w:val="313D48"/>
          <w:sz w:val="28"/>
        </w:rPr>
        <w:t>Mailing</w:t>
      </w:r>
    </w:p>
    <w:p>
      <w:pPr>
        <w:pStyle w:val="TextBody"/>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On or about October 22, 2026, we mailed to our stockholders a Notice of Internet Availability of Proxy Materials containing instructions on how to access our Proxy Statement and 2026 Annual Report to Stockholders and how to vote.</w:t>
      </w:r>
    </w:p>
    <w:p>
      <w:pPr>
        <w:pStyle w:val="TextBody"/>
        <w:bidi w:val="0"/>
        <w:spacing w:lineRule="auto" w:line="312" w:before="80" w:after="283"/>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For ten days prior to the meeting, a complete list of stockholders entitled to vote at the meeting will be available for examination by any stockholder, for any purpose relating to the meeting, during ordinary business hours at our principal offices.</w:t>
      </w:r>
    </w:p>
    <w:tbl>
      <w:tblPr>
        <w:tblW w:w="10205" w:type="dxa"/>
        <w:jc w:val="left"/>
        <w:tblInd w:w="0" w:type="dxa"/>
        <w:tblLayout w:type="fixed"/>
        <w:tblCellMar>
          <w:top w:w="28" w:type="dxa"/>
          <w:left w:w="28" w:type="dxa"/>
          <w:bottom w:w="28" w:type="dxa"/>
          <w:right w:w="28" w:type="dxa"/>
        </w:tblCellMar>
      </w:tblPr>
      <w:tblGrid>
        <w:gridCol w:w="1236"/>
        <w:gridCol w:w="1087"/>
        <w:gridCol w:w="1088"/>
        <w:gridCol w:w="596"/>
        <w:gridCol w:w="596"/>
        <w:gridCol w:w="598"/>
        <w:gridCol w:w="1616"/>
        <w:gridCol w:w="1399"/>
        <w:gridCol w:w="1989"/>
      </w:tblGrid>
      <w:tr>
        <w:trPr/>
        <w:tc>
          <w:tcPr>
            <w:tcW w:w="123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r>
      <w:tr>
        <w:trPr/>
        <w:tc>
          <w:tcPr>
            <w:tcW w:w="3411" w:type="dxa"/>
            <w:gridSpan w:val="3"/>
            <w:vMerge w:val="restart"/>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D48"/>
                <w:sz w:val="20"/>
              </w:rPr>
            </w:pPr>
            <w:r>
              <w:rPr>
                <w:rFonts w:ascii="ITC Avant Garde Pro Bk;sans-serif" w:hAnsi="ITC Avant Garde Pro Bk;sans-serif"/>
                <w:b/>
                <w:color w:val="313D48"/>
                <w:sz w:val="20"/>
              </w:rPr>
              <w:t>Attending the Meeting</w:t>
            </w:r>
          </w:p>
          <w:p>
            <w:pPr>
              <w:pStyle w:val="TableContents"/>
              <w:bidi w:val="0"/>
              <w:spacing w:lineRule="auto" w:line="312" w:before="120" w:after="120"/>
              <w:jc w:val="left"/>
              <w:rPr/>
            </w:pPr>
            <w:r>
              <w:rPr>
                <w:rFonts w:ascii="ITC Avant Garde Pro Md;sans-serif" w:hAnsi="ITC Avant Garde Pro Md;sans-serif"/>
                <w:b w:val="false"/>
                <w:color w:val="313D48"/>
                <w:sz w:val="16"/>
              </w:rPr>
              <w:t xml:space="preserve">The meeting will be held virtually at </w:t>
            </w:r>
            <w:r>
              <w:rPr>
                <w:rFonts w:ascii="ITC Avant Garde Pro Md;sans-serif" w:hAnsi="ITC Avant Garde Pro Md;sans-serif"/>
                <w:b w:val="false"/>
                <w:color w:val="F78D2D"/>
                <w:sz w:val="12"/>
              </w:rPr>
              <w:t>www.virtualshareholdermeeting.com/PCTY2026</w:t>
            </w:r>
            <w:r>
              <w:rPr>
                <w:rFonts w:ascii="ITC Avant Garde Pro Md;sans-serif" w:hAnsi="ITC Avant Garde Pro Md;sans-serif"/>
                <w:b w:val="false"/>
                <w:color w:val="313D48"/>
                <w:sz w:val="12"/>
              </w:rPr>
              <w:t>.</w:t>
            </w:r>
          </w:p>
          <w:p>
            <w:pPr>
              <w:pStyle w:val="TableContents"/>
              <w:bidi w:val="0"/>
              <w:spacing w:lineRule="auto" w:line="312" w:before="40" w:after="40"/>
              <w:ind w:left="0" w:right="0" w:hanging="216"/>
              <w:jc w:val="left"/>
              <w:rPr/>
            </w:pPr>
            <w:r>
              <w:rPr>
                <w:color w:val="EE2626"/>
              </w:rPr>
              <w:t>•</w:t>
            </w:r>
            <w:r>
              <w:rPr>
                <w:rFonts w:ascii="ITC Avant Garde Pro Md;sans-serif" w:hAnsi="ITC Avant Garde Pro Md;sans-serif"/>
                <w:b w:val="false"/>
                <w:color w:val="313D48"/>
                <w:sz w:val="16"/>
              </w:rPr>
              <w:t>Meeting starts at 8:30 a.m. Central Time.</w:t>
            </w:r>
          </w:p>
          <w:p>
            <w:pPr>
              <w:pStyle w:val="TableContents"/>
              <w:bidi w:val="0"/>
              <w:spacing w:lineRule="auto" w:line="312" w:before="40" w:after="40"/>
              <w:ind w:left="0" w:right="0" w:hanging="216"/>
              <w:jc w:val="left"/>
              <w:rPr/>
            </w:pPr>
            <w:r>
              <w:rPr>
                <w:color w:val="EE2626"/>
              </w:rPr>
              <w:t>•</w:t>
            </w:r>
            <w:r>
              <w:rPr>
                <w:rFonts w:ascii="ITC Avant Garde Pro Md;sans-serif" w:hAnsi="ITC Avant Garde Pro Md;sans-serif"/>
                <w:b w:val="false"/>
                <w:color w:val="313D48"/>
                <w:sz w:val="16"/>
              </w:rPr>
              <w:t>Please have your 16-digit control number to join the Annual Meeting.</w:t>
            </w:r>
          </w:p>
          <w:p>
            <w:pPr>
              <w:pStyle w:val="TableContents"/>
              <w:bidi w:val="0"/>
              <w:spacing w:lineRule="auto" w:line="312" w:before="40" w:after="40"/>
              <w:ind w:left="0" w:right="0" w:hanging="216"/>
              <w:jc w:val="left"/>
              <w:rPr/>
            </w:pPr>
            <w:r>
              <w:rPr>
                <w:color w:val="EE2626"/>
              </w:rPr>
              <w:t>•</w:t>
            </w:r>
            <w:r>
              <w:rPr>
                <w:rFonts w:ascii="ITC Avant Garde Pro Md;sans-serif" w:hAnsi="ITC Avant Garde Pro Md;sans-serif"/>
                <w:b w:val="false"/>
                <w:color w:val="313D48"/>
                <w:sz w:val="16"/>
              </w:rPr>
              <w:t>The use of recording devices is not allowed.</w:t>
            </w:r>
          </w:p>
        </w:tc>
        <w:tc>
          <w:tcPr>
            <w:tcW w:w="17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20"/>
              </w:rPr>
            </w:pPr>
            <w:r>
              <w:rPr>
                <w:rFonts w:ascii="ITC Avant Garde Pro Bk;sans-serif" w:hAnsi="ITC Avant Garde Pro Bk;sans-serif"/>
                <w:b/>
                <w:color w:val="313D48"/>
                <w:sz w:val="20"/>
              </w:rPr>
              <w:t>Questions</w:t>
            </w:r>
          </w:p>
        </w:tc>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vMerge w:val="continue"/>
            <w:tcBorders/>
            <w:tcMar>
              <w:top w:w="0" w:type="dxa"/>
              <w:left w:w="0" w:type="dxa"/>
              <w:bottom w:w="0" w:type="dxa"/>
              <w:right w:w="0" w:type="dxa"/>
            </w:tcMar>
            <w:vAlign w:val="center"/>
          </w:tcPr>
          <w:p>
            <w:pPr>
              <w:pStyle w:val="Normal"/>
              <w:bidi w:val="0"/>
              <w:jc w:val="left"/>
              <w:rPr/>
            </w:pPr>
            <w:r>
              <w:rPr/>
            </w:r>
          </w:p>
        </w:tc>
        <w:tc>
          <w:tcPr>
            <w:tcW w:w="17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For Questions Regarding:</w:t>
            </w:r>
          </w:p>
        </w:tc>
        <w:tc>
          <w:tcPr>
            <w:tcW w:w="50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Contact:</w:t>
            </w:r>
          </w:p>
        </w:tc>
      </w:tr>
      <w:tr>
        <w:trPr/>
        <w:tc>
          <w:tcPr>
            <w:tcW w:w="3411" w:type="dxa"/>
            <w:gridSpan w:val="3"/>
            <w:vMerge w:val="continue"/>
            <w:tcBorders/>
            <w:tcMar>
              <w:top w:w="0" w:type="dxa"/>
              <w:left w:w="0" w:type="dxa"/>
              <w:bottom w:w="0" w:type="dxa"/>
              <w:right w:w="0" w:type="dxa"/>
            </w:tcMar>
            <w:vAlign w:val="center"/>
          </w:tcPr>
          <w:p>
            <w:pPr>
              <w:pStyle w:val="Normal"/>
              <w:bidi w:val="0"/>
              <w:jc w:val="left"/>
              <w:rPr/>
            </w:pPr>
            <w:r>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Annual meeting</w:t>
            </w:r>
          </w:p>
        </w:tc>
        <w:tc>
          <w:tcPr>
            <w:tcW w:w="5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20" w:after="20"/>
              <w:jc w:val="left"/>
              <w:rPr/>
            </w:pPr>
            <w:r>
              <w:rPr>
                <w:rFonts w:ascii="ITC Avant Garde Pro Md;sans-serif" w:hAnsi="ITC Avant Garde Pro Md;sans-serif"/>
                <w:b w:val="false"/>
                <w:color w:val="313D48"/>
                <w:sz w:val="16"/>
              </w:rPr>
              <w:t xml:space="preserve">Paylocity Investor Relations </w:t>
            </w:r>
            <w:r>
              <w:rPr>
                <w:rFonts w:ascii="ITC Avant Garde Pro Md;sans-serif" w:hAnsi="ITC Avant Garde Pro Md;sans-serif"/>
                <w:b w:val="false"/>
                <w:color w:val="F78D2D"/>
                <w:sz w:val="16"/>
              </w:rPr>
              <w:t>Investors@paylocity.com</w:t>
            </w:r>
          </w:p>
        </w:tc>
      </w:tr>
      <w:tr>
        <w:trPr/>
        <w:tc>
          <w:tcPr>
            <w:tcW w:w="3411" w:type="dxa"/>
            <w:gridSpan w:val="3"/>
            <w:vMerge w:val="continue"/>
            <w:tcBorders/>
            <w:tcMar>
              <w:top w:w="0" w:type="dxa"/>
              <w:left w:w="0" w:type="dxa"/>
              <w:bottom w:w="0" w:type="dxa"/>
              <w:right w:w="0" w:type="dxa"/>
            </w:tcMar>
            <w:vAlign w:val="center"/>
          </w:tcPr>
          <w:p>
            <w:pPr>
              <w:pStyle w:val="Normal"/>
              <w:bidi w:val="0"/>
              <w:jc w:val="left"/>
              <w:rPr/>
            </w:pPr>
            <w:r>
              <w:rPr/>
            </w:r>
          </w:p>
        </w:tc>
        <w:tc>
          <w:tcPr>
            <w:tcW w:w="1790" w:type="dxa"/>
            <w:gridSpan w:val="3"/>
            <w:tcBorders>
              <w:top w:val="single" w:sz="4" w:space="0" w:color="313D48"/>
            </w:tcBorders>
            <w:tcMar>
              <w:top w:w="3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Stock ownership for registered holders</w:t>
            </w:r>
          </w:p>
        </w:tc>
        <w:tc>
          <w:tcPr>
            <w:tcW w:w="5004" w:type="dxa"/>
            <w:gridSpan w:val="3"/>
            <w:tcBorders>
              <w:top w:val="single" w:sz="4" w:space="0" w:color="313D48"/>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D48"/>
                <w:sz w:val="16"/>
              </w:rPr>
              <w:t>Equiniti Shareowner Services (800) 468-9716 (within the U.S. and Canada) or 651-450-4064 (worldwide) or </w:t>
            </w:r>
            <w:r>
              <w:rPr>
                <w:rFonts w:ascii="ITC Avant Garde Pro Md;sans-serif" w:hAnsi="ITC Avant Garde Pro Md;sans-serif"/>
                <w:b w:val="false"/>
                <w:color w:val="F78D2D"/>
                <w:sz w:val="16"/>
              </w:rPr>
              <w:t>www.shareowneronline.com</w:t>
            </w:r>
          </w:p>
        </w:tc>
      </w:tr>
      <w:tr>
        <w:trPr/>
        <w:tc>
          <w:tcPr>
            <w:tcW w:w="3411" w:type="dxa"/>
            <w:gridSpan w:val="3"/>
            <w:vMerge w:val="continue"/>
            <w:tcBorders/>
            <w:tcMar>
              <w:top w:w="0" w:type="dxa"/>
              <w:left w:w="0" w:type="dxa"/>
              <w:bottom w:w="0" w:type="dxa"/>
              <w:right w:w="0" w:type="dxa"/>
            </w:tcMar>
            <w:vAlign w:val="center"/>
          </w:tcPr>
          <w:p>
            <w:pPr>
              <w:pStyle w:val="Normal"/>
              <w:bidi w:val="0"/>
              <w:jc w:val="left"/>
              <w:rPr/>
            </w:pPr>
            <w:r>
              <w:rPr/>
            </w:r>
          </w:p>
        </w:tc>
        <w:tc>
          <w:tcPr>
            <w:tcW w:w="1790" w:type="dxa"/>
            <w:gridSpan w:val="3"/>
            <w:tcBorders>
              <w:top w:val="single" w:sz="4" w:space="0" w:color="313D48"/>
            </w:tcBorders>
            <w:tcMar>
              <w:top w:w="3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Stock ownership for beneficial holders</w:t>
            </w:r>
          </w:p>
        </w:tc>
        <w:tc>
          <w:tcPr>
            <w:tcW w:w="5004" w:type="dxa"/>
            <w:gridSpan w:val="3"/>
            <w:tcBorders>
              <w:top w:val="single" w:sz="4" w:space="0" w:color="313D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Please contact your broker, bank or other nominee</w:t>
            </w:r>
          </w:p>
        </w:tc>
      </w:tr>
      <w:tr>
        <w:trPr/>
        <w:tc>
          <w:tcPr>
            <w:tcW w:w="3411" w:type="dxa"/>
            <w:gridSpan w:val="3"/>
            <w:vMerge w:val="continue"/>
            <w:tcBorders/>
            <w:tcMar>
              <w:top w:w="0" w:type="dxa"/>
              <w:left w:w="0" w:type="dxa"/>
              <w:bottom w:w="0" w:type="dxa"/>
              <w:right w:w="0" w:type="dxa"/>
            </w:tcMar>
            <w:vAlign w:val="center"/>
          </w:tcPr>
          <w:p>
            <w:pPr>
              <w:pStyle w:val="Normal"/>
              <w:bidi w:val="0"/>
              <w:jc w:val="left"/>
              <w:rPr/>
            </w:pPr>
            <w:r>
              <w:rPr/>
            </w:r>
          </w:p>
        </w:tc>
        <w:tc>
          <w:tcPr>
            <w:tcW w:w="1790" w:type="dxa"/>
            <w:gridSpan w:val="3"/>
            <w:tcBorders>
              <w:top w:val="single" w:sz="4" w:space="0" w:color="313D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Voting for registered holders</w:t>
            </w:r>
          </w:p>
        </w:tc>
        <w:tc>
          <w:tcPr>
            <w:tcW w:w="5004" w:type="dxa"/>
            <w:gridSpan w:val="3"/>
            <w:tcBorders>
              <w:top w:val="single" w:sz="4" w:space="0" w:color="313D48"/>
            </w:tcBorders>
            <w:tcMar>
              <w:top w:w="30" w:type="dxa"/>
              <w:left w:w="0" w:type="dxa"/>
              <w:bottom w:w="0" w:type="dxa"/>
              <w:right w:w="0" w:type="dxa"/>
            </w:tcMar>
            <w:vAlign w:val="center"/>
          </w:tcPr>
          <w:p>
            <w:pPr>
              <w:pStyle w:val="TableContents"/>
              <w:bidi w:val="0"/>
              <w:spacing w:lineRule="auto" w:line="312" w:before="20" w:after="20"/>
              <w:jc w:val="left"/>
              <w:rPr/>
            </w:pPr>
            <w:r>
              <w:rPr>
                <w:rFonts w:ascii="ITC Avant Garde Pro Md;sans-serif" w:hAnsi="ITC Avant Garde Pro Md;sans-serif"/>
                <w:b w:val="false"/>
                <w:color w:val="313D48"/>
                <w:sz w:val="16"/>
              </w:rPr>
              <w:t xml:space="preserve">Paylocity Investor Relations </w:t>
            </w:r>
            <w:r>
              <w:rPr>
                <w:rFonts w:ascii="ITC Avant Garde Pro Md;sans-serif" w:hAnsi="ITC Avant Garde Pro Md;sans-serif"/>
                <w:b w:val="false"/>
                <w:color w:val="F78D2D"/>
                <w:sz w:val="16"/>
              </w:rPr>
              <w:t>Investors@paylocity.com</w:t>
            </w:r>
          </w:p>
        </w:tc>
      </w:tr>
      <w:tr>
        <w:trPr/>
        <w:tc>
          <w:tcPr>
            <w:tcW w:w="3411" w:type="dxa"/>
            <w:gridSpan w:val="3"/>
            <w:vMerge w:val="continue"/>
            <w:tcBorders/>
            <w:tcMar>
              <w:top w:w="0" w:type="dxa"/>
              <w:left w:w="0" w:type="dxa"/>
              <w:bottom w:w="0" w:type="dxa"/>
              <w:right w:w="0" w:type="dxa"/>
            </w:tcMar>
            <w:vAlign w:val="center"/>
          </w:tcPr>
          <w:p>
            <w:pPr>
              <w:pStyle w:val="Normal"/>
              <w:bidi w:val="0"/>
              <w:jc w:val="left"/>
              <w:rPr/>
            </w:pPr>
            <w:r>
              <w:rPr/>
            </w:r>
          </w:p>
        </w:tc>
        <w:tc>
          <w:tcPr>
            <w:tcW w:w="1790" w:type="dxa"/>
            <w:gridSpan w:val="3"/>
            <w:tcBorders>
              <w:top w:val="single" w:sz="4" w:space="0" w:color="313D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Voting for beneficial holders</w:t>
            </w:r>
          </w:p>
        </w:tc>
        <w:tc>
          <w:tcPr>
            <w:tcW w:w="5004" w:type="dxa"/>
            <w:gridSpan w:val="3"/>
            <w:tcBorders>
              <w:top w:val="single" w:sz="4" w:space="0" w:color="313D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Please contact your broker, bank or other nominee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25170"/>
                <wp:effectExtent l="0" t="0" r="0" b="0"/>
                <wp:wrapNone/>
                <wp:docPr id="15" name="Frame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10"/>
        <w:jc w:val="right"/>
        <w:rPr/>
      </w:pPr>
      <w:r>
        <w:rPr/>
        <w:drawing>
          <wp:inline distT="0" distB="0" distL="0" distR="0">
            <wp:extent cx="714375" cy="10477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714375" cy="104775"/>
                    </a:xfrm>
                    <a:prstGeom prst="rect">
                      <a:avLst/>
                    </a:prstGeom>
                  </pic:spPr>
                </pic:pic>
              </a:graphicData>
            </a:graphic>
          </wp:inline>
        </w:drawing>
      </w:r>
      <w:bookmarkStart w:id="11" w:name="i-12"/>
      <w:bookmarkEnd w:id="11"/>
    </w:p>
    <w:p>
      <w:pPr>
        <w:pStyle w:val="TextBody"/>
        <w:bidi w:val="0"/>
        <w:spacing w:lineRule="auto" w:line="312" w:before="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Paylocity Holding Corporation Table of Contents</w:t>
      </w:r>
    </w:p>
    <w:tbl>
      <w:tblPr>
        <w:tblW w:w="10205" w:type="dxa"/>
        <w:jc w:val="left"/>
        <w:tblInd w:w="0" w:type="dxa"/>
        <w:tblLayout w:type="fixed"/>
        <w:tblCellMar>
          <w:top w:w="28" w:type="dxa"/>
          <w:left w:w="28" w:type="dxa"/>
          <w:bottom w:w="28" w:type="dxa"/>
          <w:right w:w="28" w:type="dxa"/>
        </w:tblCellMar>
      </w:tblPr>
      <w:tblGrid>
        <w:gridCol w:w="202"/>
        <w:gridCol w:w="177"/>
        <w:gridCol w:w="179"/>
        <w:gridCol w:w="109"/>
        <w:gridCol w:w="109"/>
        <w:gridCol w:w="109"/>
        <w:gridCol w:w="1082"/>
        <w:gridCol w:w="1009"/>
        <w:gridCol w:w="1005"/>
        <w:gridCol w:w="1848"/>
        <w:gridCol w:w="1787"/>
        <w:gridCol w:w="2589"/>
      </w:tblGrid>
      <w:tr>
        <w:trPr/>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13">
              <w:r>
                <w:rPr>
                  <w:rStyle w:val="InternetLink"/>
                  <w:rFonts w:ascii="ITC Avant Garde Pro Bk;sans-serif" w:hAnsi="ITC Avant Garde Pro Bk;sans-serif"/>
                  <w:b/>
                  <w:strike w:val="false"/>
                  <w:dstrike w:val="false"/>
                  <w:color w:val="EE2626"/>
                  <w:sz w:val="24"/>
                  <w:u w:val="none"/>
                  <w:effect w:val="non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13">
              <w:r>
                <w:rPr>
                  <w:rStyle w:val="InternetLink"/>
                  <w:rFonts w:ascii="ITC Avant Garde Pro Md;sans-serif" w:hAnsi="ITC Avant Garde Pro Md;sans-serif"/>
                  <w:b w:val="false"/>
                  <w:strike w:val="false"/>
                  <w:dstrike w:val="false"/>
                  <w:color w:val="000080"/>
                  <w:sz w:val="17"/>
                  <w:u w:val="single"/>
                  <w:effect w:val="none"/>
                </w:rPr>
                <w:t>Notice of 202</w:t>
              </w:r>
            </w:hyperlink>
            <w:hyperlink w:anchor="ibfd6b0483d1b4b30b74b2f1f409ac4ea_13">
              <w:r>
                <w:rPr>
                  <w:rStyle w:val="InternetLink"/>
                  <w:rFonts w:ascii="ITC Avant Garde Pro Md;sans-serif" w:hAnsi="ITC Avant Garde Pro Md;sans-serif"/>
                  <w:b w:val="false"/>
                  <w:strike w:val="false"/>
                  <w:dstrike w:val="false"/>
                  <w:color w:val="000080"/>
                  <w:sz w:val="17"/>
                  <w:u w:val="single"/>
                  <w:effect w:val="none"/>
                </w:rPr>
                <w:t>7</w:t>
              </w:r>
            </w:hyperlink>
            <w:hyperlink w:anchor="ibfd6b0483d1b4b30b74b2f1f409ac4ea_13">
              <w:r>
                <w:rPr>
                  <w:rStyle w:val="InternetLink"/>
                  <w:rFonts w:ascii="ITC Avant Garde Pro Md;sans-serif" w:hAnsi="ITC Avant Garde Pro Md;sans-serif"/>
                  <w:b w:val="false"/>
                  <w:strike w:val="false"/>
                  <w:dstrike w:val="false"/>
                  <w:color w:val="000080"/>
                  <w:sz w:val="17"/>
                  <w:u w:val="single"/>
                  <w:effect w:val="none"/>
                </w:rPr>
                <w:t xml:space="preserve"> Annual Meeting of Stockholders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19">
              <w:r>
                <w:rPr>
                  <w:rStyle w:val="InternetLink"/>
                  <w:rFonts w:ascii="ITC Avant Garde Pro Bk;sans-serif" w:hAnsi="ITC Avant Garde Pro Bk;sans-serif"/>
                  <w:b/>
                  <w:strike w:val="false"/>
                  <w:dstrike w:val="false"/>
                  <w:color w:val="EE2626"/>
                  <w:sz w:val="24"/>
                  <w:u w:val="none"/>
                  <w:effect w:val="non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19">
              <w:r>
                <w:rPr>
                  <w:rStyle w:val="InternetLink"/>
                  <w:rFonts w:ascii="ITC Avant Garde Pro Md;sans-serif" w:hAnsi="ITC Avant Garde Pro Md;sans-serif"/>
                  <w:b w:val="false"/>
                  <w:strike w:val="false"/>
                  <w:dstrike w:val="false"/>
                  <w:color w:val="000080"/>
                  <w:sz w:val="17"/>
                  <w:u w:val="single"/>
                  <w:effect w:val="none"/>
                </w:rPr>
                <w:t xml:space="preserve">Proxy Statement for Annual Meeting of Stockholders to be Held December </w:t>
              </w:r>
            </w:hyperlink>
            <w:hyperlink w:anchor="ibfd6b0483d1b4b30b74b2f1f409ac4ea_19">
              <w:r>
                <w:rPr>
                  <w:rStyle w:val="InternetLink"/>
                  <w:rFonts w:ascii="ITC Avant Garde Pro Md;sans-serif" w:hAnsi="ITC Avant Garde Pro Md;sans-serif"/>
                  <w:b w:val="false"/>
                  <w:strike w:val="false"/>
                  <w:dstrike w:val="false"/>
                  <w:color w:val="000080"/>
                  <w:sz w:val="17"/>
                  <w:u w:val="single"/>
                  <w:effect w:val="none"/>
                </w:rPr>
                <w:t>3</w:t>
              </w:r>
            </w:hyperlink>
            <w:hyperlink w:anchor="ibfd6b0483d1b4b30b74b2f1f409ac4ea_19">
              <w:r>
                <w:rPr>
                  <w:rStyle w:val="InternetLink"/>
                  <w:rFonts w:ascii="ITC Avant Garde Pro Md;sans-serif" w:hAnsi="ITC Avant Garde Pro Md;sans-serif"/>
                  <w:b w:val="false"/>
                  <w:strike w:val="false"/>
                  <w:dstrike w:val="false"/>
                  <w:color w:val="000080"/>
                  <w:sz w:val="17"/>
                  <w:u w:val="single"/>
                  <w:effect w:val="none"/>
                </w:rPr>
                <w:t>, 202</w:t>
              </w:r>
            </w:hyperlink>
            <w:r>
              <w:rPr>
                <w:rFonts w:ascii="ITC Avant Garde Pro Md;sans-serif" w:hAnsi="ITC Avant Garde Pro Md;sans-serif"/>
                <w:b w:val="false"/>
                <w:color w:val="313E48"/>
                <w:sz w:val="17"/>
              </w:rPr>
              <w:t>6</w:t>
            </w:r>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22">
              <w:r>
                <w:rPr>
                  <w:rStyle w:val="InternetLink"/>
                  <w:rFonts w:ascii="ITC Avant Garde Pro Bk;sans-serif" w:hAnsi="ITC Avant Garde Pro Bk;sans-serif"/>
                  <w:b/>
                  <w:strike w:val="false"/>
                  <w:dstrike w:val="false"/>
                  <w:color w:val="EE2626"/>
                  <w:sz w:val="24"/>
                  <w:u w:val="none"/>
                  <w:effect w:val="non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22">
              <w:r>
                <w:rPr>
                  <w:rStyle w:val="InternetLink"/>
                  <w:rFonts w:ascii="ITC Avant Garde Pro Md;sans-serif" w:hAnsi="ITC Avant Garde Pro Md;sans-serif"/>
                  <w:b w:val="false"/>
                  <w:strike w:val="false"/>
                  <w:dstrike w:val="false"/>
                  <w:color w:val="313E48"/>
                  <w:sz w:val="17"/>
                  <w:u w:val="none"/>
                  <w:effect w:val="none"/>
                </w:rPr>
                <w:t>Solicitation and Voting</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25">
              <w:r>
                <w:rPr>
                  <w:rStyle w:val="InternetLink"/>
                  <w:rFonts w:ascii="ITC Avant Garde Pro Bk;sans-serif" w:hAnsi="ITC Avant Garde Pro Bk;sans-serif"/>
                  <w:b/>
                  <w:strike w:val="false"/>
                  <w:dstrike w:val="false"/>
                  <w:color w:val="EE2626"/>
                  <w:sz w:val="24"/>
                  <w:u w:val="none"/>
                  <w:effect w:val="non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0" cy="1905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857250" cy="190500"/>
                          </a:xfrm>
                          <a:prstGeom prst="rect">
                            <a:avLst/>
                          </a:prstGeom>
                        </pic:spPr>
                      </pic:pic>
                    </a:graphicData>
                  </a:graphic>
                </wp:inline>
              </w:drawing>
            </w:r>
            <w:bookmarkStart w:id="12" w:name="i-13"/>
            <w:bookmarkEnd w:id="12"/>
            <w:r>
              <w:rPr>
                <w:color w:val="313E48"/>
              </w:rPr>
              <w:t xml:space="preserve"> </w:t>
            </w:r>
          </w:p>
        </w:tc>
        <w:tc>
          <w:tcPr>
            <w:tcW w:w="622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25">
              <w:r>
                <w:rPr>
                  <w:rStyle w:val="InternetLink"/>
                  <w:rFonts w:ascii="ITC Avant Garde Pro Md;sans-serif" w:hAnsi="ITC Avant Garde Pro Md;sans-serif"/>
                  <w:b w:val="false"/>
                  <w:strike w:val="false"/>
                  <w:dstrike w:val="false"/>
                  <w:color w:val="313E48"/>
                  <w:sz w:val="17"/>
                  <w:u w:val="none"/>
                  <w:effect w:val="none"/>
                </w:rPr>
                <w:t>Election of Directors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28">
              <w:r>
                <w:rPr>
                  <w:rStyle w:val="InternetLink"/>
                  <w:rFonts w:ascii="ITC Avant Garde Pro Bk;sans-serif" w:hAnsi="ITC Avant Garde Pro Bk;sans-serif"/>
                  <w:b/>
                  <w:strike w:val="false"/>
                  <w:dstrike w:val="false"/>
                  <w:color w:val="EE2626"/>
                  <w:sz w:val="24"/>
                  <w:u w:val="none"/>
                  <w:effect w:val="none"/>
                </w:rPr>
                <w:t>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28">
              <w:r>
                <w:rPr>
                  <w:rStyle w:val="InternetLink"/>
                  <w:rFonts w:ascii="ITC Avant Garde Pro Md;sans-serif" w:hAnsi="ITC Avant Garde Pro Md;sans-serif"/>
                  <w:b w:val="false"/>
                  <w:strike w:val="false"/>
                  <w:dstrike w:val="false"/>
                  <w:color w:val="313E48"/>
                  <w:sz w:val="17"/>
                  <w:u w:val="none"/>
                  <w:effect w:val="none"/>
                </w:rPr>
                <w:t>Corporate Governance</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31">
              <w:r>
                <w:rPr>
                  <w:rStyle w:val="InternetLink"/>
                  <w:rFonts w:ascii="ITC Avant Garde Pro Bk;sans-serif" w:hAnsi="ITC Avant Garde Pro Bk;sans-serif"/>
                  <w:b/>
                  <w:strike w:val="false"/>
                  <w:dstrike w:val="false"/>
                  <w:color w:val="EE2626"/>
                  <w:sz w:val="24"/>
                  <w:u w:val="none"/>
                  <w:effect w:val="non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0" cy="1905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857250" cy="190500"/>
                          </a:xfrm>
                          <a:prstGeom prst="rect">
                            <a:avLst/>
                          </a:prstGeom>
                        </pic:spPr>
                      </pic:pic>
                    </a:graphicData>
                  </a:graphic>
                </wp:inline>
              </w:drawing>
            </w:r>
            <w:bookmarkStart w:id="13" w:name="i-14"/>
            <w:bookmarkEnd w:id="13"/>
            <w:r>
              <w:rPr>
                <w:color w:val="313E48"/>
              </w:rPr>
              <w:t> </w:t>
            </w:r>
          </w:p>
        </w:tc>
        <w:tc>
          <w:tcPr>
            <w:tcW w:w="622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31">
              <w:r>
                <w:rPr>
                  <w:rStyle w:val="InternetLink"/>
                  <w:rFonts w:ascii="ITC Avant Garde Pro Md;sans-serif" w:hAnsi="ITC Avant Garde Pro Md;sans-serif"/>
                  <w:b w:val="false"/>
                  <w:strike w:val="false"/>
                  <w:dstrike w:val="false"/>
                  <w:color w:val="313E48"/>
                  <w:sz w:val="17"/>
                  <w:u w:val="none"/>
                  <w:effect w:val="none"/>
                </w:rPr>
                <w:t>Ratification of Appointment of Independent Registered Public Accounting Firm</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34">
              <w:r>
                <w:rPr>
                  <w:rStyle w:val="InternetLink"/>
                  <w:rFonts w:ascii="ITC Avant Garde Pro Bk;sans-serif" w:hAnsi="ITC Avant Garde Pro Bk;sans-serif"/>
                  <w:b/>
                  <w:strike w:val="false"/>
                  <w:dstrike w:val="false"/>
                  <w:color w:val="EE2626"/>
                  <w:sz w:val="24"/>
                  <w:u w:val="none"/>
                  <w:effect w:val="non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34">
              <w:r>
                <w:rPr>
                  <w:rStyle w:val="InternetLink"/>
                  <w:rFonts w:ascii="ITC Avant Garde Pro Md;sans-serif" w:hAnsi="ITC Avant Garde Pro Md;sans-serif"/>
                  <w:b w:val="false"/>
                  <w:strike w:val="false"/>
                  <w:dstrike w:val="false"/>
                  <w:color w:val="313E48"/>
                  <w:sz w:val="17"/>
                  <w:u w:val="none"/>
                  <w:effect w:val="none"/>
                </w:rPr>
                <w:t>Report of the Audit Committee</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37">
              <w:r>
                <w:rPr>
                  <w:rStyle w:val="InternetLink"/>
                  <w:rFonts w:ascii="ITC Avant Garde Pro Bk;sans-serif" w:hAnsi="ITC Avant Garde Pro Bk;sans-serif"/>
                  <w:b/>
                  <w:strike w:val="false"/>
                  <w:dstrike w:val="false"/>
                  <w:color w:val="EE2626"/>
                  <w:sz w:val="24"/>
                  <w:u w:val="none"/>
                  <w:effect w:val="non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37">
              <w:r>
                <w:rPr>
                  <w:rStyle w:val="InternetLink"/>
                  <w:rFonts w:ascii="ITC Avant Garde Pro Md;sans-serif" w:hAnsi="ITC Avant Garde Pro Md;sans-serif"/>
                  <w:b w:val="false"/>
                  <w:strike w:val="false"/>
                  <w:dstrike w:val="false"/>
                  <w:color w:val="313E48"/>
                  <w:sz w:val="17"/>
                  <w:u w:val="none"/>
                  <w:effect w:val="none"/>
                </w:rPr>
                <w:t>Executive Officers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40">
              <w:r>
                <w:rPr>
                  <w:rStyle w:val="InternetLink"/>
                  <w:rFonts w:ascii="ITC Avant Garde Pro Bk;sans-serif" w:hAnsi="ITC Avant Garde Pro Bk;sans-serif"/>
                  <w:b/>
                  <w:strike w:val="false"/>
                  <w:dstrike w:val="false"/>
                  <w:color w:val="EE2626"/>
                  <w:sz w:val="24"/>
                  <w:u w:val="none"/>
                  <w:effect w:val="none"/>
                </w:rPr>
                <w:t>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40">
              <w:r>
                <w:rPr>
                  <w:rStyle w:val="InternetLink"/>
                  <w:rFonts w:ascii="ITC Avant Garde Pro Md;sans-serif" w:hAnsi="ITC Avant Garde Pro Md;sans-serif"/>
                  <w:b w:val="false"/>
                  <w:strike w:val="false"/>
                  <w:dstrike w:val="false"/>
                  <w:color w:val="313E48"/>
                  <w:sz w:val="17"/>
                  <w:u w:val="none"/>
                  <w:effect w:val="none"/>
                </w:rPr>
                <w:t>Compensation Discussion and Analysis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43">
              <w:r>
                <w:rPr>
                  <w:rStyle w:val="InternetLink"/>
                  <w:rFonts w:ascii="ITC Avant Garde Pro Bk;sans-serif" w:hAnsi="ITC Avant Garde Pro Bk;sans-serif"/>
                  <w:b/>
                  <w:strike w:val="false"/>
                  <w:dstrike w:val="false"/>
                  <w:color w:val="EE2626"/>
                  <w:sz w:val="24"/>
                  <w:u w:val="none"/>
                  <w:effect w:val="non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43">
              <w:r>
                <w:rPr>
                  <w:rStyle w:val="InternetLink"/>
                  <w:rFonts w:ascii="ITC Avant Garde Pro Md;sans-serif" w:hAnsi="ITC Avant Garde Pro Md;sans-serif"/>
                  <w:b w:val="false"/>
                  <w:strike w:val="false"/>
                  <w:dstrike w:val="false"/>
                  <w:color w:val="313E48"/>
                  <w:sz w:val="17"/>
                  <w:u w:val="none"/>
                  <w:effect w:val="none"/>
                </w:rPr>
                <w:t>Report of the Compensation Committee</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46">
              <w:r>
                <w:rPr>
                  <w:rStyle w:val="InternetLink"/>
                  <w:rFonts w:ascii="ITC Avant Garde Pro Bk;sans-serif" w:hAnsi="ITC Avant Garde Pro Bk;sans-serif"/>
                  <w:b/>
                  <w:strike w:val="false"/>
                  <w:dstrike w:val="false"/>
                  <w:color w:val="EE2626"/>
                  <w:sz w:val="24"/>
                  <w:u w:val="none"/>
                  <w:effect w:val="non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46">
              <w:r>
                <w:rPr>
                  <w:rStyle w:val="InternetLink"/>
                  <w:rFonts w:ascii="ITC Avant Garde Pro Md;sans-serif" w:hAnsi="ITC Avant Garde Pro Md;sans-serif"/>
                  <w:b w:val="false"/>
                  <w:strike w:val="false"/>
                  <w:dstrike w:val="false"/>
                  <w:color w:val="313E48"/>
                  <w:sz w:val="17"/>
                  <w:u w:val="none"/>
                  <w:effect w:val="none"/>
                </w:rPr>
                <w:t>Compensation of Named Executive Officers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49">
              <w:r>
                <w:rPr>
                  <w:rStyle w:val="InternetLink"/>
                  <w:rFonts w:ascii="ITC Avant Garde Pro Bk;sans-serif" w:hAnsi="ITC Avant Garde Pro Bk;sans-serif"/>
                  <w:b/>
                  <w:strike w:val="false"/>
                  <w:dstrike w:val="false"/>
                  <w:color w:val="EE2626"/>
                  <w:sz w:val="24"/>
                  <w:u w:val="none"/>
                  <w:effect w:val="none"/>
                </w:rPr>
                <w:t>56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49">
              <w:r>
                <w:rPr>
                  <w:rStyle w:val="InternetLink"/>
                  <w:rFonts w:ascii="ITC Avant Garde Pro Md;sans-serif" w:hAnsi="ITC Avant Garde Pro Md;sans-serif"/>
                  <w:b w:val="false"/>
                  <w:strike w:val="false"/>
                  <w:dstrike w:val="false"/>
                  <w:color w:val="313E48"/>
                  <w:sz w:val="17"/>
                  <w:u w:val="none"/>
                  <w:effect w:val="none"/>
                </w:rPr>
                <w:t>Equity Compensation Plan Information</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52">
              <w:r>
                <w:rPr>
                  <w:rStyle w:val="InternetLink"/>
                  <w:rFonts w:ascii="ITC Avant Garde Pro Bk;sans-serif" w:hAnsi="ITC Avant Garde Pro Bk;sans-serif"/>
                  <w:b/>
                  <w:strike w:val="false"/>
                  <w:dstrike w:val="false"/>
                  <w:color w:val="EE2626"/>
                  <w:sz w:val="24"/>
                  <w:u w:val="none"/>
                  <w:effect w:val="none"/>
                </w:rPr>
                <w:t>57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52">
              <w:r>
                <w:rPr>
                  <w:rStyle w:val="InternetLink"/>
                  <w:rFonts w:ascii="ITC Avant Garde Pro Md;sans-serif" w:hAnsi="ITC Avant Garde Pro Md;sans-serif"/>
                  <w:b w:val="false"/>
                  <w:strike w:val="false"/>
                  <w:dstrike w:val="false"/>
                  <w:color w:val="313E48"/>
                  <w:sz w:val="17"/>
                  <w:u w:val="none"/>
                  <w:effect w:val="none"/>
                </w:rPr>
                <w:t>Certain Relationships and Related Party Transactions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55">
              <w:r>
                <w:rPr>
                  <w:rStyle w:val="InternetLink"/>
                  <w:rFonts w:ascii="ITC Avant Garde Pro Bk;sans-serif" w:hAnsi="ITC Avant Garde Pro Bk;sans-serif"/>
                  <w:b/>
                  <w:strike w:val="false"/>
                  <w:dstrike w:val="false"/>
                  <w:color w:val="EE2626"/>
                  <w:sz w:val="24"/>
                  <w:u w:val="none"/>
                  <w:effect w:val="none"/>
                </w:rPr>
                <w:t>58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55">
              <w:r>
                <w:rPr>
                  <w:rStyle w:val="InternetLink"/>
                  <w:rFonts w:ascii="ITC Avant Garde Pro Md;sans-serif" w:hAnsi="ITC Avant Garde Pro Md;sans-serif"/>
                  <w:b w:val="false"/>
                  <w:strike w:val="false"/>
                  <w:dstrike w:val="false"/>
                  <w:color w:val="313E48"/>
                  <w:sz w:val="17"/>
                  <w:u w:val="none"/>
                  <w:effect w:val="none"/>
                </w:rPr>
                <w:t>Security Ownership of Certain Beneficial Owners and Management</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58">
              <w:r>
                <w:rPr>
                  <w:rStyle w:val="InternetLink"/>
                  <w:rFonts w:ascii="ITC Avant Garde Pro Bk;sans-serif" w:hAnsi="ITC Avant Garde Pro Bk;sans-serif"/>
                  <w:b/>
                  <w:strike w:val="false"/>
                  <w:dstrike w:val="false"/>
                  <w:color w:val="EE2626"/>
                  <w:sz w:val="24"/>
                  <w:u w:val="none"/>
                  <w:effect w:val="none"/>
                </w:rPr>
                <w:t>61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58">
              <w:r>
                <w:rPr>
                  <w:rStyle w:val="InternetLink"/>
                  <w:rFonts w:ascii="ITC Avant Garde Pro Md;sans-serif" w:hAnsi="ITC Avant Garde Pro Md;sans-serif"/>
                  <w:b w:val="false"/>
                  <w:strike w:val="false"/>
                  <w:dstrike w:val="false"/>
                  <w:color w:val="313E48"/>
                  <w:sz w:val="17"/>
                  <w:u w:val="none"/>
                  <w:effect w:val="none"/>
                </w:rPr>
                <w:t>Delinquent Section 16(a) Reports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61">
              <w:r>
                <w:rPr>
                  <w:rStyle w:val="InternetLink"/>
                  <w:rFonts w:ascii="ITC Avant Garde Pro Bk;sans-serif" w:hAnsi="ITC Avant Garde Pro Bk;sans-serif"/>
                  <w:b/>
                  <w:strike w:val="false"/>
                  <w:dstrike w:val="false"/>
                  <w:color w:val="EE2626"/>
                  <w:sz w:val="24"/>
                  <w:u w:val="none"/>
                  <w:effect w:val="none"/>
                </w:rPr>
                <w:t>62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66775" cy="1905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866775" cy="190500"/>
                          </a:xfrm>
                          <a:prstGeom prst="rect">
                            <a:avLst/>
                          </a:prstGeom>
                        </pic:spPr>
                      </pic:pic>
                    </a:graphicData>
                  </a:graphic>
                </wp:inline>
              </w:drawing>
            </w:r>
            <w:bookmarkStart w:id="14" w:name="i-15"/>
            <w:bookmarkEnd w:id="14"/>
            <w:r>
              <w:rPr>
                <w:color w:val="313E48"/>
              </w:rPr>
              <w:t> </w:t>
            </w:r>
          </w:p>
        </w:tc>
        <w:tc>
          <w:tcPr>
            <w:tcW w:w="622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61">
              <w:r>
                <w:rPr>
                  <w:rStyle w:val="InternetLink"/>
                  <w:rFonts w:ascii="ITC Avant Garde Pro Md;sans-serif" w:hAnsi="ITC Avant Garde Pro Md;sans-serif"/>
                  <w:b w:val="false"/>
                  <w:strike w:val="false"/>
                  <w:dstrike w:val="false"/>
                  <w:color w:val="313E48"/>
                  <w:sz w:val="17"/>
                  <w:u w:val="none"/>
                  <w:effect w:val="none"/>
                </w:rPr>
                <w:t>Advisory Vote to Approve the Compensation of Our Named Executive Officers</w:t>
              </w:r>
            </w:hyperlink>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64">
              <w:r>
                <w:rPr>
                  <w:rStyle w:val="InternetLink"/>
                  <w:rFonts w:ascii="ITC Avant Garde Pro Bk;sans-serif" w:hAnsi="ITC Avant Garde Pro Bk;sans-serif"/>
                  <w:b/>
                  <w:strike w:val="false"/>
                  <w:dstrike w:val="false"/>
                  <w:color w:val="EE2626"/>
                  <w:sz w:val="24"/>
                  <w:u w:val="none"/>
                  <w:effect w:val="none"/>
                </w:rPr>
                <w:t>63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0" cy="1905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857250" cy="190500"/>
                          </a:xfrm>
                          <a:prstGeom prst="rect">
                            <a:avLst/>
                          </a:prstGeom>
                        </pic:spPr>
                      </pic:pic>
                    </a:graphicData>
                  </a:graphic>
                </wp:inline>
              </w:drawing>
            </w:r>
            <w:bookmarkStart w:id="15" w:name="i-16"/>
            <w:bookmarkEnd w:id="15"/>
            <w:r>
              <w:rPr>
                <w:color w:val="313E48"/>
              </w:rPr>
              <w:t> </w:t>
            </w:r>
          </w:p>
        </w:tc>
        <w:tc>
          <w:tcPr>
            <w:tcW w:w="622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64">
              <w:r>
                <w:rPr>
                  <w:rStyle w:val="InternetLink"/>
                  <w:rFonts w:ascii="ITC Avant Garde Pro Md;sans-serif" w:hAnsi="ITC Avant Garde Pro Md;sans-serif"/>
                  <w:b w:val="false"/>
                  <w:strike w:val="false"/>
                  <w:dstrike w:val="false"/>
                  <w:color w:val="000080"/>
                  <w:sz w:val="17"/>
                  <w:u w:val="single"/>
                  <w:effect w:val="none"/>
                </w:rPr>
                <w:t xml:space="preserve">Approval of </w:t>
              </w:r>
            </w:hyperlink>
            <w:hyperlink w:anchor="ibfd6b0483d1b4b30b74b2f1f409ac4ea_64">
              <w:r>
                <w:rPr>
                  <w:rStyle w:val="InternetLink"/>
                  <w:rFonts w:ascii="ITC Avant Garde Pro Md;sans-serif" w:hAnsi="ITC Avant Garde Pro Md;sans-serif"/>
                  <w:b w:val="false"/>
                  <w:strike w:val="false"/>
                  <w:dstrike w:val="false"/>
                  <w:color w:val="000080"/>
                  <w:sz w:val="17"/>
                  <w:u w:val="single"/>
                  <w:effect w:val="none"/>
                </w:rPr>
                <w:t>t</w:t>
              </w:r>
            </w:hyperlink>
            <w:hyperlink w:anchor="ibfd6b0483d1b4b30b74b2f1f409ac4ea_64">
              <w:r>
                <w:rPr>
                  <w:rStyle w:val="InternetLink"/>
                  <w:rFonts w:ascii="ITC Avant Garde Pro Md;sans-serif" w:hAnsi="ITC Avant Garde Pro Md;sans-serif"/>
                  <w:b w:val="false"/>
                  <w:strike w:val="false"/>
                  <w:dstrike w:val="false"/>
                  <w:color w:val="000080"/>
                  <w:sz w:val="17"/>
                  <w:u w:val="single"/>
                  <w:effect w:val="none"/>
                </w:rPr>
                <w:t xml:space="preserve">he </w:t>
              </w:r>
            </w:hyperlink>
            <w:hyperlink w:anchor="ibfd6b0483d1b4b30b74b2f1f409ac4ea_64">
              <w:r>
                <w:rPr>
                  <w:rStyle w:val="InternetLink"/>
                  <w:rFonts w:ascii="ITC Avant Garde Pro Md;sans-serif" w:hAnsi="ITC Avant Garde Pro Md;sans-serif"/>
                  <w:b w:val="false"/>
                  <w:strike w:val="false"/>
                  <w:dstrike w:val="false"/>
                  <w:color w:val="000080"/>
                  <w:sz w:val="17"/>
                  <w:u w:val="single"/>
                  <w:effect w:val="none"/>
                </w:rPr>
                <w:t xml:space="preserve">Second </w:t>
              </w:r>
            </w:hyperlink>
            <w:hyperlink w:anchor="ibfd6b0483d1b4b30b74b2f1f409ac4ea_64">
              <w:r>
                <w:rPr>
                  <w:rStyle w:val="InternetLink"/>
                  <w:rFonts w:ascii="ITC Avant Garde Pro Md;sans-serif" w:hAnsi="ITC Avant Garde Pro Md;sans-serif"/>
                  <w:b w:val="false"/>
                  <w:strike w:val="false"/>
                  <w:dstrike w:val="false"/>
                  <w:color w:val="000080"/>
                  <w:sz w:val="17"/>
                  <w:u w:val="single"/>
                  <w:effect w:val="none"/>
                </w:rPr>
                <w:t>Amended and Restated 2023 Equity Incentive Plan</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67">
              <w:r>
                <w:rPr>
                  <w:rStyle w:val="InternetLink"/>
                  <w:rFonts w:ascii="ITC Avant Garde Pro Bk;sans-serif" w:hAnsi="ITC Avant Garde Pro Bk;sans-serif"/>
                  <w:b/>
                  <w:strike w:val="false"/>
                  <w:dstrike w:val="false"/>
                  <w:color w:val="EE2626"/>
                  <w:sz w:val="24"/>
                  <w:u w:val="none"/>
                  <w:effect w:val="none"/>
                </w:rPr>
                <w:t>73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67">
              <w:r>
                <w:rPr>
                  <w:rStyle w:val="InternetLink"/>
                  <w:rFonts w:ascii="ITC Avant Garde Pro Md;sans-serif" w:hAnsi="ITC Avant Garde Pro Md;sans-serif"/>
                  <w:b w:val="false"/>
                  <w:strike w:val="false"/>
                  <w:dstrike w:val="false"/>
                  <w:color w:val="313E48"/>
                  <w:sz w:val="17"/>
                  <w:u w:val="none"/>
                  <w:effect w:val="none"/>
                </w:rPr>
                <w:t>Stockholder Proposals or Nominations to be Presented at Next Annual Meeting</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70">
              <w:r>
                <w:rPr>
                  <w:rStyle w:val="InternetLink"/>
                  <w:rFonts w:ascii="ITC Avant Garde Pro Bk;sans-serif" w:hAnsi="ITC Avant Garde Pro Bk;sans-serif"/>
                  <w:b/>
                  <w:strike w:val="false"/>
                  <w:dstrike w:val="false"/>
                  <w:color w:val="EE2626"/>
                  <w:sz w:val="24"/>
                  <w:u w:val="none"/>
                  <w:effect w:val="none"/>
                </w:rPr>
                <w:t>74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70">
              <w:r>
                <w:rPr>
                  <w:rStyle w:val="InternetLink"/>
                  <w:rFonts w:ascii="ITC Avant Garde Pro Md;sans-serif" w:hAnsi="ITC Avant Garde Pro Md;sans-serif"/>
                  <w:b w:val="false"/>
                  <w:strike w:val="false"/>
                  <w:dstrike w:val="false"/>
                  <w:color w:val="313E48"/>
                  <w:sz w:val="17"/>
                  <w:u w:val="none"/>
                  <w:effect w:val="none"/>
                </w:rPr>
                <w:t>Transaction of Other Business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73">
              <w:r>
                <w:rPr>
                  <w:rStyle w:val="InternetLink"/>
                  <w:rFonts w:ascii="ITC Avant Garde Pro Bk;sans-serif" w:hAnsi="ITC Avant Garde Pro Bk;sans-serif"/>
                  <w:b/>
                  <w:strike w:val="false"/>
                  <w:dstrike w:val="false"/>
                  <w:color w:val="EE2626"/>
                  <w:sz w:val="24"/>
                  <w:u w:val="none"/>
                  <w:effect w:val="none"/>
                </w:rPr>
                <w:t>75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73">
              <w:r>
                <w:rPr>
                  <w:rStyle w:val="InternetLink"/>
                  <w:rFonts w:ascii="ITC Avant Garde Pro Md;sans-serif" w:hAnsi="ITC Avant Garde Pro Md;sans-serif"/>
                  <w:b w:val="false"/>
                  <w:strike w:val="false"/>
                  <w:dstrike w:val="false"/>
                  <w:color w:val="313E48"/>
                  <w:sz w:val="17"/>
                  <w:u w:val="none"/>
                  <w:effect w:val="none"/>
                </w:rPr>
                <w:t>Stockholders Sharing the Same Last Name and Address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76">
              <w:r>
                <w:rPr>
                  <w:rStyle w:val="InternetLink"/>
                  <w:rFonts w:ascii="ITC Avant Garde Pro Bk;sans-serif" w:hAnsi="ITC Avant Garde Pro Bk;sans-serif"/>
                  <w:b/>
                  <w:strike w:val="false"/>
                  <w:dstrike w:val="false"/>
                  <w:color w:val="000080"/>
                  <w:sz w:val="24"/>
                  <w:u w:val="single"/>
                  <w:effect w:val="none"/>
                </w:rPr>
                <w:t>A-</w:t>
              </w:r>
            </w:hyperlink>
            <w:hyperlink w:anchor="ibfd6b0483d1b4b30b74b2f1f409ac4ea_76">
              <w:r>
                <w:rPr>
                  <w:rStyle w:val="InternetLink"/>
                  <w:rFonts w:ascii="ITC Avant Garde Pro Bk;sans-serif" w:hAnsi="ITC Avant Garde Pro Bk;sans-serif"/>
                  <w:b/>
                  <w:strike w:val="false"/>
                  <w:dstrike w:val="false"/>
                  <w:color w:val="000080"/>
                  <w:sz w:val="24"/>
                  <w:u w:val="single"/>
                  <w:effect w:val="non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76">
              <w:r>
                <w:rPr>
                  <w:rStyle w:val="InternetLink"/>
                  <w:rFonts w:ascii="ITC Avant Garde Pro Md;sans-serif" w:hAnsi="ITC Avant Garde Pro Md;sans-serif"/>
                  <w:b w:val="false"/>
                  <w:strike w:val="false"/>
                  <w:dstrike w:val="false"/>
                  <w:color w:val="313E48"/>
                  <w:sz w:val="17"/>
                  <w:u w:val="none"/>
                  <w:effect w:val="none"/>
                </w:rPr>
                <w:t>Appendix A - Non-GAAP Financial Measures</w:t>
              </w:r>
            </w:hyperlink>
          </w:p>
        </w:tc>
      </w:tr>
      <w:tr>
        <w:trPr/>
        <w:tc>
          <w:tcPr>
            <w:tcW w:w="558"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d6b0483d1b4b30b74b2f1f409ac4ea_79">
              <w:r>
                <w:rPr>
                  <w:rStyle w:val="InternetLink"/>
                  <w:rFonts w:ascii="ITC Avant Garde Pro Bk;sans-serif" w:hAnsi="ITC Avant Garde Pro Bk;sans-serif"/>
                  <w:b/>
                  <w:strike w:val="false"/>
                  <w:dstrike w:val="false"/>
                  <w:color w:val="000080"/>
                  <w:sz w:val="24"/>
                  <w:u w:val="single"/>
                  <w:effect w:val="none"/>
                </w:rPr>
                <w:t>B-</w:t>
              </w:r>
            </w:hyperlink>
            <w:hyperlink w:anchor="ibfd6b0483d1b4b30b74b2f1f409ac4ea_76">
              <w:r>
                <w:rPr>
                  <w:rStyle w:val="InternetLink"/>
                  <w:rFonts w:ascii="ITC Avant Garde Pro Bk;sans-serif" w:hAnsi="ITC Avant Garde Pro Bk;sans-serif"/>
                  <w:b/>
                  <w:strike w:val="false"/>
                  <w:dstrike w:val="false"/>
                  <w:color w:val="000080"/>
                  <w:sz w:val="24"/>
                  <w:u w:val="single"/>
                  <w:effect w:val="non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d6b0483d1b4b30b74b2f1f409ac4ea_79">
              <w:r>
                <w:rPr>
                  <w:rStyle w:val="InternetLink"/>
                  <w:rFonts w:ascii="ITC Avant Garde Pro Md;sans-serif" w:hAnsi="ITC Avant Garde Pro Md;sans-serif"/>
                  <w:b w:val="false"/>
                  <w:strike w:val="false"/>
                  <w:dstrike w:val="false"/>
                  <w:color w:val="313E48"/>
                  <w:sz w:val="17"/>
                  <w:u w:val="none"/>
                  <w:effect w:val="none"/>
                </w:rPr>
                <w:t>Appendix B - The Second Amended and Restated 2023 Equity Incentive Plan</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28650"/>
                <wp:effectExtent l="0" t="0" r="0" b="0"/>
                <wp:wrapNone/>
                <wp:docPr id="21"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before="0" w:after="80"/>
        <w:jc w:val="left"/>
        <w:rPr/>
      </w:pPr>
      <w:r>
        <w:rPr/>
        <w:drawing>
          <wp:inline distT="0" distB="0" distL="0" distR="0">
            <wp:extent cx="2228850" cy="59055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2228850" cy="590550"/>
                    </a:xfrm>
                    <a:prstGeom prst="rect">
                      <a:avLst/>
                    </a:prstGeom>
                  </pic:spPr>
                </pic:pic>
              </a:graphicData>
            </a:graphic>
          </wp:inline>
        </w:drawing>
      </w:r>
      <w:bookmarkStart w:id="16" w:name="i-17"/>
      <w:bookmarkEnd w:id="16"/>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Proxy Statement for Annual Meeting of Stockholders to be Held December 3, 2026</w:t>
      </w:r>
    </w:p>
    <w:p>
      <w:pPr>
        <w:pStyle w:val="TextBody"/>
        <w:bidi w:val="0"/>
        <w:spacing w:lineRule="auto" w:line="312" w:before="120" w:after="56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board of directors of Paylocity Holding Corporation is soliciting your proxy for the 2027 Annual Meeting of Stockholders to be held on December 3, 2026, or any adjournment or postponement thereof, for the purposes set forth in the accompanying Notice of Annual Meeting of Stockholders. This Proxy Statement and related materials are first being made available to stockholders on or about October 22, 2026. References in this Proxy Statement to the “Company,” “we,” “our,” “us” and “Paylocity” are to Paylocity Holding Corporation and its consolidated subsidiaries, and references to the “annual meeting” are to the 2027 Annual Meeting of Stockholders. When we refer to the Company’s fiscal year, we mean the annual period ended on June 30, 2026. This proxy statement covers our 2026 fiscal year, which was from July 1, 2025 through June 30, 2026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Solicitation and Voting</w:t>
      </w:r>
    </w:p>
    <w:p>
      <w:pPr>
        <w:pStyle w:val="TextBody"/>
        <w:bidi w:val="0"/>
        <w:spacing w:lineRule="auto" w:line="288" w:before="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Record Date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Only stockholders of record at the close of business on October 6, 2026 will be entitled to notice of and to vote at the meeting and any adjournment thereof. At the close of business on this record date, a total of 52,174,262 shares of our common stock were outstanding and entitled to vote. Each share of common stock has one vote.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Quorum</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 majority of the shares of common stock issued and outstanding as of the record date must be present or represented by proxy to constitute a quorum for the transaction of business at the meeting. Your shares will be counted towards the quorum if you submit a valid proxy (or one is submitted on your behalf by your broker or bank) or if you vote at the virtual meeting. Abstentions and “broker non-votes” (shares held by a broker or nominee that does not have the authority, either express or discretionary, to vote on a particular matter) will each be counted as present for purposes of determining the presence of a quorum.</w:t>
      </w:r>
    </w:p>
    <w:p>
      <w:pPr>
        <w:pStyle w:val="TextBody"/>
        <w:bidi w:val="0"/>
        <w:spacing w:lineRule="auto" w:line="288" w:before="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Vote Required to Adopt Proposals</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Each share of our common stock outstanding on the record date is entitled to one vote on each of the </w:t>
      </w:r>
      <w:r>
        <w:rPr>
          <w:rFonts w:ascii="ITC Avant Garde Pro Md;sans-serif" w:hAnsi="ITC Avant Garde Pro Md;sans-serif"/>
          <w:b w:val="false"/>
          <w:color w:val="314049"/>
          <w:sz w:val="17"/>
        </w:rPr>
        <w:t>nine</w:t>
      </w:r>
      <w:r>
        <w:rPr>
          <w:color w:val="313D48"/>
        </w:rPr>
        <w:t xml:space="preserve"> </w:t>
      </w:r>
      <w:r>
        <w:rPr>
          <w:rFonts w:ascii="ITC Avant Garde Pro Md;sans-serif" w:hAnsi="ITC Avant Garde Pro Md;sans-serif"/>
          <w:b w:val="false"/>
          <w:color w:val="313D48"/>
          <w:sz w:val="17"/>
        </w:rPr>
        <w:t>director nominees and one vote on each other matter. For the election of the directors, the director nominees will be elected by a plurality of the votes cast. In an uncontested election of directors, this means that each director nominee will be elected if he or she receives at least one “FOR” vote. With respect to the ratification of the appointment of our independent registered audit firm, the advisory vote to approve the compensation of our named executive officers and approval of the Second Amended and Restated 2023 Equity Incentive Plan, approval of the proposals requires the affirmative vote of a majority of the shares present or represented by proxy and entitled to vote on the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25170"/>
                <wp:effectExtent l="0" t="0" r="0" b="0"/>
                <wp:wrapNone/>
                <wp:docPr id="23" name="Frame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Solicitation and Voting</w:t>
      </w:r>
    </w:p>
    <w:p>
      <w:pPr>
        <w:pStyle w:val="TextBody"/>
        <w:bidi w:val="0"/>
        <w:spacing w:lineRule="auto" w:line="288" w:before="320" w:after="120"/>
        <w:jc w:val="left"/>
        <w:rPr>
          <w:rFonts w:ascii="ITC Avant Garde Pro Bk;sans-serif" w:hAnsi="ITC Avant Garde Pro Bk;sans-serif"/>
          <w:b/>
          <w:color w:val="F78D2D"/>
          <w:sz w:val="36"/>
        </w:rPr>
      </w:pPr>
      <w:r>
        <w:rPr>
          <w:rFonts w:ascii="ITC Avant Garde Pro Bk;sans-serif" w:hAnsi="ITC Avant Garde Pro Bk;sans-serif"/>
          <w:b/>
          <w:color w:val="F78D2D"/>
          <w:sz w:val="36"/>
        </w:rPr>
        <w:t>Effect of Abstentions and Broker Non-Votes</w:t>
      </w:r>
    </w:p>
    <w:p>
      <w:pPr>
        <w:pStyle w:val="TextBody"/>
        <w:bidi w:val="0"/>
        <w:spacing w:lineRule="auto" w:line="288"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Broker non-votes and shares voted “Withhold” will have no effect on the election of the directors. For each of the other proposals, broker non-votes, if any, will not be counted in determining the number of votes cast and will have no effect on the approval of these proposals, but abstentions will have the same effect as a vote against the matters. Proposal No. 2 is a routine matter, and no broker non-votes are expected to exist in connection with Proposal No. 2. If your shares are held in an account at a bank or brokerage firm, that bank or brokerage firm may vote your shares on Proposal No. 2 regarding ratification of our independent auditors but will not be permitted to vote your shares with respect to Proposal Nos. 1, 3 and 4, unless you provide instructions as to how your shares should be voted. Your bank or broker will vote your shares on Proposal Nos. 1, 3 and 4 only if you provide instructions on how to vote by following the instructions they provide to you. Accordingly, we encourage you to vote promptly, even if you plan to attend the virtual annual meeting.</w:t>
      </w:r>
    </w:p>
    <w:p>
      <w:pPr>
        <w:pStyle w:val="TextBody"/>
        <w:bidi w:val="0"/>
        <w:spacing w:lineRule="auto" w:line="288" w:before="240" w:after="120"/>
        <w:jc w:val="left"/>
        <w:rPr>
          <w:rFonts w:ascii="ITC Avant Garde Pro Bk;sans-serif" w:hAnsi="ITC Avant Garde Pro Bk;sans-serif"/>
          <w:b/>
          <w:color w:val="F78D2D"/>
          <w:sz w:val="36"/>
        </w:rPr>
      </w:pPr>
      <w:r>
        <w:rPr>
          <w:rFonts w:ascii="ITC Avant Garde Pro Bk;sans-serif" w:hAnsi="ITC Avant Garde Pro Bk;sans-serif"/>
          <w:b/>
          <w:color w:val="F78D2D"/>
          <w:sz w:val="36"/>
        </w:rPr>
        <w:t>Voting Instructions</w:t>
      </w:r>
    </w:p>
    <w:p>
      <w:pPr>
        <w:pStyle w:val="TextBody"/>
        <w:bidi w:val="0"/>
        <w:spacing w:lineRule="auto" w:line="288"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If you complete and submit your proxy card or voting instructions, the persons named as proxies will follow your voting instructions. If no choice is indicated on a signed and dated proxy card, the shares will be voted as the board recommends on each proposal as follows: “FOR” the election of each of the nominees named herein, “FOR” the ratification of the appointment of our independent auditors, "FOR" the advisory approval of the compensation of our named executive officers and "FOR" the approval of the Second Amended and Restated 2023 Equity Incentive Plan. Many banks and brokerage firms have a process for their beneficial owners to provide instructions via telephone or the Internet. The voting instruction form that you receive from your bank or broker will contain instructions for voting.</w:t>
      </w:r>
    </w:p>
    <w:p>
      <w:pPr>
        <w:pStyle w:val="TextBody"/>
        <w:bidi w:val="0"/>
        <w:spacing w:lineRule="auto" w:line="288"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Depending on how you hold your shares, you may vote in one of the following ways:</w:t>
      </w:r>
    </w:p>
    <w:tbl>
      <w:tblPr>
        <w:tblW w:w="10205" w:type="dxa"/>
        <w:jc w:val="left"/>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CEC8C2"/>
              <w:left w:val="single" w:sz="8" w:space="0" w:color="CEC8C2"/>
              <w:right w:val="single" w:sz="8" w:space="0" w:color="CEC8C2"/>
            </w:tcBorders>
            <w:shd w:fill="F2F1EB" w:val="clear"/>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CEC8C2"/>
              <w:right w:val="single" w:sz="8" w:space="0" w:color="CEC8C2"/>
            </w:tcBorders>
            <w:shd w:fill="F2F1EB" w:val="clear"/>
            <w:tcMar>
              <w:top w:w="0" w:type="dxa"/>
              <w:bottom w:w="0" w:type="dxa"/>
            </w:tcMar>
            <w:vAlign w:val="center"/>
          </w:tcPr>
          <w:p>
            <w:pPr>
              <w:pStyle w:val="TableContents"/>
              <w:bidi w:val="0"/>
              <w:spacing w:lineRule="auto" w:line="288" w:before="120" w:after="120"/>
              <w:jc w:val="left"/>
              <w:rPr/>
            </w:pPr>
            <w:r>
              <w:rPr>
                <w:rFonts w:ascii="ITC Avant Garde Pro Bk;sans-serif" w:hAnsi="ITC Avant Garde Pro Bk;sans-serif"/>
                <w:b/>
                <w:i/>
                <w:color w:val="314049"/>
                <w:sz w:val="17"/>
              </w:rPr>
              <w:t xml:space="preserve">Stockholders of Record: </w:t>
            </w:r>
            <w:r>
              <w:rPr>
                <w:rFonts w:ascii="ITC Avant Garde Pro Md;sans-serif" w:hAnsi="ITC Avant Garde Pro Md;sans-serif"/>
                <w:b w:val="false"/>
                <w:color w:val="314049"/>
                <w:sz w:val="17"/>
              </w:rPr>
              <w:t>You may vote by either marking, signing and returning the enclosed proxy card or via the instructions included in your Notice or using telephone or Internet voting. You may also vote online during the virtual annual meeting.</w:t>
            </w:r>
          </w:p>
          <w:p>
            <w:pPr>
              <w:pStyle w:val="TableContents"/>
              <w:bidi w:val="0"/>
              <w:spacing w:lineRule="auto" w:line="288" w:before="120" w:after="120"/>
              <w:jc w:val="left"/>
              <w:rPr/>
            </w:pPr>
            <w:r>
              <w:rPr>
                <w:rFonts w:ascii="ITC Avant Garde Pro Bk;sans-serif" w:hAnsi="ITC Avant Garde Pro Bk;sans-serif"/>
                <w:b/>
                <w:i/>
                <w:color w:val="314049"/>
                <w:sz w:val="17"/>
              </w:rPr>
              <w:t xml:space="preserve">Beneficial Stockholders: </w:t>
            </w:r>
            <w:r>
              <w:rPr>
                <w:rFonts w:ascii="ITC Avant Garde Pro Md;sans-serif" w:hAnsi="ITC Avant Garde Pro Md;sans-serif"/>
                <w:b w:val="false"/>
                <w:color w:val="314049"/>
                <w:sz w:val="17"/>
              </w:rPr>
              <w:t>Your bank, broker or other holder of record will provide you with a voting instruction form for you to use to instruct them on how to vote your shares. Check the instructions provided by your bank, broker or other holder of record to see which voting options are available to you. You may also vote at the virtual meeting by following the instructions provided by your bank, broker or other agent.</w:t>
            </w:r>
          </w:p>
        </w:tc>
      </w:tr>
      <w:tr>
        <w:trPr/>
        <w:tc>
          <w:tcPr>
            <w:tcW w:w="10205" w:type="dxa"/>
            <w:gridSpan w:val="3"/>
            <w:tcBorders>
              <w:left w:val="single" w:sz="8" w:space="0" w:color="CEC8C2"/>
              <w:bottom w:val="single" w:sz="8" w:space="0" w:color="CEC8C2"/>
              <w:right w:val="single" w:sz="8" w:space="0" w:color="CEC8C2"/>
            </w:tcBorders>
            <w:shd w:fill="F2F1EB"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Votes submitted by telephone or via the Internet must be received by 11:59 p.m. Eastern Time on December 2, 2026. Submitting your proxy by mail or telephone or via the Internet will not affect your right to vote online should you decide to attend the virtual annual meeting.</w:t>
      </w:r>
    </w:p>
    <w:p>
      <w:pPr>
        <w:pStyle w:val="TextBody"/>
        <w:bidi w:val="0"/>
        <w:spacing w:lineRule="auto" w:line="288"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If you are a stockholder of record, you may revoke your proxy and change your vote at any time before the polls close by returning a later-dated proxy card, by voting again by Internet or telephone as more fully detailed in your Notice or proxy card or by delivering written instructions to the Corporate Secretary before the annual meeting. Attendance at the virtual annual meeting will not in and of itself cause your previously voted proxy to be revoked unless you specifically so request or vote again at the annual meeting. If your shares are held in an account at a bank, brokerage firm or other agent, you should contact your bank, brokerage firm or other agent and follow its procedures for changing your voting instructions.</w:t>
      </w:r>
    </w:p>
    <w:p>
      <w:pPr>
        <w:pStyle w:val="TextBody"/>
        <w:bidi w:val="0"/>
        <w:spacing w:lineRule="auto" w:line="288" w:before="240" w:after="120"/>
        <w:jc w:val="left"/>
        <w:rPr>
          <w:rFonts w:ascii="ITC Avant Garde Pro Bk;sans-serif" w:hAnsi="ITC Avant Garde Pro Bk;sans-serif"/>
          <w:b/>
          <w:color w:val="F78D2D"/>
          <w:sz w:val="36"/>
        </w:rPr>
      </w:pPr>
      <w:r>
        <w:rPr>
          <w:rFonts w:ascii="ITC Avant Garde Pro Bk;sans-serif" w:hAnsi="ITC Avant Garde Pro Bk;sans-serif"/>
          <w:b/>
          <w:color w:val="F78D2D"/>
          <w:sz w:val="36"/>
        </w:rPr>
        <w:t>Solicitation of Proxies</w:t>
      </w:r>
    </w:p>
    <w:p>
      <w:pPr>
        <w:pStyle w:val="TextBody"/>
        <w:bidi w:val="0"/>
        <w:spacing w:lineRule="auto" w:line="288"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will bear the cost of soliciting proxies. In addition to soliciting stockholders by mail, we will request banks, brokers and other intermediaries holding shares of our common stock beneficially owned by others to obtain proxies from the beneficial owners and will reimburse them for their reasonable, out-of-pocket costs for forwarding proxy and solicitation material to the beneficial owners of common stock. We may use the services of our officers, directors and employees to solicit proxies, personally or by telephone, without additional compensation.</w:t>
      </w:r>
    </w:p>
    <w:p>
      <w:pPr>
        <w:pStyle w:val="TextBody"/>
        <w:bidi w:val="0"/>
        <w:spacing w:lineRule="auto" w:line="288" w:before="240" w:after="120"/>
        <w:jc w:val="left"/>
        <w:rPr>
          <w:rFonts w:ascii="ITC Avant Garde Pro Bk;sans-serif" w:hAnsi="ITC Avant Garde Pro Bk;sans-serif"/>
          <w:b/>
          <w:color w:val="F78D2D"/>
          <w:sz w:val="36"/>
        </w:rPr>
      </w:pPr>
      <w:r>
        <w:rPr>
          <w:rFonts w:ascii="ITC Avant Garde Pro Bk;sans-serif" w:hAnsi="ITC Avant Garde Pro Bk;sans-serif"/>
          <w:b/>
          <w:color w:val="F78D2D"/>
          <w:sz w:val="36"/>
        </w:rPr>
        <w:t>Voting Results</w:t>
      </w:r>
    </w:p>
    <w:p>
      <w:pPr>
        <w:pStyle w:val="TextBody"/>
        <w:bidi w:val="0"/>
        <w:spacing w:lineRule="auto" w:line="288"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will announce preliminary voting results at the virtual annual meeting. We will report final results in a Current Report on Form 8-K filed with the SEC within four business days of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28650"/>
                <wp:effectExtent l="0" t="0" r="0" b="0"/>
                <wp:wrapNone/>
                <wp:docPr id="24"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10"/>
        <w:jc w:val="left"/>
        <w:rPr/>
      </w:pPr>
      <w:r>
        <w:rPr/>
        <w:drawing>
          <wp:inline distT="0" distB="0" distL="0" distR="0">
            <wp:extent cx="714375" cy="104775"/>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714375" cy="104775"/>
                    </a:xfrm>
                    <a:prstGeom prst="rect">
                      <a:avLst/>
                    </a:prstGeom>
                  </pic:spPr>
                </pic:pic>
              </a:graphicData>
            </a:graphic>
          </wp:inline>
        </w:drawing>
      </w:r>
      <w:bookmarkStart w:id="17" w:name="i-18"/>
      <w:bookmarkEnd w:id="17"/>
    </w:p>
    <w:p>
      <w:pPr>
        <w:pStyle w:val="TextBody"/>
        <w:bidi w:val="0"/>
        <w:spacing w:lineRule="auto" w:line="312" w:before="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Proposal No. 1</w:t>
        <w:br/>
        <w:t>Election of Directors</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Our third amended and restated certificate of incorporation and bylaws provide for the election of directors for one-year terms. The terms of our existing directors will expire on the date of the 2027 annual meeting. Craig A. Conway has decided to not stand for reelection, but will remain on the board of directors until the date of the 2027 annual meeting when his term expires. Effective December 3, 2026, the size of the board will decrease from ten to nine directors. Accordingly, </w:t>
      </w:r>
      <w:r>
        <w:rPr>
          <w:rFonts w:ascii="ITC Avant Garde Pro Md;sans-serif" w:hAnsi="ITC Avant Garde Pro Md;sans-serif"/>
          <w:b w:val="false"/>
          <w:color w:val="314049"/>
          <w:sz w:val="17"/>
        </w:rPr>
        <w:t>nine</w:t>
      </w:r>
      <w:r>
        <w:rPr>
          <w:color w:val="313D48"/>
        </w:rPr>
        <w:t xml:space="preserve"> </w:t>
      </w:r>
      <w:r>
        <w:rPr>
          <w:rFonts w:ascii="ITC Avant Garde Pro Md;sans-serif" w:hAnsi="ITC Avant Garde Pro Md;sans-serif"/>
          <w:b w:val="false"/>
          <w:color w:val="313D48"/>
          <w:sz w:val="17"/>
        </w:rPr>
        <w:t xml:space="preserve">persons are to be elected to serve as directors of the board of directors at the meeting. The board’s nominees for election by the stockholders to those </w:t>
      </w:r>
      <w:r>
        <w:rPr>
          <w:rFonts w:ascii="ITC Avant Garde Pro Md;sans-serif" w:hAnsi="ITC Avant Garde Pro Md;sans-serif"/>
          <w:b w:val="false"/>
          <w:color w:val="314049"/>
          <w:sz w:val="17"/>
        </w:rPr>
        <w:t>nine</w:t>
      </w:r>
      <w:r>
        <w:rPr>
          <w:color w:val="313D48"/>
        </w:rPr>
        <w:t xml:space="preserve"> </w:t>
      </w:r>
      <w:r>
        <w:rPr>
          <w:rFonts w:ascii="ITC Avant Garde Pro Md;sans-serif" w:hAnsi="ITC Avant Garde Pro Md;sans-serif"/>
          <w:b w:val="false"/>
          <w:color w:val="313D48"/>
          <w:sz w:val="17"/>
        </w:rPr>
        <w:t xml:space="preserve">positions are the current members of the board of directors other than Mr. Conway: Steven R. Beauchamp, Linda M. Breard, Virginia G. Breen, Robin L. Pederson, Andres D. Reiner, Kenneth B. Robinson, Steven I. Sarowitz, Ronald V. Waters III and Toby J. Williams. If elected, the nominees will serve as directors until our 2028 annual meeting of stockholders. If any of the nominees declines to serve or becomes unavailable for any reason, or if a vacancy occurs before the election (although we know of no reason to anticipate that this will occur), the proxies may be voted for such substitute nominees as we may designate. The proxies cannot vote for more than </w:t>
      </w:r>
      <w:r>
        <w:rPr>
          <w:rFonts w:ascii="ITC Avant Garde Pro Md;sans-serif" w:hAnsi="ITC Avant Garde Pro Md;sans-serif"/>
          <w:b w:val="false"/>
          <w:color w:val="314049"/>
          <w:sz w:val="17"/>
        </w:rPr>
        <w:t>nine</w:t>
      </w:r>
      <w:r>
        <w:rPr>
          <w:color w:val="313D48"/>
        </w:rPr>
        <w:t xml:space="preserve"> </w:t>
      </w:r>
      <w:r>
        <w:rPr>
          <w:rFonts w:ascii="ITC Avant Garde Pro Md;sans-serif" w:hAnsi="ITC Avant Garde Pro Md;sans-serif"/>
          <w:b w:val="false"/>
          <w:color w:val="313D48"/>
          <w:sz w:val="17"/>
        </w:rPr>
        <w:t>persons.</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The </w:t>
      </w:r>
      <w:r>
        <w:rPr>
          <w:rFonts w:ascii="ITC Avant Garde Pro Md;sans-serif" w:hAnsi="ITC Avant Garde Pro Md;sans-serif"/>
          <w:b w:val="false"/>
          <w:color w:val="314049"/>
          <w:sz w:val="17"/>
        </w:rPr>
        <w:t>nine</w:t>
      </w:r>
      <w:r>
        <w:rPr>
          <w:color w:val="313D48"/>
        </w:rPr>
        <w:t xml:space="preserve"> </w:t>
      </w:r>
      <w:r>
        <w:rPr>
          <w:rFonts w:ascii="ITC Avant Garde Pro Md;sans-serif" w:hAnsi="ITC Avant Garde Pro Md;sans-serif"/>
          <w:b w:val="false"/>
          <w:color w:val="313D48"/>
          <w:sz w:val="17"/>
        </w:rPr>
        <w:t>nominees for director receiving the highest number of votes of shares of common stock will be elected as directors. A “Withhold” vote will have no effect on the vote.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believe that each of our directors has demonstrated business acumen, ethical integrity and an ability to exercise sound judgment as well as a commitment of service to us and our board of directors.</w:t>
      </w:r>
    </w:p>
    <w:tbl>
      <w:tblPr>
        <w:tblW w:w="10205" w:type="dxa"/>
        <w:jc w:val="left"/>
        <w:tblInd w:w="0" w:type="dxa"/>
        <w:tblLayout w:type="fixed"/>
        <w:tblCellMar>
          <w:top w:w="28" w:type="dxa"/>
          <w:left w:w="28" w:type="dxa"/>
          <w:bottom w:w="28" w:type="dxa"/>
          <w:right w:w="28" w:type="dxa"/>
        </w:tblCellMar>
      </w:tblPr>
      <w:tblGrid>
        <w:gridCol w:w="395"/>
        <w:gridCol w:w="347"/>
        <w:gridCol w:w="349"/>
        <w:gridCol w:w="2670"/>
        <w:gridCol w:w="2670"/>
        <w:gridCol w:w="3774"/>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109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28650" cy="838200"/>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628650" cy="838200"/>
                          </a:xfrm>
                          <a:prstGeom prst="rect">
                            <a:avLst/>
                          </a:prstGeom>
                        </pic:spPr>
                      </pic:pic>
                    </a:graphicData>
                  </a:graphic>
                </wp:inline>
              </w:drawing>
            </w:r>
            <w:bookmarkStart w:id="18" w:name="i-19"/>
            <w:bookmarkEnd w:id="18"/>
          </w:p>
        </w:tc>
        <w:tc>
          <w:tcPr>
            <w:tcW w:w="9114"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vMerge w:val="continue"/>
            <w:tcBorders/>
            <w:tcMar>
              <w:top w:w="0" w:type="dxa"/>
              <w:left w:w="0" w:type="dxa"/>
              <w:bottom w:w="0" w:type="dxa"/>
              <w:right w:w="0" w:type="dxa"/>
            </w:tcMar>
            <w:vAlign w:val="center"/>
          </w:tcPr>
          <w:p>
            <w:pPr>
              <w:pStyle w:val="Normal"/>
              <w:bidi w:val="0"/>
              <w:jc w:val="left"/>
              <w:rPr/>
            </w:pPr>
            <w:r>
              <w:rPr/>
            </w:r>
          </w:p>
        </w:tc>
        <w:tc>
          <w:tcPr>
            <w:tcW w:w="9114" w:type="dxa"/>
            <w:gridSpan w:val="3"/>
            <w:tcBorders/>
            <w:shd w:fill="F2F1EB" w:val="clear"/>
            <w:tcMar>
              <w:top w:w="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4049"/>
                <w:sz w:val="17"/>
              </w:rPr>
              <w:t>The Board of Directors unanimously recommends that you vote “</w:t>
            </w:r>
            <w:r>
              <w:rPr>
                <w:rFonts w:ascii="ITC Avant Garde Pro Bk;sans-serif" w:hAnsi="ITC Avant Garde Pro Bk;sans-serif"/>
                <w:b/>
                <w:color w:val="EE2626"/>
                <w:sz w:val="17"/>
              </w:rPr>
              <w:t>FOR</w:t>
            </w:r>
            <w:r>
              <w:rPr>
                <w:color w:val="314049"/>
              </w:rPr>
              <w:t xml:space="preserve">” </w:t>
            </w:r>
            <w:r>
              <w:rPr>
                <w:rFonts w:ascii="ITC Avant Garde Pro Md;sans-serif" w:hAnsi="ITC Avant Garde Pro Md;sans-serif"/>
                <w:b w:val="false"/>
                <w:color w:val="314049"/>
                <w:sz w:val="17"/>
              </w:rPr>
              <w:t>the election of Steven R. Beauchamp, Linda M. Breard, Virginia G. Breen, Robin L. Pederson, Andres D. Reiner, Kenneth B. Robinson, Steven I. Sarowitz, Ronald V. Waters III and Toby J. Williams as directors to hold office until the 2028 annual meeting. Proxies will be so voted unless stockholders specify otherwise in their proxies.</w:t>
            </w:r>
          </w:p>
        </w:tc>
      </w:tr>
      <w:tr>
        <w:trPr/>
        <w:tc>
          <w:tcPr>
            <w:tcW w:w="1091" w:type="dxa"/>
            <w:gridSpan w:val="3"/>
            <w:vMerge w:val="continue"/>
            <w:tcBorders/>
            <w:tcMar>
              <w:top w:w="0" w:type="dxa"/>
              <w:left w:w="0" w:type="dxa"/>
              <w:bottom w:w="0" w:type="dxa"/>
              <w:right w:w="0" w:type="dxa"/>
            </w:tcMar>
            <w:vAlign w:val="center"/>
          </w:tcPr>
          <w:p>
            <w:pPr>
              <w:pStyle w:val="Normal"/>
              <w:bidi w:val="0"/>
              <w:jc w:val="left"/>
              <w:rPr/>
            </w:pPr>
            <w:r>
              <w:rPr/>
            </w:r>
          </w:p>
        </w:tc>
        <w:tc>
          <w:tcPr>
            <w:tcW w:w="9114"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nominees for directors to be elected at this meeting, and certain information about them as of October 22, 2026, is set forth below. Also set forth below are the specific experience, qualifications, attributes or skills that led our nominating and corporate governance committee to conclude that each person should serve as a director.</w:t>
      </w:r>
    </w:p>
    <w:tbl>
      <w:tblPr>
        <w:tblW w:w="8039" w:type="dxa"/>
        <w:jc w:val="left"/>
        <w:tblInd w:w="0" w:type="dxa"/>
        <w:tblLayout w:type="fixed"/>
        <w:tblCellMar>
          <w:top w:w="28" w:type="dxa"/>
          <w:left w:w="28" w:type="dxa"/>
          <w:bottom w:w="28" w:type="dxa"/>
          <w:right w:w="28" w:type="dxa"/>
        </w:tblCellMar>
      </w:tblPr>
      <w:tblGrid>
        <w:gridCol w:w="763"/>
        <w:gridCol w:w="672"/>
        <w:gridCol w:w="679"/>
        <w:gridCol w:w="1324"/>
        <w:gridCol w:w="1324"/>
        <w:gridCol w:w="1341"/>
        <w:gridCol w:w="155"/>
        <w:gridCol w:w="155"/>
        <w:gridCol w:w="156"/>
        <w:gridCol w:w="431"/>
        <w:gridCol w:w="431"/>
        <w:gridCol w:w="608"/>
      </w:tblGrid>
      <w:tr>
        <w:trPr/>
        <w:tc>
          <w:tcPr>
            <w:tcW w:w="76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4049"/>
                <w:sz w:val="16"/>
              </w:rPr>
            </w:pPr>
            <w:r>
              <w:rPr>
                <w:rFonts w:ascii="ITC Avant Garde Pro Bk;sans-serif" w:hAnsi="ITC Avant Garde Pro Bk;sans-serif"/>
                <w:b/>
                <w:color w:val="314049"/>
                <w:sz w:val="16"/>
              </w:rPr>
              <w:t>Name</w:t>
            </w:r>
          </w:p>
        </w:tc>
        <w:tc>
          <w:tcPr>
            <w:tcW w:w="39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4049"/>
                <w:sz w:val="16"/>
              </w:rPr>
            </w:pPr>
            <w:r>
              <w:rPr>
                <w:rFonts w:ascii="ITC Avant Garde Pro Bk;sans-serif" w:hAnsi="ITC Avant Garde Pro Bk;sans-serif"/>
                <w:b/>
                <w:color w:val="314049"/>
                <w:sz w:val="16"/>
              </w:rPr>
              <w:t>Position</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4049"/>
                <w:sz w:val="16"/>
              </w:rPr>
            </w:pPr>
            <w:r>
              <w:rPr>
                <w:rFonts w:ascii="ITC Avant Garde Pro Bk;sans-serif" w:hAnsi="ITC Avant Garde Pro Bk;sans-serif"/>
                <w:b/>
                <w:color w:val="314049"/>
                <w:sz w:val="16"/>
              </w:rPr>
              <w:t>Age</w:t>
            </w:r>
          </w:p>
        </w:tc>
        <w:tc>
          <w:tcPr>
            <w:tcW w:w="147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4049"/>
                <w:sz w:val="16"/>
              </w:rPr>
            </w:pPr>
            <w:r>
              <w:rPr>
                <w:rFonts w:ascii="ITC Avant Garde Pro Bk;sans-serif" w:hAnsi="ITC Avant Garde Pro Bk;sans-serif"/>
                <w:b/>
                <w:color w:val="314049"/>
                <w:sz w:val="16"/>
              </w:rPr>
              <w:t>Director Since</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Steven R. Beauchamp</w:t>
            </w:r>
          </w:p>
        </w:tc>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Executive Chairman and Director</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54</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2007</w:t>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Linda M. Breard</w:t>
            </w:r>
          </w:p>
        </w:tc>
        <w:tc>
          <w:tcPr>
            <w:tcW w:w="398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Director</w:t>
            </w:r>
          </w:p>
        </w:tc>
        <w:tc>
          <w:tcPr>
            <w:tcW w:w="46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57</w:t>
            </w:r>
          </w:p>
        </w:tc>
        <w:tc>
          <w:tcPr>
            <w:tcW w:w="14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2023</w:t>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Virginia G. Breen</w:t>
            </w:r>
          </w:p>
        </w:tc>
        <w:tc>
          <w:tcPr>
            <w:tcW w:w="398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Director</w:t>
            </w:r>
          </w:p>
        </w:tc>
        <w:tc>
          <w:tcPr>
            <w:tcW w:w="46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62</w:t>
            </w:r>
          </w:p>
        </w:tc>
        <w:tc>
          <w:tcPr>
            <w:tcW w:w="14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2018</w:t>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Robin L. Pederson</w:t>
            </w:r>
          </w:p>
        </w:tc>
        <w:tc>
          <w:tcPr>
            <w:tcW w:w="398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Director</w:t>
            </w:r>
          </w:p>
        </w:tc>
        <w:tc>
          <w:tcPr>
            <w:tcW w:w="46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67</w:t>
            </w:r>
          </w:p>
        </w:tc>
        <w:tc>
          <w:tcPr>
            <w:tcW w:w="14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2020</w:t>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Andres D. Reiner</w:t>
            </w:r>
          </w:p>
        </w:tc>
        <w:tc>
          <w:tcPr>
            <w:tcW w:w="398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Director</w:t>
            </w:r>
          </w:p>
        </w:tc>
        <w:tc>
          <w:tcPr>
            <w:tcW w:w="46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55</w:t>
            </w:r>
          </w:p>
        </w:tc>
        <w:tc>
          <w:tcPr>
            <w:tcW w:w="14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2014</w:t>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Kenneth B. Robinson</w:t>
            </w:r>
          </w:p>
        </w:tc>
        <w:tc>
          <w:tcPr>
            <w:tcW w:w="398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Director</w:t>
            </w:r>
          </w:p>
        </w:tc>
        <w:tc>
          <w:tcPr>
            <w:tcW w:w="46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71</w:t>
            </w:r>
          </w:p>
        </w:tc>
        <w:tc>
          <w:tcPr>
            <w:tcW w:w="14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2020</w:t>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Steven I. Sarowitz</w:t>
            </w:r>
          </w:p>
        </w:tc>
        <w:tc>
          <w:tcPr>
            <w:tcW w:w="398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Director</w:t>
            </w:r>
          </w:p>
        </w:tc>
        <w:tc>
          <w:tcPr>
            <w:tcW w:w="46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60</w:t>
            </w:r>
          </w:p>
        </w:tc>
        <w:tc>
          <w:tcPr>
            <w:tcW w:w="14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1997</w:t>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Ronald V. Waters III</w:t>
            </w:r>
          </w:p>
        </w:tc>
        <w:tc>
          <w:tcPr>
            <w:tcW w:w="398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Director</w:t>
            </w:r>
          </w:p>
        </w:tc>
        <w:tc>
          <w:tcPr>
            <w:tcW w:w="46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74</w:t>
            </w:r>
          </w:p>
        </w:tc>
        <w:tc>
          <w:tcPr>
            <w:tcW w:w="14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2013</w:t>
            </w:r>
          </w:p>
        </w:tc>
      </w:tr>
      <w:tr>
        <w:trPr/>
        <w:tc>
          <w:tcPr>
            <w:tcW w:w="2114"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3989"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President, Chief Executive Officer and Director</w:t>
            </w:r>
          </w:p>
        </w:tc>
        <w:tc>
          <w:tcPr>
            <w:tcW w:w="466"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53</w:t>
            </w:r>
          </w:p>
        </w:tc>
        <w:tc>
          <w:tcPr>
            <w:tcW w:w="147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25170"/>
                <wp:effectExtent l="0" t="0" r="0" b="0"/>
                <wp:wrapNone/>
                <wp:docPr id="27" name="Frame8"/>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1 Election of Directors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Nominees for Election to a One-Year Term Expiring at the 2028 Annual Meeting of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54"/>
        <w:gridCol w:w="654"/>
        <w:gridCol w:w="656"/>
        <w:gridCol w:w="109"/>
        <w:gridCol w:w="109"/>
        <w:gridCol w:w="109"/>
        <w:gridCol w:w="109"/>
        <w:gridCol w:w="109"/>
        <w:gridCol w:w="109"/>
        <w:gridCol w:w="2119"/>
        <w:gridCol w:w="2119"/>
        <w:gridCol w:w="30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1181100" cy="1181100"/>
                          </a:xfrm>
                          <a:prstGeom prst="rect">
                            <a:avLst/>
                          </a:prstGeom>
                        </pic:spPr>
                      </pic:pic>
                    </a:graphicData>
                  </a:graphic>
                </wp:inline>
              </w:drawing>
            </w:r>
            <w:bookmarkStart w:id="19" w:name="i-20"/>
            <w:bookmarkEnd w:id="19"/>
          </w:p>
          <w:p>
            <w:pPr>
              <w:pStyle w:val="TableContents"/>
              <w:bidi w:val="0"/>
              <w:spacing w:lineRule="auto" w:line="312" w:before="120" w:after="120"/>
              <w:jc w:val="left"/>
              <w:rPr/>
            </w:pPr>
            <w:r>
              <w:rPr>
                <w:rFonts w:ascii="ITC Avant Garde Pro Bk;sans-serif" w:hAnsi="ITC Avant Garde Pro Bk;sans-serif"/>
                <w:b/>
                <w:color w:val="EE2626"/>
                <w:sz w:val="20"/>
              </w:rPr>
              <w:t>Steven R. Beauchamp</w:t>
              <w:br/>
            </w:r>
            <w:r>
              <w:rPr>
                <w:rFonts w:ascii="ITC Avant Garde Pro Bk;sans-serif" w:hAnsi="ITC Avant Garde Pro Bk;sans-serif"/>
                <w:b/>
                <w:color w:val="313E48"/>
                <w:sz w:val="17"/>
              </w:rPr>
              <w:t>Executive Chairman</w:t>
            </w:r>
          </w:p>
          <w:p>
            <w:pPr>
              <w:pStyle w:val="TableContents"/>
              <w:bidi w:val="0"/>
              <w:spacing w:lineRule="auto" w:line="312" w:before="120" w:after="120"/>
              <w:jc w:val="left"/>
              <w:rPr/>
            </w:pPr>
            <w:r>
              <w:rPr>
                <w:rFonts w:ascii="ITC Avant Garde Pro Bk;sans-serif" w:hAnsi="ITC Avant Garde Pro Bk;sans-serif"/>
                <w:b/>
                <w:color w:val="313E48"/>
                <w:sz w:val="17"/>
              </w:rPr>
              <w:t xml:space="preserve">Age: </w:t>
            </w:r>
            <w:r>
              <w:rPr>
                <w:rFonts w:ascii="ITC Avant Garde Pro Md;sans-serif" w:hAnsi="ITC Avant Garde Pro Md;sans-serif"/>
                <w:b w:val="false"/>
                <w:color w:val="314049"/>
                <w:sz w:val="17"/>
              </w:rPr>
              <w:t>54</w:t>
            </w:r>
            <w:r>
              <w:rPr>
                <w:rFonts w:ascii="ITC Avant Garde Pro Bk;sans-serif" w:hAnsi="ITC Avant Garde Pro Bk;sans-serif"/>
                <w:b/>
                <w:color w:val="313E48"/>
                <w:sz w:val="17"/>
              </w:rPr>
              <w:br/>
              <w:t xml:space="preserve">Director Since: </w:t>
            </w:r>
            <w:r>
              <w:rPr>
                <w:rFonts w:ascii="ITC Avant Garde Pro Md;sans-serif" w:hAnsi="ITC Avant Garde Pro Md;sans-serif"/>
                <w:b w:val="false"/>
                <w:color w:val="314049"/>
                <w:sz w:val="17"/>
              </w:rPr>
              <w:t>2007</w:t>
            </w:r>
            <w:r>
              <w:rPr>
                <w:rFonts w:ascii="ITC Avant Garde Pro Bk;sans-serif" w:hAnsi="ITC Avant Garde Pro Bk;sans-serif"/>
                <w:b/>
                <w:color w:val="313E48"/>
                <w:sz w:val="17"/>
              </w:rPr>
              <w:br/>
              <w:t xml:space="preserve">Committees: </w:t>
            </w:r>
            <w:r>
              <w:rPr>
                <w:rFonts w:ascii="ITC Avant Garde Pro Md;sans-serif" w:hAnsi="ITC Avant Garde Pro Md;sans-serif"/>
                <w:b w:val="false"/>
                <w:color w:val="313E48"/>
                <w:sz w:val="17"/>
              </w:rPr>
              <w:t>None</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Steven R. Beauchamp is our Executive Chairman and a director. Mr. Beauchamp has served as Executive Chairman since August 2024. From March 2022 until August 2024, Mr. Beauchamp served as our Co-Chief Executive Officer and from September 2007 until March 2022 as our Chief Executive Officer. Prior to joining Paylocity in 2007, Mr. Beauchamp was employed by Paychex, Inc., from September 2002 to August 2007 and served as VP of Product Management and as a Corporate Officer. Mr. Beauchamp also served as Vice President of Payroll Operations for Advantage Payroll Services, Inc. from August 2001 to September 2002 after Advantage Payroll acquired Payroll Central where he served as President from May 1999 to August 2001. Mr. Beauchamp also spent three years in operations management with ADP Canada from May 1995 to April 1998. Mr. Beauchamp holds a B.B.A. from Wilfrid Laurier University and a M.B.A. from Queen’s University. Mr. Beauchamp brings to our board over 25 years of management experience in the payroll services industry as well as extensive knowledge of our business from his prior service as our Chief Executive Officer and Co-Chief Executive Officer.</w:t>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1181100" cy="1181100"/>
                          </a:xfrm>
                          <a:prstGeom prst="rect">
                            <a:avLst/>
                          </a:prstGeom>
                        </pic:spPr>
                      </pic:pic>
                    </a:graphicData>
                  </a:graphic>
                </wp:inline>
              </w:drawing>
            </w:r>
            <w:bookmarkStart w:id="20" w:name="i-21"/>
            <w:bookmarkEnd w:id="20"/>
          </w:p>
          <w:p>
            <w:pPr>
              <w:pStyle w:val="TableContents"/>
              <w:bidi w:val="0"/>
              <w:spacing w:lineRule="auto" w:line="312" w:before="120" w:after="120"/>
              <w:jc w:val="left"/>
              <w:rPr/>
            </w:pPr>
            <w:r>
              <w:rPr>
                <w:rFonts w:ascii="ITC Avant Garde Pro Bk;sans-serif" w:hAnsi="ITC Avant Garde Pro Bk;sans-serif"/>
                <w:b/>
                <w:color w:val="EE2626"/>
                <w:sz w:val="20"/>
              </w:rPr>
              <w:t>Linda M. Breard</w:t>
              <w:br/>
            </w:r>
            <w:r>
              <w:rPr>
                <w:rFonts w:ascii="ITC Avant Garde Pro Bk;sans-serif" w:hAnsi="ITC Avant Garde Pro Bk;sans-serif"/>
                <w:b/>
                <w:color w:val="314049"/>
                <w:sz w:val="17"/>
              </w:rPr>
              <w:t>Independent</w:t>
            </w:r>
          </w:p>
          <w:p>
            <w:pPr>
              <w:pStyle w:val="TableContents"/>
              <w:bidi w:val="0"/>
              <w:spacing w:lineRule="auto" w:line="312" w:before="120" w:after="283"/>
              <w:jc w:val="left"/>
              <w:rPr/>
            </w:pPr>
            <w:r>
              <w:rPr>
                <w:rFonts w:ascii="ITC Avant Garde Pro Bk;sans-serif" w:hAnsi="ITC Avant Garde Pro Bk;sans-serif"/>
                <w:b/>
                <w:color w:val="314049"/>
                <w:sz w:val="17"/>
              </w:rPr>
              <w:t xml:space="preserve">Age: </w:t>
            </w:r>
            <w:r>
              <w:rPr>
                <w:rFonts w:ascii="ITC Avant Garde Pro Md;sans-serif" w:hAnsi="ITC Avant Garde Pro Md;sans-serif"/>
                <w:b w:val="false"/>
                <w:color w:val="314049"/>
                <w:sz w:val="17"/>
              </w:rPr>
              <w:t>57</w:t>
            </w:r>
            <w:r>
              <w:rPr>
                <w:rFonts w:ascii="ITC Avant Garde Pro Bk;sans-serif" w:hAnsi="ITC Avant Garde Pro Bk;sans-serif"/>
                <w:b w:val="false"/>
                <w:color w:val="314049"/>
                <w:sz w:val="17"/>
              </w:rPr>
              <w:br/>
            </w:r>
            <w:r>
              <w:rPr>
                <w:rFonts w:ascii="ITC Avant Garde Pro Bk;sans-serif" w:hAnsi="ITC Avant Garde Pro Bk;sans-serif"/>
                <w:b/>
                <w:color w:val="314049"/>
                <w:sz w:val="17"/>
              </w:rPr>
              <w:t xml:space="preserve">Director Since: </w:t>
            </w:r>
            <w:r>
              <w:rPr>
                <w:rFonts w:ascii="ITC Avant Garde Pro Md;sans-serif" w:hAnsi="ITC Avant Garde Pro Md;sans-serif"/>
                <w:b w:val="false"/>
                <w:color w:val="314049"/>
                <w:sz w:val="17"/>
              </w:rPr>
              <w:t>2023</w:t>
            </w:r>
            <w:r>
              <w:rPr>
                <w:rFonts w:ascii="ITC Avant Garde Pro Bk;sans-serif" w:hAnsi="ITC Avant Garde Pro Bk;sans-serif"/>
                <w:b w:val="false"/>
                <w:color w:val="314049"/>
                <w:sz w:val="17"/>
              </w:rPr>
              <w:br/>
            </w:r>
            <w:r>
              <w:rPr>
                <w:rFonts w:ascii="ITC Avant Garde Pro Bk;sans-serif" w:hAnsi="ITC Avant Garde Pro Bk;sans-serif"/>
                <w:b/>
                <w:color w:val="314049"/>
                <w:sz w:val="17"/>
              </w:rPr>
              <w:t xml:space="preserve">Committees: </w:t>
            </w:r>
            <w:r>
              <w:rPr>
                <w:rFonts w:ascii="ITC Avant Garde Pro Md;sans-serif" w:hAnsi="ITC Avant Garde Pro Md;sans-serif"/>
                <w:b w:val="false"/>
                <w:color w:val="314049"/>
                <w:sz w:val="17"/>
              </w:rPr>
              <w:t>Audit</w:t>
              <w:br/>
            </w:r>
            <w:r>
              <w:rPr>
                <w:rFonts w:ascii="ITC Avant Garde Pro Bk;sans-serif" w:hAnsi="ITC Avant Garde Pro Bk;sans-serif"/>
                <w:b/>
                <w:color w:val="314049"/>
                <w:sz w:val="17"/>
              </w:rPr>
              <w:t>Other Current Public</w:t>
              <w:br/>
              <w:t>Company Boards:</w:t>
              <w:br/>
            </w:r>
            <w:r>
              <w:rPr>
                <w:rFonts w:ascii="ITC Avant Garde Pro Md;sans-serif" w:hAnsi="ITC Avant Garde Pro Md;sans-serif"/>
                <w:b w:val="false"/>
                <w:color w:val="314049"/>
                <w:sz w:val="17"/>
              </w:rPr>
              <w:t xml:space="preserve">Insight Enterprises, Inc., </w:t>
              <w:br/>
              <w:t>Rayonier Inc.</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Linda M. Breard has served as a director since October 2023. Ms. Breard currently serves as a director of Insight Enterprises, Inc., a publicly traded Fortune 500 global technology company since February 2018, where she is chair of the audit committee and serves on the compensation committee. Ms. Breard also serves as a director and as a member of the audit committee and the compensation committee at Rayonier, a land resources real estate investment trust, which merged with PotlatchDeltic Corporation in January 2026, where Ms. Breard had served as a director since October 2015. Ms. Breard had been a consultant with Impinj, a publicly traded technology company, from March 2018 through December 2020. She served as CFO Consultant/Interim CFO of Impinj until a CFO was hired in 2020, after which she transitioned to a new role as Strategic Consultant to the CEO, where she had continued responsibility for human resources, IT and facilities and worldwide operations through the end of 2020. From February 2017 to July 2017, she served as the Executive Vice President and Chief Financial Officer of Kaiser Foundation Health Plan of Washington, which provides health insurance and medical care. Prior to that, from February 2016 to January 2017, Ms. Breard was the Executive Vice President and Chief Financial Officer of Group Health Cooperative, a health maintenance organization until it was acquired by Kaiser Permanente in February 2017. From 2006 to January 2016, she held various positions including Senior Vice President and Chief Financial Officer of Quantum Corporation, a leading data storage company. Prior to that, from 1998 to 2006, she served in a variety of roles for Advanced Digital Information Corporation, a publicly traded technology company, last serving as Vice President, Global Accounting and Finance before being acquired by Quantum Corporation in 2006. Ms. Breard also worked six years in public accounting and is a certified public accountant. Ms. Breard brings to our board of directors international, financial and information technology expertise derived primarily from her service on various public company boards and in various roles at several large public companies.</w:t>
            </w:r>
          </w:p>
        </w:tc>
      </w:tr>
      <w:tr>
        <w:trPr/>
        <w:tc>
          <w:tcPr>
            <w:tcW w:w="342"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8650"/>
                <wp:effectExtent l="0" t="0" r="0" b="0"/>
                <wp:wrapNone/>
                <wp:docPr id="30"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150" w:after="283"/>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1 Election of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2124"/>
        <w:gridCol w:w="2124"/>
        <w:gridCol w:w="3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1181100" cy="1181100"/>
                          </a:xfrm>
                          <a:prstGeom prst="rect">
                            <a:avLst/>
                          </a:prstGeom>
                        </pic:spPr>
                      </pic:pic>
                    </a:graphicData>
                  </a:graphic>
                </wp:inline>
              </w:drawing>
            </w:r>
            <w:bookmarkStart w:id="21" w:name="i-22"/>
            <w:bookmarkEnd w:id="21"/>
          </w:p>
          <w:p>
            <w:pPr>
              <w:pStyle w:val="TableContents"/>
              <w:bidi w:val="0"/>
              <w:spacing w:lineRule="auto" w:line="312" w:before="120" w:after="120"/>
              <w:jc w:val="left"/>
              <w:rPr/>
            </w:pPr>
            <w:r>
              <w:rPr>
                <w:rFonts w:ascii="ITC Avant Garde Pro Bk;sans-serif" w:hAnsi="ITC Avant Garde Pro Bk;sans-serif"/>
                <w:b/>
                <w:color w:val="EE2626"/>
                <w:sz w:val="20"/>
              </w:rPr>
              <w:t>Virginia G. Breen</w:t>
              <w:br/>
            </w:r>
            <w:r>
              <w:rPr>
                <w:rFonts w:ascii="ITC Avant Garde Pro Bk;sans-serif" w:hAnsi="ITC Avant Garde Pro Bk;sans-serif"/>
                <w:b/>
                <w:color w:val="314049"/>
                <w:sz w:val="17"/>
              </w:rPr>
              <w:t>Independent</w:t>
            </w:r>
          </w:p>
          <w:p>
            <w:pPr>
              <w:pStyle w:val="TableContents"/>
              <w:bidi w:val="0"/>
              <w:spacing w:lineRule="auto" w:line="312" w:before="120" w:after="283"/>
              <w:jc w:val="left"/>
              <w:rPr/>
            </w:pPr>
            <w:r>
              <w:rPr>
                <w:rFonts w:ascii="ITC Avant Garde Pro Bk;sans-serif" w:hAnsi="ITC Avant Garde Pro Bk;sans-serif"/>
                <w:b/>
                <w:color w:val="314049"/>
                <w:sz w:val="17"/>
              </w:rPr>
              <w:t xml:space="preserve">Age: </w:t>
            </w:r>
            <w:r>
              <w:rPr>
                <w:rFonts w:ascii="ITC Avant Garde Pro Md;sans-serif" w:hAnsi="ITC Avant Garde Pro Md;sans-serif"/>
                <w:b w:val="false"/>
                <w:color w:val="314049"/>
                <w:sz w:val="17"/>
              </w:rPr>
              <w:t>62</w:t>
            </w:r>
            <w:r>
              <w:rPr>
                <w:rFonts w:ascii="ITC Avant Garde Pro Bk;sans-serif" w:hAnsi="ITC Avant Garde Pro Bk;sans-serif"/>
                <w:b w:val="false"/>
                <w:color w:val="314049"/>
                <w:sz w:val="17"/>
              </w:rPr>
              <w:br/>
            </w:r>
            <w:r>
              <w:rPr>
                <w:rFonts w:ascii="ITC Avant Garde Pro Bk;sans-serif" w:hAnsi="ITC Avant Garde Pro Bk;sans-serif"/>
                <w:b/>
                <w:color w:val="314049"/>
                <w:sz w:val="17"/>
              </w:rPr>
              <w:t xml:space="preserve">Director Since: </w:t>
            </w:r>
            <w:r>
              <w:rPr>
                <w:rFonts w:ascii="ITC Avant Garde Pro Md;sans-serif" w:hAnsi="ITC Avant Garde Pro Md;sans-serif"/>
                <w:b w:val="false"/>
                <w:color w:val="314049"/>
                <w:sz w:val="17"/>
              </w:rPr>
              <w:t>2018</w:t>
            </w:r>
            <w:r>
              <w:rPr>
                <w:rFonts w:ascii="ITC Avant Garde Pro Bk;sans-serif" w:hAnsi="ITC Avant Garde Pro Bk;sans-serif"/>
                <w:b w:val="false"/>
                <w:color w:val="314049"/>
                <w:sz w:val="17"/>
              </w:rPr>
              <w:br/>
            </w:r>
            <w:r>
              <w:rPr>
                <w:rFonts w:ascii="ITC Avant Garde Pro Bk;sans-serif" w:hAnsi="ITC Avant Garde Pro Bk;sans-serif"/>
                <w:b/>
                <w:color w:val="314049"/>
                <w:sz w:val="17"/>
              </w:rPr>
              <w:t xml:space="preserve">Committees: </w:t>
            </w:r>
            <w:r>
              <w:rPr>
                <w:rFonts w:ascii="ITC Avant Garde Pro Md;sans-serif" w:hAnsi="ITC Avant Garde Pro Md;sans-serif"/>
                <w:b w:val="false"/>
                <w:color w:val="314049"/>
                <w:sz w:val="17"/>
              </w:rPr>
              <w:t>Audit</w:t>
              <w:br/>
              <w:t>&amp; Nominating and</w:t>
              <w:br/>
              <w:t>Corporate Governance</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Virginia G. Breen has served as a director since September 2018. Ms. Breen has been an institutional investor and board member in private and public equity for more than 30 years. Ms. Breen is a trustee/director/manager of the Neuberger Berman registered private equity/private credit fund complex. Ms. Breen has served as a trustee of NB Asset-Based Credit Fund since January 2025; a director of NB Crossroads Private Market Fund VII Holdings LP, NB Crossroads Private Markets Fund VII LP, and NB Crossroads Private Markets Fund VII Advisory LP since 2021; a director of NB Crossroads Private Market Fund VI Holdings LP, NB Crossroads Private Markets Fund VI LP, and NB Crossroads Private Markets Fund VI Advisory LP since 2020; a manager of NB Private Markets Access Fund LLC since 2020; a director of NB Crossroads Private Markets Fund V Holdings LP, NB Crossroads Private Markets Fund V (TE) LP, NB Crossroads Private Markets Fund V (TI) LP, NB Crossroads Private Markets Fund V (TE) Advisory LP, and NB Crossroads Private Markets Fund V (TI) Advisory LP since 2017; and a manager of NB Crossroads Private Markets Fund IV Holdings LLC, NB Crossroads Private Markets Fund IV (TI) - Client LLC, and NB Crossroads Private Markets Fund IV (TE) - Client LLC since 2015. Since 2008, Ms. Breen has served on the board of managers of the UBS A&amp;Q Fund Complex, consisting of three portfolios, each of which is or was registered under the Investment Company Act of 1940, as amended. Since July 2023, Ms. Breen has served on the board of the UBS NY Fund Cluster consisting of four separate registered investment companies overseen by boards of trustees, with 38 separate series/funds. Since 2015, Ms. Breen has served as a trustee for the Calamos Fund Complex consisting of 69 portfolios. Ms. Breen has also served as a director of Tech and Energy Transition Corp. from 2021 to 2023, and as a trustee of Jones Lang LaSalle Income Property Trust, a public, non-traded, daily-priced REIT from 2004 to 2023. Ms. Breen holds an M.B.A. from Columbia University and an A.B. in Computer Science from Harvard College. Ms. Breen's experience working with technology-driven and high-growth companies provides our board of directors with a unique perspective on our long-term strategy.</w:t>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1181100" cy="1181100"/>
                          </a:xfrm>
                          <a:prstGeom prst="rect">
                            <a:avLst/>
                          </a:prstGeom>
                        </pic:spPr>
                      </pic:pic>
                    </a:graphicData>
                  </a:graphic>
                </wp:inline>
              </w:drawing>
            </w:r>
            <w:bookmarkStart w:id="22" w:name="i-23"/>
            <w:bookmarkEnd w:id="22"/>
          </w:p>
          <w:p>
            <w:pPr>
              <w:pStyle w:val="TableContents"/>
              <w:bidi w:val="0"/>
              <w:spacing w:lineRule="auto" w:line="312" w:before="120" w:after="120"/>
              <w:jc w:val="left"/>
              <w:rPr/>
            </w:pPr>
            <w:r>
              <w:rPr>
                <w:rFonts w:ascii="ITC Avant Garde Pro Bk;sans-serif" w:hAnsi="ITC Avant Garde Pro Bk;sans-serif"/>
                <w:b/>
                <w:color w:val="EE2626"/>
                <w:sz w:val="20"/>
              </w:rPr>
              <w:t>Robin L. Pederson</w:t>
              <w:br/>
            </w:r>
            <w:r>
              <w:rPr>
                <w:rFonts w:ascii="ITC Avant Garde Pro Bk;sans-serif" w:hAnsi="ITC Avant Garde Pro Bk;sans-serif"/>
                <w:b/>
                <w:color w:val="313E48"/>
                <w:sz w:val="17"/>
              </w:rPr>
              <w:t>Independent</w:t>
            </w:r>
          </w:p>
          <w:p>
            <w:pPr>
              <w:pStyle w:val="TableContents"/>
              <w:bidi w:val="0"/>
              <w:spacing w:lineRule="auto" w:line="312" w:before="120" w:after="120"/>
              <w:jc w:val="left"/>
              <w:rPr/>
            </w:pPr>
            <w:r>
              <w:rPr>
                <w:rFonts w:ascii="ITC Avant Garde Pro Bk;sans-serif" w:hAnsi="ITC Avant Garde Pro Bk;sans-serif"/>
                <w:b/>
                <w:color w:val="313E48"/>
                <w:sz w:val="17"/>
              </w:rPr>
              <w:t xml:space="preserve">Age: </w:t>
            </w:r>
            <w:r>
              <w:rPr>
                <w:rFonts w:ascii="ITC Avant Garde Pro Md;sans-serif" w:hAnsi="ITC Avant Garde Pro Md;sans-serif"/>
                <w:b w:val="false"/>
                <w:color w:val="314049"/>
                <w:sz w:val="17"/>
              </w:rPr>
              <w:t>67</w:t>
            </w:r>
            <w:r>
              <w:rPr>
                <w:rFonts w:ascii="ITC Avant Garde Pro Bk;sans-serif" w:hAnsi="ITC Avant Garde Pro Bk;sans-serif"/>
                <w:b/>
                <w:color w:val="313E48"/>
                <w:sz w:val="17"/>
              </w:rPr>
              <w:br/>
              <w:t>Director Since:</w:t>
            </w:r>
            <w:r>
              <w:rPr>
                <w:color w:val="313E48"/>
              </w:rPr>
              <w:t xml:space="preserve"> </w:t>
            </w:r>
            <w:r>
              <w:rPr>
                <w:rFonts w:ascii="ITC Avant Garde Pro Md;sans-serif" w:hAnsi="ITC Avant Garde Pro Md;sans-serif"/>
                <w:b w:val="false"/>
                <w:color w:val="314049"/>
                <w:sz w:val="17"/>
              </w:rPr>
              <w:t>2020</w:t>
            </w:r>
            <w:r>
              <w:rPr>
                <w:rFonts w:ascii="ITC Avant Garde Pro Bk;sans-serif" w:hAnsi="ITC Avant Garde Pro Bk;sans-serif"/>
                <w:b/>
                <w:color w:val="313E48"/>
                <w:sz w:val="17"/>
              </w:rPr>
              <w:br/>
              <w:t>Committees:</w:t>
              <w:br/>
            </w:r>
            <w:r>
              <w:rPr>
                <w:rFonts w:ascii="ITC Avant Garde Pro Md;sans-serif" w:hAnsi="ITC Avant Garde Pro Md;sans-serif"/>
                <w:b w:val="false"/>
                <w:color w:val="313E48"/>
                <w:sz w:val="17"/>
              </w:rPr>
              <w:t>Compensation (Chair)</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Robin L. Pederson has served as a director since March 2020. Mr. Pederson currently serves as Executive Chairman of Sauce Labs, a web and mobile application testing company. He also serves as an independent director of Aircall, a cloud-based call center software company, and previously served as an independent director of Affinitiv, a provider of automotive marketing solutions from August 2021 to December 2024. From August 2017 to September 2023, Mr. Pederson served as Executive Chairman of Alula, a smart security and automation system company, and he served as Executive Chairman of Power Reviews, a technology provider of ratings and reviews for leading brands and retailers from April 2018 to August 2023. From 2013 to 2017, he served as an Operating Executive at Marlin Equity Partners (“Marlin”), a global investment firm with over $6.7 billion of capital under management. During that time, he successfully led the acquisitions of five platforms and served as Executive Chairman of technology companies, including Arcserve, Changepoint, Fidelis Cybersecurity, Lochbridge, Uniface, Openwave Messaging and Openwave Mobility. Prior to his time at Marlin, Mr. Pederson served as the COO of Infor Global Solutions, one of the largest privately held software companies in the world. Mr. Pederson holds a B.S.B.A from the University of North Dakota. Mr. Pederson brings extensive industry experience to our board of directors as a result of his executive management experience in the technology industry.</w:t>
            </w:r>
          </w:p>
        </w:tc>
      </w:tr>
      <w:tr>
        <w:trPr/>
        <w:tc>
          <w:tcPr>
            <w:tcW w:w="342" w:type="dxa"/>
            <w:gridSpan w:val="3"/>
            <w:tcBorders>
              <w:bottom w:val="single" w:sz="8" w:space="0" w:color="000000"/>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bottom w:val="single" w:sz="8" w:space="0" w:color="000000"/>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25170"/>
                <wp:effectExtent l="0" t="0" r="0" b="0"/>
                <wp:wrapNone/>
                <wp:docPr id="33" name="Frame10"/>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1 Election of Directors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57"/>
        <w:gridCol w:w="657"/>
        <w:gridCol w:w="659"/>
        <w:gridCol w:w="109"/>
        <w:gridCol w:w="109"/>
        <w:gridCol w:w="109"/>
        <w:gridCol w:w="109"/>
        <w:gridCol w:w="109"/>
        <w:gridCol w:w="109"/>
        <w:gridCol w:w="2174"/>
        <w:gridCol w:w="2090"/>
        <w:gridCol w:w="2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1181100" cy="1181100"/>
                          </a:xfrm>
                          <a:prstGeom prst="rect">
                            <a:avLst/>
                          </a:prstGeom>
                        </pic:spPr>
                      </pic:pic>
                    </a:graphicData>
                  </a:graphic>
                </wp:inline>
              </w:drawing>
            </w:r>
            <w:bookmarkStart w:id="23" w:name="i-24"/>
            <w:bookmarkEnd w:id="23"/>
          </w:p>
          <w:p>
            <w:pPr>
              <w:pStyle w:val="TableContents"/>
              <w:bidi w:val="0"/>
              <w:spacing w:lineRule="auto" w:line="312" w:before="120" w:after="120"/>
              <w:jc w:val="left"/>
              <w:rPr/>
            </w:pPr>
            <w:r>
              <w:rPr>
                <w:rFonts w:ascii="ITC Avant Garde Pro Bk;sans-serif" w:hAnsi="ITC Avant Garde Pro Bk;sans-serif"/>
                <w:b/>
                <w:color w:val="EE2626"/>
                <w:sz w:val="20"/>
              </w:rPr>
              <w:t>Andres D. Reiner</w:t>
              <w:br/>
            </w:r>
            <w:r>
              <w:rPr>
                <w:rFonts w:ascii="ITC Avant Garde Pro Bk;sans-serif" w:hAnsi="ITC Avant Garde Pro Bk;sans-serif"/>
                <w:b/>
                <w:color w:val="313E48"/>
                <w:sz w:val="17"/>
              </w:rPr>
              <w:t>Independent</w:t>
            </w:r>
          </w:p>
          <w:p>
            <w:pPr>
              <w:pStyle w:val="TableContents"/>
              <w:bidi w:val="0"/>
              <w:spacing w:lineRule="auto" w:line="312" w:before="120" w:after="120"/>
              <w:jc w:val="left"/>
              <w:rPr/>
            </w:pPr>
            <w:r>
              <w:rPr>
                <w:rFonts w:ascii="ITC Avant Garde Pro Bk;sans-serif" w:hAnsi="ITC Avant Garde Pro Bk;sans-serif"/>
                <w:b/>
                <w:color w:val="313E48"/>
                <w:sz w:val="17"/>
              </w:rPr>
              <w:t xml:space="preserve">Age: </w:t>
            </w:r>
            <w:r>
              <w:rPr>
                <w:rFonts w:ascii="ITC Avant Garde Pro Md;sans-serif" w:hAnsi="ITC Avant Garde Pro Md;sans-serif"/>
                <w:b w:val="false"/>
                <w:color w:val="314049"/>
                <w:sz w:val="17"/>
              </w:rPr>
              <w:t>55</w:t>
            </w:r>
            <w:r>
              <w:rPr>
                <w:rFonts w:ascii="ITC Avant Garde Pro Bk;sans-serif" w:hAnsi="ITC Avant Garde Pro Bk;sans-serif"/>
                <w:b/>
                <w:color w:val="313E48"/>
                <w:sz w:val="17"/>
              </w:rPr>
              <w:br/>
              <w:t xml:space="preserve">Director Since: </w:t>
            </w:r>
            <w:r>
              <w:rPr>
                <w:rFonts w:ascii="ITC Avant Garde Pro Md;sans-serif" w:hAnsi="ITC Avant Garde Pro Md;sans-serif"/>
                <w:b w:val="false"/>
                <w:color w:val="314049"/>
                <w:sz w:val="17"/>
              </w:rPr>
              <w:t>2014</w:t>
            </w:r>
            <w:r>
              <w:rPr>
                <w:rFonts w:ascii="ITC Avant Garde Pro Bk;sans-serif" w:hAnsi="ITC Avant Garde Pro Bk;sans-serif"/>
                <w:b/>
                <w:color w:val="313E48"/>
                <w:sz w:val="17"/>
              </w:rPr>
              <w:br/>
              <w:t>Committees:</w:t>
              <w:br/>
            </w:r>
            <w:r>
              <w:rPr>
                <w:rFonts w:ascii="ITC Avant Garde Pro Md;sans-serif" w:hAnsi="ITC Avant Garde Pro Md;sans-serif"/>
                <w:b w:val="false"/>
                <w:color w:val="313E48"/>
                <w:sz w:val="17"/>
              </w:rPr>
              <w:t>Compensation &amp;</w:t>
              <w:br/>
              <w:t>Nominating and</w:t>
              <w:br/>
              <w:t>Corporate Governance</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Andres D. Reiner has served as a director since September 2014. From 2010 until June 2025, Mr. Reiner served as the President and Chief Executive Officer and a director of PROS Holdings, Inc. (“PROS”), a publicly traded enterprise software company, and from June 2025 until June 2026, served as the Special Advisor to the CEO at PROS. Since 1999, and prior to his appointment as President and Chief Executive Officer, Mr. Reiner held a series of positions with PROS, including Senior Vice President of Product Development and Executive Vice President of Product and Marketing. Prior to joining PROS, Mr. Reiner held various technical and management positions in technology companies including Platinum Technology, ADAC Healthcare Information Systems, and Kinesix. Mr. Reiner holds a B.S. in Computer Science with a minor in Mathematics from the University of Houston. Mr. Reiner brings to our board of directors leadership experience through his role as the former President and Chief Executive Officer of PROS, as well as knowledge and experience with product development and innovation at technology companies.</w:t>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1181100" cy="1181100"/>
                          </a:xfrm>
                          <a:prstGeom prst="rect">
                            <a:avLst/>
                          </a:prstGeom>
                        </pic:spPr>
                      </pic:pic>
                    </a:graphicData>
                  </a:graphic>
                </wp:inline>
              </w:drawing>
            </w:r>
            <w:bookmarkStart w:id="24" w:name="i-25"/>
            <w:bookmarkEnd w:id="24"/>
          </w:p>
          <w:p>
            <w:pPr>
              <w:pStyle w:val="TableContents"/>
              <w:bidi w:val="0"/>
              <w:spacing w:lineRule="auto" w:line="312" w:before="120" w:after="120"/>
              <w:jc w:val="left"/>
              <w:rPr/>
            </w:pPr>
            <w:r>
              <w:rPr>
                <w:rFonts w:ascii="ITC Avant Garde Pro Bk;sans-serif" w:hAnsi="ITC Avant Garde Pro Bk;sans-serif"/>
                <w:b/>
                <w:color w:val="EE2626"/>
                <w:sz w:val="20"/>
              </w:rPr>
              <w:t>Kenneth B. Robinson</w:t>
              <w:br/>
            </w:r>
            <w:r>
              <w:rPr>
                <w:rFonts w:ascii="ITC Avant Garde Pro Bk;sans-serif" w:hAnsi="ITC Avant Garde Pro Bk;sans-serif"/>
                <w:b/>
                <w:color w:val="313E48"/>
                <w:sz w:val="17"/>
              </w:rPr>
              <w:t>Independent</w:t>
            </w:r>
          </w:p>
          <w:p>
            <w:pPr>
              <w:pStyle w:val="TableContents"/>
              <w:bidi w:val="0"/>
              <w:spacing w:lineRule="auto" w:line="312" w:before="120" w:after="120"/>
              <w:jc w:val="left"/>
              <w:rPr/>
            </w:pPr>
            <w:r>
              <w:rPr>
                <w:rFonts w:ascii="ITC Avant Garde Pro Bk;sans-serif" w:hAnsi="ITC Avant Garde Pro Bk;sans-serif"/>
                <w:b/>
                <w:color w:val="313E48"/>
                <w:sz w:val="17"/>
              </w:rPr>
              <w:t xml:space="preserve">Age: </w:t>
            </w:r>
            <w:r>
              <w:rPr>
                <w:rFonts w:ascii="ITC Avant Garde Pro Md;sans-serif" w:hAnsi="ITC Avant Garde Pro Md;sans-serif"/>
                <w:b w:val="false"/>
                <w:color w:val="314049"/>
                <w:sz w:val="17"/>
              </w:rPr>
              <w:t>71</w:t>
            </w:r>
            <w:r>
              <w:rPr>
                <w:rFonts w:ascii="ITC Avant Garde Pro Bk;sans-serif" w:hAnsi="ITC Avant Garde Pro Bk;sans-serif"/>
                <w:b/>
                <w:color w:val="313E48"/>
                <w:sz w:val="17"/>
              </w:rPr>
              <w:br/>
              <w:t xml:space="preserve">Director Since: </w:t>
            </w:r>
            <w:r>
              <w:rPr>
                <w:rFonts w:ascii="ITC Avant Garde Pro Md;sans-serif" w:hAnsi="ITC Avant Garde Pro Md;sans-serif"/>
                <w:b w:val="false"/>
                <w:color w:val="314049"/>
                <w:sz w:val="17"/>
              </w:rPr>
              <w:t>2020</w:t>
            </w:r>
            <w:r>
              <w:rPr>
                <w:rFonts w:ascii="ITC Avant Garde Pro Bk;sans-serif" w:hAnsi="ITC Avant Garde Pro Bk;sans-serif"/>
                <w:b/>
                <w:color w:val="313E48"/>
                <w:sz w:val="17"/>
              </w:rPr>
              <w:br/>
              <w:t xml:space="preserve">Committees: </w:t>
            </w:r>
            <w:r>
              <w:rPr>
                <w:rFonts w:ascii="ITC Avant Garde Pro Md;sans-serif" w:hAnsi="ITC Avant Garde Pro Md;sans-serif"/>
                <w:b w:val="false"/>
                <w:color w:val="313E48"/>
                <w:sz w:val="17"/>
              </w:rPr>
              <w:t xml:space="preserve">Audit &amp; </w:t>
            </w:r>
            <w:r>
              <w:rPr>
                <w:rFonts w:ascii="ITC Avant Garde Pro Md;sans-serif" w:hAnsi="ITC Avant Garde Pro Md;sans-serif"/>
                <w:b w:val="false"/>
                <w:color w:val="314049"/>
                <w:sz w:val="17"/>
              </w:rPr>
              <w:br/>
            </w:r>
            <w:r>
              <w:rPr>
                <w:rFonts w:ascii="ITC Avant Garde Pro Md;sans-serif" w:hAnsi="ITC Avant Garde Pro Md;sans-serif"/>
                <w:b w:val="false"/>
                <w:color w:val="313E48"/>
                <w:sz w:val="17"/>
              </w:rPr>
              <w:t xml:space="preserve">Nominating and </w:t>
            </w:r>
            <w:r>
              <w:rPr>
                <w:rFonts w:ascii="ITC Avant Garde Pro Md;sans-serif" w:hAnsi="ITC Avant Garde Pro Md;sans-serif"/>
                <w:b w:val="false"/>
                <w:color w:val="314049"/>
                <w:sz w:val="17"/>
              </w:rPr>
              <w:br/>
            </w:r>
            <w:r>
              <w:rPr>
                <w:rFonts w:ascii="ITC Avant Garde Pro Md;sans-serif" w:hAnsi="ITC Avant Garde Pro Md;sans-serif"/>
                <w:b w:val="false"/>
                <w:color w:val="313E48"/>
                <w:sz w:val="17"/>
              </w:rPr>
              <w:t xml:space="preserve">Corporate </w:t>
            </w:r>
            <w:r>
              <w:rPr>
                <w:rFonts w:ascii="ITC Avant Garde Pro Md;sans-serif" w:hAnsi="ITC Avant Garde Pro Md;sans-serif"/>
                <w:b w:val="false"/>
                <w:color w:val="314049"/>
                <w:sz w:val="17"/>
              </w:rPr>
              <w:br/>
            </w:r>
            <w:r>
              <w:rPr>
                <w:rFonts w:ascii="ITC Avant Garde Pro Md;sans-serif" w:hAnsi="ITC Avant Garde Pro Md;sans-serif"/>
                <w:b w:val="false"/>
                <w:color w:val="313E48"/>
                <w:sz w:val="17"/>
              </w:rPr>
              <w:t>Governance (Chair)</w:t>
            </w:r>
            <w:r>
              <w:rPr>
                <w:rFonts w:ascii="ITC Avant Garde Pro Bk;sans-serif" w:hAnsi="ITC Avant Garde Pro Bk;sans-serif"/>
                <w:b/>
                <w:color w:val="313E48"/>
                <w:sz w:val="17"/>
              </w:rPr>
              <w:br/>
              <w:t>Other Current Public</w:t>
              <w:br/>
              <w:t>Company Boards:</w:t>
              <w:br/>
            </w:r>
            <w:r>
              <w:rPr>
                <w:rFonts w:ascii="ITC Avant Garde Pro Md;sans-serif" w:hAnsi="ITC Avant Garde Pro Md;sans-serif"/>
                <w:b w:val="false"/>
                <w:color w:val="313E48"/>
                <w:sz w:val="17"/>
              </w:rPr>
              <w:t>Abercrombie &amp; Fitch Co.,</w:t>
            </w:r>
            <w:r>
              <w:rPr>
                <w:rFonts w:ascii="ITC Avant Garde Pro Md;sans-serif" w:hAnsi="ITC Avant Garde Pro Md;sans-serif"/>
                <w:b w:val="false"/>
                <w:color w:val="314049"/>
                <w:sz w:val="17"/>
              </w:rPr>
              <w:br/>
            </w:r>
            <w:r>
              <w:rPr>
                <w:rFonts w:ascii="ITC Avant Garde Pro Md;sans-serif" w:hAnsi="ITC Avant Garde Pro Md;sans-serif"/>
                <w:b w:val="false"/>
                <w:color w:val="313E48"/>
                <w:sz w:val="17"/>
              </w:rPr>
              <w:t>Occidental Petroleum</w:t>
            </w:r>
            <w:r>
              <w:rPr>
                <w:rFonts w:ascii="ITC Avant Garde Pro Md;sans-serif" w:hAnsi="ITC Avant Garde Pro Md;sans-serif"/>
                <w:b w:val="false"/>
                <w:color w:val="314049"/>
                <w:sz w:val="17"/>
              </w:rPr>
              <w:br/>
            </w:r>
            <w:r>
              <w:rPr>
                <w:rFonts w:ascii="ITC Avant Garde Pro Md;sans-serif" w:hAnsi="ITC Avant Garde Pro Md;sans-serif"/>
                <w:b w:val="false"/>
                <w:color w:val="313E48"/>
                <w:sz w:val="17"/>
              </w:rPr>
              <w:t>Corporation</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Kenneth B. Robinson has served as a director since March 2020. Mr. Robinson was the Senior Vice President of Audit Services at Exelon Corporation, an integrated power and utility company, from 2016 to 2020. Prior to Exelon, Mr. Robinson spent almost 40 years at The Procter &amp; Gamble Company in a variety of senior finance leadership roles, including Chief Financial Officer – Global Personal Beauty Care and Global Chief Audit Executive. Mr. Robinson served from 2016 to 2020 as a Trustee of the Financial Accounting Foundation, which oversees the Financial Accounting Standards Board and the Governmental Accounting Standards Board. Mr. Robinson currently serves as a director of Abercrombie &amp; Fitch Co., Occidental Petroleum Company and as Trustee of the International Financial Reporting Standards Board. Mr. Robinson holds a B.S. from Mississippi State University and an M.B.A. from the University of Memphis. Mr. Robinson brings executive management experience, including significant experience in the areas of financial and accounting expertise, to our board of directors.</w:t>
            </w:r>
          </w:p>
        </w:tc>
      </w:tr>
      <w:tr>
        <w:trPr/>
        <w:tc>
          <w:tcPr>
            <w:tcW w:w="342"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28650"/>
                <wp:effectExtent l="0" t="0" r="0" b="0"/>
                <wp:wrapNone/>
                <wp:docPr id="36"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04"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150" w:after="283"/>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1 Election of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52"/>
        <w:gridCol w:w="652"/>
        <w:gridCol w:w="654"/>
        <w:gridCol w:w="109"/>
        <w:gridCol w:w="109"/>
        <w:gridCol w:w="109"/>
        <w:gridCol w:w="109"/>
        <w:gridCol w:w="109"/>
        <w:gridCol w:w="109"/>
        <w:gridCol w:w="2123"/>
        <w:gridCol w:w="2123"/>
        <w:gridCol w:w="3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52525"/>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1181100" cy="1152525"/>
                          </a:xfrm>
                          <a:prstGeom prst="rect">
                            <a:avLst/>
                          </a:prstGeom>
                        </pic:spPr>
                      </pic:pic>
                    </a:graphicData>
                  </a:graphic>
                </wp:inline>
              </w:drawing>
            </w:r>
            <w:bookmarkStart w:id="25" w:name="i-26"/>
            <w:bookmarkEnd w:id="25"/>
          </w:p>
          <w:p>
            <w:pPr>
              <w:pStyle w:val="TableContents"/>
              <w:bidi w:val="0"/>
              <w:spacing w:lineRule="auto" w:line="312" w:before="120" w:after="120"/>
              <w:jc w:val="left"/>
              <w:rPr>
                <w:rFonts w:ascii="ITC Avant Garde Pro Bk;sans-serif" w:hAnsi="ITC Avant Garde Pro Bk;sans-serif"/>
                <w:b/>
                <w:color w:val="EE2626"/>
                <w:sz w:val="20"/>
              </w:rPr>
            </w:pPr>
            <w:r>
              <w:rPr>
                <w:rFonts w:ascii="ITC Avant Garde Pro Bk;sans-serif" w:hAnsi="ITC Avant Garde Pro Bk;sans-serif"/>
                <w:b/>
                <w:color w:val="EE2626"/>
                <w:sz w:val="20"/>
              </w:rPr>
              <w:t>Steven I. Sarowitz</w:t>
            </w:r>
          </w:p>
          <w:p>
            <w:pPr>
              <w:pStyle w:val="TableContents"/>
              <w:bidi w:val="0"/>
              <w:spacing w:lineRule="auto" w:line="312" w:before="120" w:after="283"/>
              <w:jc w:val="left"/>
              <w:rPr/>
            </w:pPr>
            <w:r>
              <w:rPr>
                <w:rFonts w:ascii="ITC Avant Garde Pro Bk;sans-serif" w:hAnsi="ITC Avant Garde Pro Bk;sans-serif"/>
                <w:b/>
                <w:color w:val="314049"/>
                <w:sz w:val="17"/>
              </w:rPr>
              <w:t xml:space="preserve">Age: </w:t>
            </w:r>
            <w:r>
              <w:rPr>
                <w:rFonts w:ascii="ITC Avant Garde Pro Md;sans-serif" w:hAnsi="ITC Avant Garde Pro Md;sans-serif"/>
                <w:b w:val="false"/>
                <w:color w:val="314049"/>
                <w:sz w:val="17"/>
              </w:rPr>
              <w:t>60</w:t>
            </w:r>
            <w:r>
              <w:rPr>
                <w:rFonts w:ascii="ITC Avant Garde Pro Bk;sans-serif" w:hAnsi="ITC Avant Garde Pro Bk;sans-serif"/>
                <w:b w:val="false"/>
                <w:color w:val="314049"/>
                <w:sz w:val="17"/>
              </w:rPr>
              <w:br/>
            </w:r>
            <w:r>
              <w:rPr>
                <w:rFonts w:ascii="ITC Avant Garde Pro Bk;sans-serif" w:hAnsi="ITC Avant Garde Pro Bk;sans-serif"/>
                <w:b/>
                <w:color w:val="314049"/>
                <w:sz w:val="17"/>
              </w:rPr>
              <w:t xml:space="preserve">Director Since: </w:t>
            </w:r>
            <w:r>
              <w:rPr>
                <w:rFonts w:ascii="ITC Avant Garde Pro Md;sans-serif" w:hAnsi="ITC Avant Garde Pro Md;sans-serif"/>
                <w:b w:val="false"/>
                <w:color w:val="314049"/>
                <w:sz w:val="17"/>
              </w:rPr>
              <w:t>1997</w:t>
            </w:r>
            <w:r>
              <w:rPr>
                <w:rFonts w:ascii="ITC Avant Garde Pro Bk;sans-serif" w:hAnsi="ITC Avant Garde Pro Bk;sans-serif"/>
                <w:b w:val="false"/>
                <w:color w:val="314049"/>
                <w:sz w:val="17"/>
              </w:rPr>
              <w:br/>
            </w:r>
            <w:r>
              <w:rPr>
                <w:rFonts w:ascii="ITC Avant Garde Pro Bk;sans-serif" w:hAnsi="ITC Avant Garde Pro Bk;sans-serif"/>
                <w:b/>
                <w:color w:val="314049"/>
                <w:sz w:val="17"/>
              </w:rPr>
              <w:t xml:space="preserve">Committees: </w:t>
            </w:r>
            <w:r>
              <w:rPr>
                <w:rFonts w:ascii="ITC Avant Garde Pro Md;sans-serif" w:hAnsi="ITC Avant Garde Pro Md;sans-serif"/>
                <w:b w:val="false"/>
                <w:color w:val="314049"/>
                <w:sz w:val="17"/>
              </w:rPr>
              <w:t>None</w:t>
              <w:br/>
            </w:r>
            <w:r>
              <w:rPr>
                <w:rFonts w:ascii="ITC Avant Garde Pro Bk;sans-serif" w:hAnsi="ITC Avant Garde Pro Bk;sans-serif"/>
                <w:b/>
                <w:color w:val="313E48"/>
                <w:sz w:val="17"/>
              </w:rPr>
              <w:t>Other Current Public</w:t>
              <w:br/>
              <w:t>Company Boards:</w:t>
              <w:br/>
            </w:r>
            <w:r>
              <w:rPr>
                <w:rFonts w:ascii="ITC Avant Garde Pro Md;sans-serif" w:hAnsi="ITC Avant Garde Pro Md;sans-serif"/>
                <w:b w:val="false"/>
                <w:color w:val="313E48"/>
                <w:sz w:val="17"/>
              </w:rPr>
              <w:t>Angel Studios, Inc.</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4049"/>
                <w:sz w:val="20"/>
              </w:rPr>
            </w:pPr>
            <w:r>
              <w:rPr>
                <w:rFonts w:ascii="ITC Avant Garde Pro Bk;sans-serif" w:hAnsi="ITC Avant Garde Pro Bk;sans-serif"/>
                <w:b/>
                <w:color w:val="314049"/>
                <w:sz w:val="20"/>
              </w:rPr>
              <w:t>Biography</w:t>
            </w:r>
          </w:p>
          <w:p>
            <w:pPr>
              <w:pStyle w:val="TableContents"/>
              <w:bidi w:val="0"/>
              <w:spacing w:lineRule="auto" w:line="312" w:before="120" w:after="120"/>
              <w:jc w:val="left"/>
              <w:rPr>
                <w:rFonts w:ascii="ITC Avant Garde Pro Md;sans-serif" w:hAnsi="ITC Avant Garde Pro Md;sans-serif"/>
                <w:b w:val="false"/>
                <w:color w:val="314049"/>
                <w:sz w:val="17"/>
              </w:rPr>
            </w:pPr>
            <w:r>
              <w:rPr>
                <w:rFonts w:ascii="ITC Avant Garde Pro Md;sans-serif" w:hAnsi="ITC Avant Garde Pro Md;sans-serif"/>
                <w:b w:val="false"/>
                <w:color w:val="314049"/>
                <w:sz w:val="17"/>
              </w:rPr>
              <w:t>Steven I. Sarowitz founded Paylocity in 1997 and is a director. Mr. Sarowitz was the Chief Executive Officer of Blue Marble Payroll, an international payroll aggregator, prior to its acquisition by Paylocity in August 2021. In addition, Mr. Sarowitz is a Director of Payescape Ltd, a UK payroll provider, and Angel Studios, Inc., a media distribution company. He is also Co-Chairman at Wayfarer Studios, Wayfarer Theaters, and 4S Bay Partners. He serves on the board of Eved Holdings LLC. He also serves on the boards of Julian Grace Foundation and Chicago Center for Arts &amp; Technology. Prior to founding Paylocity, Mr. Sarowitz worked at Robert F. White, a Chicago-based independent payroll service firm. He later was an executive at three privately-held payroll companies. Mr. Sarowitz formerly served as President of the Independent Payroll Providers Association. Mr. Sarowitz holds a B.A. in Economics from the University of Illinois at Urbana. Mr. Sarowitz brings to our board of directors extensive executive leadership and operational experience in payroll services companies, and his experience and familiarity with our business as its founder and previously serving as Chairman.</w:t>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1181100" cy="1181100"/>
                          </a:xfrm>
                          <a:prstGeom prst="rect">
                            <a:avLst/>
                          </a:prstGeom>
                        </pic:spPr>
                      </pic:pic>
                    </a:graphicData>
                  </a:graphic>
                </wp:inline>
              </w:drawing>
            </w:r>
            <w:bookmarkStart w:id="26" w:name="i-27"/>
            <w:bookmarkEnd w:id="26"/>
          </w:p>
          <w:p>
            <w:pPr>
              <w:pStyle w:val="TableContents"/>
              <w:bidi w:val="0"/>
              <w:spacing w:lineRule="auto" w:line="312" w:before="120" w:after="120"/>
              <w:jc w:val="left"/>
              <w:rPr/>
            </w:pPr>
            <w:r>
              <w:rPr>
                <w:rFonts w:ascii="ITC Avant Garde Pro Bk;sans-serif" w:hAnsi="ITC Avant Garde Pro Bk;sans-serif"/>
                <w:b/>
                <w:color w:val="EE2626"/>
                <w:sz w:val="20"/>
              </w:rPr>
              <w:t>Ronald V. Waters III</w:t>
              <w:br/>
            </w:r>
            <w:r>
              <w:rPr>
                <w:rFonts w:ascii="ITC Avant Garde Pro Bk;sans-serif" w:hAnsi="ITC Avant Garde Pro Bk;sans-serif"/>
                <w:b/>
                <w:color w:val="313E48"/>
                <w:sz w:val="17"/>
              </w:rPr>
              <w:t>Lead Independent</w:t>
            </w:r>
          </w:p>
          <w:p>
            <w:pPr>
              <w:pStyle w:val="TableContents"/>
              <w:bidi w:val="0"/>
              <w:spacing w:lineRule="auto" w:line="312" w:before="120" w:after="120"/>
              <w:jc w:val="left"/>
              <w:rPr/>
            </w:pPr>
            <w:r>
              <w:rPr>
                <w:rFonts w:ascii="ITC Avant Garde Pro Bk;sans-serif" w:hAnsi="ITC Avant Garde Pro Bk;sans-serif"/>
                <w:b/>
                <w:color w:val="313E48"/>
                <w:sz w:val="17"/>
              </w:rPr>
              <w:t xml:space="preserve">Age: </w:t>
            </w:r>
            <w:r>
              <w:rPr>
                <w:rFonts w:ascii="ITC Avant Garde Pro Md;sans-serif" w:hAnsi="ITC Avant Garde Pro Md;sans-serif"/>
                <w:b w:val="false"/>
                <w:color w:val="314049"/>
                <w:sz w:val="17"/>
              </w:rPr>
              <w:t>74</w:t>
            </w:r>
            <w:r>
              <w:rPr>
                <w:rFonts w:ascii="ITC Avant Garde Pro Bk;sans-serif" w:hAnsi="ITC Avant Garde Pro Bk;sans-serif"/>
                <w:b/>
                <w:color w:val="313E48"/>
                <w:sz w:val="17"/>
              </w:rPr>
              <w:br/>
              <w:t xml:space="preserve">Director Since: </w:t>
            </w:r>
            <w:r>
              <w:rPr>
                <w:rFonts w:ascii="ITC Avant Garde Pro Md;sans-serif" w:hAnsi="ITC Avant Garde Pro Md;sans-serif"/>
                <w:b w:val="false"/>
                <w:color w:val="314049"/>
                <w:sz w:val="17"/>
              </w:rPr>
              <w:t>2013</w:t>
            </w:r>
            <w:r>
              <w:rPr>
                <w:rFonts w:ascii="ITC Avant Garde Pro Bk;sans-serif" w:hAnsi="ITC Avant Garde Pro Bk;sans-serif"/>
                <w:b/>
                <w:color w:val="313E48"/>
                <w:sz w:val="17"/>
              </w:rPr>
              <w:br/>
              <w:t xml:space="preserve">Committees: </w:t>
            </w:r>
            <w:r>
              <w:rPr>
                <w:rFonts w:ascii="ITC Avant Garde Pro Md;sans-serif" w:hAnsi="ITC Avant Garde Pro Md;sans-serif"/>
                <w:b w:val="false"/>
                <w:color w:val="313E48"/>
                <w:sz w:val="17"/>
              </w:rPr>
              <w:t>Audit</w:t>
              <w:br/>
              <w:t>(Chair) &amp; Compensation</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Ronald V. Waters III has served as a director since November 2013 and also serves as the Lead Independent Director. Mr. Waters has been an independent business consultant since May 2010. From 2009 to May 2010, he was a Director and the President and Chief Executive Officer of LoJack Corporation ("LoJack"), a worldwide marketer of wireless tracking and recovery systems for valuable mobile assets, and from 2007 to 2008, he was a Director and the President and Chief Operating Officer of LoJack. He was a director of Fortune Brands Innovations, Inc. from 2008 to May 2024, formerly known as Fortune Brands Home &amp; Security, Inc., a home and security products company. From 2002 to May 2022, Mr. Waters served as a director of HNI Corp., a manufacturer of office furniture and a manufacturer and marketer of gas- and wood-burning fireplaces. From 2012 to 2015, Mr. Waters served as a director of Chiquita Brands International, Inc., an international marketer and distributor of food products. From 2006 to 2007, Mr. Waters served as a director of Sabre Holdings Corporation. Mr. Waters brings to our board of directors leadership experience through his former role as Chief Executive Officer of LoJack and significant finance expertise derived primarily from his previous service on the audit committee of one other public company and former roles as a director and Chief Operating Officer at a public company, Chief Financial Officer at Wm. Wrigley Jr. Company, Controller at The Gillette Company and partner at KPMG LLP. Mr. Waters also brings to our board of directors international, legal and information technology expertise derived primarily from his service in various roles at several large public companies.</w:t>
            </w:r>
          </w:p>
        </w:tc>
      </w:tr>
      <w:tr>
        <w:trPr/>
        <w:tc>
          <w:tcPr>
            <w:tcW w:w="342"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25170"/>
                <wp:effectExtent l="0" t="0" r="0" b="0"/>
                <wp:wrapNone/>
                <wp:docPr id="39" name="Frame1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1 Election of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57"/>
        <w:gridCol w:w="657"/>
        <w:gridCol w:w="659"/>
        <w:gridCol w:w="109"/>
        <w:gridCol w:w="109"/>
        <w:gridCol w:w="109"/>
        <w:gridCol w:w="109"/>
        <w:gridCol w:w="109"/>
        <w:gridCol w:w="109"/>
        <w:gridCol w:w="2117"/>
        <w:gridCol w:w="2117"/>
        <w:gridCol w:w="30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2F1EB"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81100" cy="1181100"/>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1181100" cy="1181100"/>
                          </a:xfrm>
                          <a:prstGeom prst="rect">
                            <a:avLst/>
                          </a:prstGeom>
                        </pic:spPr>
                      </pic:pic>
                    </a:graphicData>
                  </a:graphic>
                </wp:inline>
              </w:drawing>
            </w:r>
            <w:bookmarkStart w:id="27" w:name="i-28"/>
            <w:bookmarkEnd w:id="27"/>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Toby J. Williams</w:t>
            </w:r>
          </w:p>
          <w:p>
            <w:pPr>
              <w:pStyle w:val="TableContents"/>
              <w:bidi w:val="0"/>
              <w:spacing w:lineRule="auto" w:line="312" w:before="0" w:after="0"/>
              <w:jc w:val="left"/>
              <w:rPr/>
            </w:pPr>
            <w:r>
              <w:rPr>
                <w:rFonts w:ascii="ITC Avant Garde Pro Bk;sans-serif" w:hAnsi="ITC Avant Garde Pro Bk;sans-serif"/>
                <w:b/>
                <w:color w:val="313E48"/>
                <w:sz w:val="17"/>
              </w:rPr>
              <w:t>President, Chief Executive</w:t>
            </w:r>
            <w:r>
              <w:rPr>
                <w:rFonts w:ascii="ITC Avant Garde Pro Md;sans-serif" w:hAnsi="ITC Avant Garde Pro Md;sans-serif"/>
                <w:b w:val="false"/>
                <w:color w:val="314049"/>
                <w:sz w:val="17"/>
              </w:rPr>
              <w:br/>
            </w:r>
            <w:r>
              <w:rPr>
                <w:rFonts w:ascii="ITC Avant Garde Pro Bk;sans-serif" w:hAnsi="ITC Avant Garde Pro Bk;sans-serif"/>
                <w:b/>
                <w:color w:val="313E48"/>
                <w:sz w:val="17"/>
              </w:rPr>
              <w:t>Officer and Director</w:t>
            </w:r>
          </w:p>
          <w:p>
            <w:pPr>
              <w:pStyle w:val="TableContents"/>
              <w:bidi w:val="0"/>
              <w:spacing w:lineRule="auto" w:line="312" w:before="80" w:after="120"/>
              <w:jc w:val="left"/>
              <w:rPr/>
            </w:pPr>
            <w:r>
              <w:rPr>
                <w:rFonts w:ascii="ITC Avant Garde Pro Bk;sans-serif" w:hAnsi="ITC Avant Garde Pro Bk;sans-serif"/>
                <w:b/>
                <w:color w:val="313E48"/>
                <w:sz w:val="17"/>
              </w:rPr>
              <w:t xml:space="preserve">Age: </w:t>
            </w:r>
            <w:r>
              <w:rPr>
                <w:rFonts w:ascii="ITC Avant Garde Pro Md;sans-serif" w:hAnsi="ITC Avant Garde Pro Md;sans-serif"/>
                <w:b w:val="false"/>
                <w:color w:val="314049"/>
                <w:sz w:val="17"/>
              </w:rPr>
              <w:t>53</w:t>
              <w:br/>
            </w:r>
            <w:r>
              <w:rPr>
                <w:rFonts w:ascii="ITC Avant Garde Pro Bk;sans-serif" w:hAnsi="ITC Avant Garde Pro Bk;sans-serif"/>
                <w:b/>
                <w:color w:val="313E48"/>
                <w:sz w:val="17"/>
              </w:rPr>
              <w:t xml:space="preserve">Director Since: </w:t>
            </w:r>
            <w:r>
              <w:rPr>
                <w:rFonts w:ascii="ITC Avant Garde Pro Md;sans-serif" w:hAnsi="ITC Avant Garde Pro Md;sans-serif"/>
                <w:b w:val="false"/>
                <w:color w:val="314049"/>
                <w:sz w:val="17"/>
              </w:rPr>
              <w:t>2022</w:t>
            </w:r>
            <w:r>
              <w:rPr>
                <w:rFonts w:ascii="ITC Avant Garde Pro Bk;sans-serif" w:hAnsi="ITC Avant Garde Pro Bk;sans-serif"/>
                <w:b/>
                <w:color w:val="313E48"/>
                <w:sz w:val="17"/>
              </w:rPr>
              <w:br/>
            </w:r>
            <w:r>
              <w:rPr>
                <w:rFonts w:ascii="ITC Avant Garde Pro Bk;sans-serif" w:hAnsi="ITC Avant Garde Pro Bk;sans-serif"/>
                <w:b/>
                <w:color w:val="314049"/>
                <w:sz w:val="17"/>
              </w:rPr>
              <w:t xml:space="preserve">Committees: </w:t>
            </w:r>
            <w:r>
              <w:rPr>
                <w:rFonts w:ascii="ITC Avant Garde Pro Md;sans-serif" w:hAnsi="ITC Avant Garde Pro Md;sans-serif"/>
                <w:b w:val="false"/>
                <w:color w:val="314049"/>
                <w:sz w:val="17"/>
              </w:rPr>
              <w:t>None</w:t>
              <w:br/>
            </w:r>
            <w:r>
              <w:rPr>
                <w:rFonts w:ascii="ITC Avant Garde Pro Bk;sans-serif" w:hAnsi="ITC Avant Garde Pro Bk;sans-serif"/>
                <w:b/>
                <w:color w:val="313E48"/>
                <w:sz w:val="17"/>
              </w:rPr>
              <w:t>Other Current Public</w:t>
              <w:br/>
              <w:t>Company Boards:</w:t>
              <w:br/>
            </w:r>
            <w:r>
              <w:rPr>
                <w:rFonts w:ascii="ITC Avant Garde Pro Md;sans-serif" w:hAnsi="ITC Avant Garde Pro Md;sans-serif"/>
                <w:b w:val="false"/>
                <w:color w:val="313E48"/>
                <w:sz w:val="17"/>
              </w:rPr>
              <w:t>CS Disco, Inc.</w:t>
            </w:r>
          </w:p>
        </w:tc>
        <w:tc>
          <w:tcPr>
            <w:tcW w:w="32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313E48"/>
                <w:sz w:val="20"/>
              </w:rPr>
            </w:pPr>
            <w:r>
              <w:rPr>
                <w:rFonts w:ascii="ITC Avant Garde Pro Bk;sans-serif" w:hAnsi="ITC Avant Garde Pro Bk;sans-serif"/>
                <w:b/>
                <w:color w:val="313E48"/>
                <w:sz w:val="20"/>
              </w:rPr>
              <w:t>Biography</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Toby J. Williams is our President and Chief Executive Officer and has served as a director since March 2022. Mr. Williams served as Co-Chief Executive Officer from March 2022 until August 2024 and as Chief Financial Officer from September 2017 until March 2022. Mr. Williams also serves on the board of directors of CS Disco, Inc. Prior to joining Paylocity in September 2017, from February 2011 until August 2017, Mr. Williams held several positions at Ellucian, Inc., a provider of higher education software and services, most recently as Chief Product and Strategy Officer. Prior to joining Ellucian, Mr. Williams was the Director of Corporate Development of Paychex, Inc., a provider of human capital management solutions, from March 2006 to January 2011. Before joining Paychex, Mr. Williams was a senior associate in the investment banking division of Citigroup Global Markets Inc., an investment banking firm, from September 2004 to January 2006. From 1999 to 2004, Mr. Williams was an associate in private law practice, most recently with Holland &amp; Knight LLP from 2002 until 2004. Mr. Williams holds a B.A. in Business Administration and Political Science from Houghton College and a M.B.A. and J.D. from The Ohio State University. Mr. Williams brings to our board of directors experience in management positions at technology and payroll services companies, and his experience and familiarity with our business as Chief Financial Officer and as President and Chief Executive Officer.</w:t>
            </w:r>
          </w:p>
        </w:tc>
      </w:tr>
      <w:tr>
        <w:trPr/>
        <w:tc>
          <w:tcPr>
            <w:tcW w:w="342"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bottom w:val="single" w:sz="8" w:space="0" w:color="4949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28650"/>
                <wp:effectExtent l="0" t="0" r="0" b="0"/>
                <wp:wrapNone/>
                <wp:docPr id="41"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Corporate</w:t>
        <w:br/>
        <w:t>Governance</w:t>
      </w:r>
    </w:p>
    <w:p>
      <w:pPr>
        <w:pStyle w:val="TextBody"/>
        <w:bidi w:val="0"/>
        <w:spacing w:lineRule="auto" w:line="288" w:before="200" w:after="100"/>
        <w:jc w:val="left"/>
        <w:rPr>
          <w:rFonts w:ascii="ITC Avant Garde Pro Bk;sans-serif" w:hAnsi="ITC Avant Garde Pro Bk;sans-serif"/>
          <w:b/>
          <w:color w:val="F78D2D"/>
          <w:sz w:val="36"/>
        </w:rPr>
      </w:pPr>
      <w:r>
        <w:rPr>
          <w:rFonts w:ascii="ITC Avant Garde Pro Bk;sans-serif" w:hAnsi="ITC Avant Garde Pro Bk;sans-serif"/>
          <w:b/>
          <w:color w:val="F78D2D"/>
          <w:sz w:val="36"/>
        </w:rPr>
        <w:t>Director Independence</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board of directors has determined that each of Mses. Breard and Breen and Messrs. Conway, Pederson, Reiner, Robinson and Waters is an “independent director” for purposes of the Nasdaq Listing Rules and Rule 10A-3(b)(1) under the Securities Exchange Act of 1934, as amended (the "Exchange Act") as the term relates to membership on the board of directors.</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definition of independence under the rules of the Nasdaq Global Select Market (the “Nasdaq Listing Rules”) includes a series of objective tests, such as that the director is not, and has not been for at least three years, one of our employees and that neither the director, nor any of his or her family members, has engaged in various types of business dealings with us. In addition, as further required by the Nasdaq Listing Rules, our board has made a subjective determination as to each independent director that no material relationships exist that, in the opinion of our board, would interfere with his or her exercise of independent judgment in carrying out the responsibilities of a director. In making these determinations, our board reviewed and discussed information provided by the directors in questionnaires with questions tailored to the Nasdaq Listing Rules with regard to each director’s business and personal activities as they may relate to us and our management.</w:t>
      </w:r>
    </w:p>
    <w:p>
      <w:pPr>
        <w:pStyle w:val="TextBody"/>
        <w:bidi w:val="0"/>
        <w:spacing w:lineRule="auto" w:line="288" w:before="200" w:after="100"/>
        <w:jc w:val="left"/>
        <w:rPr>
          <w:rFonts w:ascii="ITC Avant Garde Pro Bk;sans-serif" w:hAnsi="ITC Avant Garde Pro Bk;sans-serif"/>
          <w:b/>
          <w:color w:val="F78D2D"/>
          <w:sz w:val="36"/>
        </w:rPr>
      </w:pPr>
      <w:r>
        <w:rPr>
          <w:rFonts w:ascii="ITC Avant Garde Pro Bk;sans-serif" w:hAnsi="ITC Avant Garde Pro Bk;sans-serif"/>
          <w:b/>
          <w:color w:val="F78D2D"/>
          <w:sz w:val="36"/>
        </w:rPr>
        <w:t>Board of Directors Leadership Structure</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board of directors has adopted corporate governance guidelines to promote the functioning of the board and its committees. These guidelines address board composition, board functions and responsibilities, qualifications, leadership structure, committees and meetings.</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Corporate Governance Guidelines do not contain a policy mandating the separation of the offices of the Chairman of the Board and the Chief Executive Officer, and the board is given the flexibility to select its Chairman and our Chief Executive Officer in the manner that it believes is in the best interests of our stockholders. Accordingly, the roles of Chairman and the Chief Executive Officer may be filled by the same or different individuals. The board has chosen to separate the positions of Chairman and Chief Executive Officer. We believe this structure currently is optimal for us as it enables our Chief Executive Officer to focus his efforts on executing our strategy and day-to-day management of the Company while the Chairman can devote his time and attention to the vital role of overseeing management and guiding the board. The board also appoints a lead independent director whose role is described in the section titled "Executive Sessions and Lead Independent Director". The board may reconsider the best board leadership structure for us from time to time.</w:t>
      </w:r>
    </w:p>
    <w:p>
      <w:pPr>
        <w:pStyle w:val="TextBody"/>
        <w:bidi w:val="0"/>
        <w:spacing w:lineRule="auto" w:line="288" w:before="200" w:after="100"/>
        <w:jc w:val="left"/>
        <w:rPr>
          <w:rFonts w:ascii="ITC Avant Garde Pro Bk;sans-serif" w:hAnsi="ITC Avant Garde Pro Bk;sans-serif"/>
          <w:b/>
          <w:color w:val="F78D2D"/>
          <w:sz w:val="36"/>
        </w:rPr>
      </w:pPr>
      <w:r>
        <w:rPr>
          <w:rFonts w:ascii="ITC Avant Garde Pro Bk;sans-serif" w:hAnsi="ITC Avant Garde Pro Bk;sans-serif"/>
          <w:b/>
          <w:color w:val="F78D2D"/>
          <w:sz w:val="36"/>
        </w:rPr>
        <w:t>Risk Management</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board of directors oversees the Company's risk management function. Through management reports, company policies, including our Corporate Governance Guidelines and Code of Business Conduct and Ethics, and oversight by our board committees of significant financial, operational, data privacy, data security, cybersecurity, legal, regulatory, and other risks, including risks associated with artificial intelligence, the board is regularly informed of material risks facing the Company. These processes provide directors with the information necessary to understand how risks may interrelate, their potential impact on the Company, and management's approach to identifying, assessing, and mitigating those risks.</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Data security and cybersecurity are at the forefront of our risk management efforts, led by our Vice President and Chief Information Security Officer ("CISO") and a dedicated information security team. The CISO reports to our audit committee at least quarterly regarding recent developments related to the cybersecurity threat landscape, current IT-related risks, including risks related to AI and corresponding controls or projects designed to mitigate those risks, as well as the status of ongoing cybersecurity initiatives and program maturity. We hold an ISO 27001 certification, undergo annual SSAE 18 audits for SOC 1 and SOC 2, provide information security awareness and training programs for our employees, and we are continuously investing in our information security efforts, including advanced monitoring technologies on all levels of our applications and infrastructure.</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Mr. Williams, as our President and Chief Executive Officer, works with our independent directors and with management when material risks are identified by the board of directors or management to address such risk.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25170"/>
                <wp:effectExtent l="0" t="0" r="0" b="0"/>
                <wp:wrapNone/>
                <wp:docPr id="42" name="Frame1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identified risk poses an actual or potential conflict with management, our independent directors would conduct an assessment by themselves.</w:t>
      </w:r>
    </w:p>
    <w:p>
      <w:pPr>
        <w:pStyle w:val="TextBody"/>
        <w:bidi w:val="0"/>
        <w:spacing w:lineRule="auto" w:line="300" w:before="200" w:after="100"/>
        <w:jc w:val="left"/>
        <w:rPr>
          <w:rFonts w:ascii="ITC Avant Garde Pro Bk;sans-serif" w:hAnsi="ITC Avant Garde Pro Bk;sans-serif"/>
          <w:b/>
          <w:color w:val="F78D2D"/>
          <w:sz w:val="36"/>
        </w:rPr>
      </w:pPr>
      <w:r>
        <w:rPr>
          <w:rFonts w:ascii="ITC Avant Garde Pro Bk;sans-serif" w:hAnsi="ITC Avant Garde Pro Bk;sans-serif"/>
          <w:b/>
          <w:color w:val="F78D2D"/>
          <w:sz w:val="36"/>
        </w:rPr>
        <w:t>Corporate Social Responsibility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In fiscal 2026, Paylocity delivered another year of strong results, driven by our award-winning culture, innovation and commitment to clients, employees, and communities. We continued to strengthen our position as a leading provider of HCM, payroll, and spend management solutions, expanding our platform with new Finance and IT offerings. We also continued investing in efforts that help our clients operate more effectively and introduced new AI capabilities that drive greater automation, productivity, insights and value for our 44,400 clients. Likewise, providing world-class service remains central to how we partner with our clients. Through these partnerships, we build technology that delivers a richer and more engaging experience for the 6.7 million+ client employees who rely on our platform every day. We also foster an inclusive and innovative culture for our 6,900 employees that continue to drive innovation, serve clients and support our communities. </w:t>
      </w:r>
    </w:p>
    <w:p>
      <w:pPr>
        <w:pStyle w:val="TextBody"/>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Our CSR initiatives focus on three key pillars: Supporting Our People, Uplifting Our Communities, and Sustainability. These guiding principles shape our actions and decisions, driving us toward a positive, lasting impact. </w:t>
      </w:r>
    </w:p>
    <w:tbl>
      <w:tblPr>
        <w:tblW w:w="10205" w:type="dxa"/>
        <w:jc w:val="left"/>
        <w:tblInd w:w="0" w:type="dxa"/>
        <w:tblLayout w:type="fixed"/>
        <w:tblCellMar>
          <w:top w:w="28" w:type="dxa"/>
          <w:left w:w="28" w:type="dxa"/>
          <w:bottom w:w="28" w:type="dxa"/>
          <w:right w:w="28" w:type="dxa"/>
        </w:tblCellMar>
      </w:tblPr>
      <w:tblGrid>
        <w:gridCol w:w="641"/>
        <w:gridCol w:w="537"/>
        <w:gridCol w:w="438"/>
        <w:gridCol w:w="2919"/>
        <w:gridCol w:w="2341"/>
        <w:gridCol w:w="3329"/>
      </w:tblGrid>
      <w:tr>
        <w:trPr/>
        <w:tc>
          <w:tcPr>
            <w:tcW w:w="64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120"/>
              <w:jc w:val="center"/>
              <w:rPr/>
            </w:pPr>
            <w:r>
              <w:rPr/>
              <w:drawing>
                <wp:inline distT="0" distB="0" distL="0" distR="0">
                  <wp:extent cx="723900" cy="723900"/>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30"/>
                          <a:stretch>
                            <a:fillRect/>
                          </a:stretch>
                        </pic:blipFill>
                        <pic:spPr bwMode="auto">
                          <a:xfrm>
                            <a:off x="0" y="0"/>
                            <a:ext cx="723900" cy="723900"/>
                          </a:xfrm>
                          <a:prstGeom prst="rect">
                            <a:avLst/>
                          </a:prstGeom>
                        </pic:spPr>
                      </pic:pic>
                    </a:graphicData>
                  </a:graphic>
                </wp:inline>
              </w:drawing>
            </w:r>
            <w:bookmarkStart w:id="28" w:name="i-29"/>
            <w:bookmarkEnd w:id="28"/>
          </w:p>
          <w:p>
            <w:pPr>
              <w:pStyle w:val="TableContents"/>
              <w:bidi w:val="0"/>
              <w:spacing w:lineRule="auto" w:line="312" w:before="0" w:after="0"/>
              <w:jc w:val="center"/>
              <w:rPr>
                <w:rFonts w:ascii="ITC Avant Garde Pro Md;sans-serif" w:hAnsi="ITC Avant Garde Pro Md;sans-serif"/>
                <w:b/>
                <w:color w:val="313D48"/>
                <w:sz w:val="20"/>
              </w:rPr>
            </w:pPr>
            <w:r>
              <w:rPr>
                <w:rFonts w:ascii="ITC Avant Garde Pro Md;sans-serif" w:hAnsi="ITC Avant Garde Pro Md;sans-serif"/>
                <w:b/>
                <w:color w:val="313D48"/>
                <w:sz w:val="20"/>
              </w:rPr>
              <w:t>Supporting Our</w:t>
            </w:r>
          </w:p>
          <w:p>
            <w:pPr>
              <w:pStyle w:val="TableContents"/>
              <w:bidi w:val="0"/>
              <w:spacing w:lineRule="auto" w:line="312" w:before="0" w:after="0"/>
              <w:jc w:val="center"/>
              <w:rPr>
                <w:rFonts w:ascii="ITC Avant Garde Pro Md;sans-serif" w:hAnsi="ITC Avant Garde Pro Md;sans-serif"/>
                <w:b/>
                <w:color w:val="313D48"/>
                <w:sz w:val="20"/>
              </w:rPr>
            </w:pPr>
            <w:r>
              <w:rPr>
                <w:rFonts w:ascii="ITC Avant Garde Pro Md;sans-serif" w:hAnsi="ITC Avant Garde Pro Md;sans-serif"/>
                <w:b/>
                <w:color w:val="313D48"/>
                <w:sz w:val="20"/>
              </w:rPr>
              <w:t>People</w:t>
            </w:r>
          </w:p>
        </w:tc>
        <w:tc>
          <w:tcPr>
            <w:tcW w:w="8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know our employees are our core strength, and we focus on meeting the needs of our people, their families, and their communities. Through our efforts to foster inclusion, wellness initiatives, and community partnerships — like our work with the National Alliance on Mental Illness — we create a culture that supports the whole person and empowers each of us to pay it forward. As we’ve grown, so has our commitment to building a workplace rooted in opportunity, respect, and belonging.</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120"/>
              <w:jc w:val="center"/>
              <w:rPr/>
            </w:pPr>
            <w:r>
              <w:rPr/>
              <w:drawing>
                <wp:inline distT="0" distB="0" distL="0" distR="0">
                  <wp:extent cx="723900" cy="723900"/>
                  <wp:effectExtent l="0" t="0" r="0" b="0"/>
                  <wp:docPr id="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 descr=""/>
                          <pic:cNvPicPr>
                            <a:picLocks noChangeAspect="1" noChangeArrowheads="1"/>
                          </pic:cNvPicPr>
                        </pic:nvPicPr>
                        <pic:blipFill>
                          <a:blip r:embed="rId31"/>
                          <a:stretch>
                            <a:fillRect/>
                          </a:stretch>
                        </pic:blipFill>
                        <pic:spPr bwMode="auto">
                          <a:xfrm>
                            <a:off x="0" y="0"/>
                            <a:ext cx="723900" cy="723900"/>
                          </a:xfrm>
                          <a:prstGeom prst="rect">
                            <a:avLst/>
                          </a:prstGeom>
                        </pic:spPr>
                      </pic:pic>
                    </a:graphicData>
                  </a:graphic>
                </wp:inline>
              </w:drawing>
            </w:r>
            <w:bookmarkStart w:id="29" w:name="i-30"/>
            <w:bookmarkEnd w:id="29"/>
          </w:p>
          <w:p>
            <w:pPr>
              <w:pStyle w:val="TableContents"/>
              <w:bidi w:val="0"/>
              <w:spacing w:lineRule="auto" w:line="312" w:before="0" w:after="0"/>
              <w:jc w:val="center"/>
              <w:rPr>
                <w:rFonts w:ascii="ITC Avant Garde Pro Md;sans-serif" w:hAnsi="ITC Avant Garde Pro Md;sans-serif"/>
                <w:b/>
                <w:color w:val="313D48"/>
                <w:sz w:val="20"/>
              </w:rPr>
            </w:pPr>
            <w:r>
              <w:rPr>
                <w:rFonts w:ascii="ITC Avant Garde Pro Md;sans-serif" w:hAnsi="ITC Avant Garde Pro Md;sans-serif"/>
                <w:b/>
                <w:color w:val="313D48"/>
                <w:sz w:val="20"/>
              </w:rPr>
              <w:t>Uplifting Our</w:t>
            </w:r>
          </w:p>
          <w:p>
            <w:pPr>
              <w:pStyle w:val="TableContents"/>
              <w:bidi w:val="0"/>
              <w:spacing w:lineRule="auto" w:line="312" w:before="0" w:after="0"/>
              <w:jc w:val="center"/>
              <w:rPr>
                <w:rFonts w:ascii="ITC Avant Garde Pro Md;sans-serif" w:hAnsi="ITC Avant Garde Pro Md;sans-serif"/>
                <w:b/>
                <w:color w:val="313D48"/>
                <w:sz w:val="20"/>
              </w:rPr>
            </w:pPr>
            <w:r>
              <w:rPr>
                <w:rFonts w:ascii="ITC Avant Garde Pro Md;sans-serif" w:hAnsi="ITC Avant Garde Pro Md;sans-serif"/>
                <w:b/>
                <w:color w:val="313D48"/>
                <w:sz w:val="20"/>
              </w:rPr>
              <w:t>Communities</w:t>
            </w:r>
          </w:p>
        </w:tc>
        <w:tc>
          <w:tcPr>
            <w:tcW w:w="8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Giving back to our communities is part of who we are. We come together with our employees through Paylocity Gives, our internal initiative that includes paid volunteer time, philanthropic grants, and programs that elevate personal passions and expand our reach. We proudly partner with organizations like Girls Who Code and the American Red Cross to increase access to STEM education and fund disaster readiness and relief. From employee-nominated nonprofits to executive-led civic engagement, our culture of giving is a shared responsibility we carry forward, together.</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32"/>
                          <a:stretch>
                            <a:fillRect/>
                          </a:stretch>
                        </pic:blipFill>
                        <pic:spPr bwMode="auto">
                          <a:xfrm>
                            <a:off x="0" y="0"/>
                            <a:ext cx="723900" cy="723900"/>
                          </a:xfrm>
                          <a:prstGeom prst="rect">
                            <a:avLst/>
                          </a:prstGeom>
                        </pic:spPr>
                      </pic:pic>
                    </a:graphicData>
                  </a:graphic>
                </wp:inline>
              </w:drawing>
            </w:r>
            <w:bookmarkStart w:id="30" w:name="i-31"/>
            <w:bookmarkEnd w:id="30"/>
          </w:p>
          <w:p>
            <w:pPr>
              <w:pStyle w:val="TableContents"/>
              <w:bidi w:val="0"/>
              <w:spacing w:lineRule="auto" w:line="312" w:before="120" w:after="283"/>
              <w:jc w:val="center"/>
              <w:rPr>
                <w:rFonts w:ascii="ITC Avant Garde Pro Md;sans-serif" w:hAnsi="ITC Avant Garde Pro Md;sans-serif"/>
                <w:b/>
                <w:color w:val="313D48"/>
                <w:sz w:val="20"/>
              </w:rPr>
            </w:pPr>
            <w:r>
              <w:rPr>
                <w:rFonts w:ascii="ITC Avant Garde Pro Md;sans-serif" w:hAnsi="ITC Avant Garde Pro Md;sans-serif"/>
                <w:b/>
                <w:color w:val="313D48"/>
                <w:sz w:val="20"/>
              </w:rPr>
              <w:t>Sustainability</w:t>
            </w:r>
          </w:p>
        </w:tc>
        <w:tc>
          <w:tcPr>
            <w:tcW w:w="8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Environmental responsibility is integrated throughout our operations, from encouraging reusable alternatives to helping our clients reduce paper usage. Through partnerships with organizations like One Tree Planted, as well as our own efforts in and out of the office, we prioritize everyday practices to reduce our environmental footprint. We believe that every action we take today, no matter how small, creates a more sustainable workplace and contributes to a healthier planet for future generations. </w:t>
            </w:r>
          </w:p>
        </w:tc>
      </w:tr>
      <w:tr>
        <w:trPr/>
        <w:tc>
          <w:tcPr>
            <w:tcW w:w="1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Additionally, we place significant focus on governance across Paylocity. Trust and transparency guide how we manage data, protect privacy, and uphold ethical standards. We invest in advanced technologies, resilient infrastructure, and rigorous security protocols to protect client data, while embedding data privacy into every aspect of our operations. From ethical AI use and privacy governance to employee training and disaster recovery planning, we take a proactive, enterprise-wide approach to responsible data stewardship.</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Please visit our Corporate Social Responsibility website at </w:t>
      </w:r>
      <w:r>
        <w:rPr>
          <w:rFonts w:ascii="ITC Avant Garde Pro Md;sans-serif" w:hAnsi="ITC Avant Garde Pro Md;sans-serif"/>
          <w:b w:val="false"/>
          <w:color w:val="F78D2D"/>
          <w:sz w:val="17"/>
        </w:rPr>
        <w:t xml:space="preserve">paylocity.com/company/our-culture/corporate-social-responsibility/ </w:t>
      </w:r>
      <w:r>
        <w:rPr>
          <w:rFonts w:ascii="ITC Avant Garde Pro Md;sans-serif" w:hAnsi="ITC Avant Garde Pro Md;sans-serif"/>
          <w:b w:val="false"/>
          <w:color w:val="242424"/>
          <w:sz w:val="17"/>
        </w:rPr>
        <w:t>to learn more about our</w:t>
      </w:r>
      <w:r>
        <w:rPr>
          <w:color w:val="313D48"/>
        </w:rPr>
        <w:t> </w:t>
      </w:r>
      <w:r>
        <w:rPr>
          <w:rFonts w:ascii="ITC Avant Garde Pro Md;sans-serif" w:hAnsi="ITC Avant Garde Pro Md;sans-serif"/>
          <w:b w:val="false"/>
          <w:color w:val="313D48"/>
          <w:sz w:val="17"/>
        </w:rPr>
        <w:t xml:space="preserve">corporate social responsibility initiatives and the many ways we support our employees, our communities, our clients and the 6.7 million+ client employees that rely on our products each day.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8650"/>
                <wp:effectExtent l="0" t="0" r="0" b="0"/>
                <wp:wrapNone/>
                <wp:docPr id="46"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Executive Sessions and Lead Independent Director</w:t>
      </w:r>
    </w:p>
    <w:tbl>
      <w:tblPr>
        <w:tblW w:w="10205" w:type="dxa"/>
        <w:jc w:val="left"/>
        <w:tblInd w:w="0" w:type="dxa"/>
        <w:tblLayout w:type="fixed"/>
        <w:tblCellMar>
          <w:top w:w="28" w:type="dxa"/>
          <w:left w:w="28" w:type="dxa"/>
          <w:bottom w:w="28" w:type="dxa"/>
          <w:right w:w="28" w:type="dxa"/>
        </w:tblCellMar>
      </w:tblPr>
      <w:tblGrid>
        <w:gridCol w:w="2605"/>
        <w:gridCol w:w="2289"/>
        <w:gridCol w:w="2293"/>
        <w:gridCol w:w="882"/>
        <w:gridCol w:w="882"/>
        <w:gridCol w:w="1254"/>
      </w:tblGrid>
      <w:tr>
        <w:trPr/>
        <w:tc>
          <w:tcPr>
            <w:tcW w:w="2605"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7187" w:type="dxa"/>
            <w:gridSpan w:val="3"/>
            <w:tcBorders>
              <w:top w:val="single" w:sz="4" w:space="0" w:color="313D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4" w:space="0" w:color="313D48"/>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Non-management directors generally meet in executive session each time the board of directors holds a regularly scheduled meeting. The board’s policy is to hold executive sessions without the presence of management as a part of all regular board meetings, and, in any event, at least twice during each calendar year. The Company’s Corporate Governance Guidelines provide that a non-management independent director shall be chosen to preside at each executive session.</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board of directors has elected an independent, non-management director to serve in a lead capacity (“Lead Independent Director”) to coordinate the activities of the other non-management directors, and to perform any other duties and responsibilities that the board of directors may determine. While the board annually elects a Lead Independent Director, it is generally expected that he or she will serve for more than one year. Our current Lead Independent Director is Ronald V. Waters III.</w:t>
            </w:r>
          </w:p>
        </w:tc>
        <w:tc>
          <w:tcPr>
            <w:tcW w:w="3018"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role of the Lead Independent Director includes: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presiding at non-management executive sessions, with the authority to call meetings of the independent directors;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presiding at executive sessions;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functioning as principal liaison on board-wide issues between the independent directors and the Chairman; and</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if requested by stockholders, ensuring that he/she is available, when appropriate, for consultation and direct communication.</w:t>
            </w:r>
          </w:p>
        </w:tc>
      </w:tr>
      <w:tr>
        <w:trPr/>
        <w:tc>
          <w:tcPr>
            <w:tcW w:w="71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bottom w:val="single" w:sz="4" w:space="0" w:color="313D48"/>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Meetings of the Board of Directors and Committees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board of directors held five meetings during the fiscal year ended June 30, 2026. The board of directors has three standing committees: an audit committee, a compensation committee and a nominating and corporate governance committee. Each director attended at least 75% of the total number of meetings of the Board and of any Board committees of which he or she was a member during fiscal 2026.</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table sets forth the standing committees of the board of directors and the members of each committee as of the date that this Proxy Statement was first made available to our stockholders:</w:t>
      </w:r>
    </w:p>
    <w:tbl>
      <w:tblPr>
        <w:tblW w:w="8160" w:type="dxa"/>
        <w:jc w:val="left"/>
        <w:tblInd w:w="0" w:type="dxa"/>
        <w:tblLayout w:type="fixed"/>
        <w:tblCellMar>
          <w:top w:w="28" w:type="dxa"/>
          <w:left w:w="28" w:type="dxa"/>
          <w:bottom w:w="28" w:type="dxa"/>
          <w:right w:w="28" w:type="dxa"/>
        </w:tblCellMar>
      </w:tblPr>
      <w:tblGrid>
        <w:gridCol w:w="765"/>
        <w:gridCol w:w="672"/>
        <w:gridCol w:w="677"/>
        <w:gridCol w:w="205"/>
        <w:gridCol w:w="205"/>
        <w:gridCol w:w="206"/>
        <w:gridCol w:w="480"/>
        <w:gridCol w:w="480"/>
        <w:gridCol w:w="481"/>
        <w:gridCol w:w="724"/>
        <w:gridCol w:w="724"/>
        <w:gridCol w:w="726"/>
        <w:gridCol w:w="532"/>
        <w:gridCol w:w="532"/>
        <w:gridCol w:w="751"/>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6"/>
              </w:rPr>
            </w:pPr>
            <w:r>
              <w:rPr>
                <w:rFonts w:ascii="ITC Avant Garde Pro Bk;sans-serif" w:hAnsi="ITC Avant Garde Pro Bk;sans-serif"/>
                <w:b/>
                <w:color w:val="313E48"/>
                <w:sz w:val="16"/>
              </w:rPr>
              <w:t>Name of Director</w:t>
            </w:r>
          </w:p>
        </w:tc>
        <w:tc>
          <w:tcPr>
            <w:tcW w:w="61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E48"/>
                <w:sz w:val="16"/>
              </w:rPr>
            </w:pPr>
            <w:r>
              <w:rPr>
                <w:rFonts w:ascii="ITC Avant Garde Pro Bk;sans-serif" w:hAnsi="ITC Avant Garde Pro Bk;sans-serif"/>
                <w:b/>
                <w:color w:val="313E48"/>
                <w:sz w:val="16"/>
              </w:rPr>
              <w:t>Audit</w:t>
            </w:r>
          </w:p>
        </w:tc>
        <w:tc>
          <w:tcPr>
            <w:tcW w:w="144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E48"/>
                <w:sz w:val="16"/>
              </w:rPr>
            </w:pPr>
            <w:r>
              <w:rPr>
                <w:rFonts w:ascii="ITC Avant Garde Pro Bk;sans-serif" w:hAnsi="ITC Avant Garde Pro Bk;sans-serif"/>
                <w:b/>
                <w:color w:val="313E48"/>
                <w:sz w:val="16"/>
              </w:rPr>
              <w:t>Compensation</w:t>
            </w:r>
          </w:p>
        </w:tc>
        <w:tc>
          <w:tcPr>
            <w:tcW w:w="21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E48"/>
                <w:sz w:val="16"/>
              </w:rPr>
            </w:pPr>
            <w:r>
              <w:rPr>
                <w:rFonts w:ascii="ITC Avant Garde Pro Bk;sans-serif" w:hAnsi="ITC Avant Garde Pro Bk;sans-serif"/>
                <w:b/>
                <w:color w:val="313E48"/>
                <w:sz w:val="16"/>
              </w:rPr>
              <w:t>Nominating and</w:t>
              <w:br/>
              <w:t>Corporate Governance</w:t>
            </w:r>
          </w:p>
        </w:tc>
        <w:tc>
          <w:tcPr>
            <w:tcW w:w="1815" w:type="dxa"/>
            <w:gridSpan w:val="3"/>
            <w:tcBorders/>
            <w:tcMar>
              <w:top w:w="0" w:type="dxa"/>
              <w:left w:w="0" w:type="dxa"/>
              <w:bottom w:w="0" w:type="dxa"/>
              <w:right w:w="0" w:type="dxa"/>
            </w:tcMar>
            <w:vAlign w:val="center"/>
          </w:tcPr>
          <w:p>
            <w:pPr>
              <w:pStyle w:val="TableContents"/>
              <w:bidi w:val="0"/>
              <w:spacing w:lineRule="auto" w:line="240" w:before="20" w:after="20"/>
              <w:jc w:val="center"/>
              <w:rPr>
                <w:rFonts w:ascii="ITC Avant Garde Pro Bk;sans-serif" w:hAnsi="ITC Avant Garde Pro Bk;sans-serif"/>
                <w:b/>
                <w:color w:val="313E48"/>
                <w:sz w:val="16"/>
              </w:rPr>
            </w:pPr>
            <w:r>
              <w:rPr>
                <w:rFonts w:ascii="ITC Avant Garde Pro Bk;sans-serif" w:hAnsi="ITC Avant Garde Pro Bk;sans-serif"/>
                <w:b/>
                <w:color w:val="313E48"/>
                <w:sz w:val="16"/>
              </w:rPr>
              <w:t>Lead Independent</w:t>
              <w:br/>
              <w:t>Director</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Steven R. Beauchamp</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Linda M. Breard</w:t>
            </w:r>
          </w:p>
        </w:tc>
        <w:tc>
          <w:tcPr>
            <w:tcW w:w="61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144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Virginia G. Breen</w:t>
            </w:r>
          </w:p>
        </w:tc>
        <w:tc>
          <w:tcPr>
            <w:tcW w:w="61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144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1815"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Craig A. Conway</w:t>
            </w:r>
          </w:p>
        </w:tc>
        <w:tc>
          <w:tcPr>
            <w:tcW w:w="616"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217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1815"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Robin L. Pederson</w:t>
            </w:r>
          </w:p>
        </w:tc>
        <w:tc>
          <w:tcPr>
            <w:tcW w:w="616"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114300" cy="123825"/>
                  <wp:effectExtent l="0" t="0" r="0" b="0"/>
                  <wp:docPr id="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2" descr=""/>
                          <pic:cNvPicPr>
                            <a:picLocks noChangeAspect="1" noChangeArrowheads="1"/>
                          </pic:cNvPicPr>
                        </pic:nvPicPr>
                        <pic:blipFill>
                          <a:blip r:embed="rId33"/>
                          <a:stretch>
                            <a:fillRect/>
                          </a:stretch>
                        </pic:blipFill>
                        <pic:spPr bwMode="auto">
                          <a:xfrm>
                            <a:off x="0" y="0"/>
                            <a:ext cx="114300" cy="123825"/>
                          </a:xfrm>
                          <a:prstGeom prst="rect">
                            <a:avLst/>
                          </a:prstGeom>
                        </pic:spPr>
                      </pic:pic>
                    </a:graphicData>
                  </a:graphic>
                </wp:inline>
              </w:drawing>
            </w:r>
            <w:bookmarkStart w:id="31" w:name="i-32"/>
            <w:bookmarkEnd w:id="31"/>
            <w:r>
              <w:rPr>
                <w:color w:val="313D48"/>
              </w:rPr>
              <w:t> </w:t>
            </w:r>
          </w:p>
        </w:tc>
        <w:tc>
          <w:tcPr>
            <w:tcW w:w="21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Andres D. Reiner</w:t>
            </w:r>
          </w:p>
        </w:tc>
        <w:tc>
          <w:tcPr>
            <w:tcW w:w="616"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217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1815"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Kenneth B. Robinson</w:t>
            </w:r>
          </w:p>
        </w:tc>
        <w:tc>
          <w:tcPr>
            <w:tcW w:w="61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144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114300" cy="123825"/>
                  <wp:effectExtent l="0" t="0" r="0" b="0"/>
                  <wp:docPr id="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3" descr=""/>
                          <pic:cNvPicPr>
                            <a:picLocks noChangeAspect="1" noChangeArrowheads="1"/>
                          </pic:cNvPicPr>
                        </pic:nvPicPr>
                        <pic:blipFill>
                          <a:blip r:embed="rId34"/>
                          <a:stretch>
                            <a:fillRect/>
                          </a:stretch>
                        </pic:blipFill>
                        <pic:spPr bwMode="auto">
                          <a:xfrm>
                            <a:off x="0" y="0"/>
                            <a:ext cx="114300" cy="123825"/>
                          </a:xfrm>
                          <a:prstGeom prst="rect">
                            <a:avLst/>
                          </a:prstGeom>
                        </pic:spPr>
                      </pic:pic>
                    </a:graphicData>
                  </a:graphic>
                </wp:inline>
              </w:drawing>
            </w:r>
            <w:bookmarkStart w:id="32" w:name="i-33"/>
            <w:bookmarkEnd w:id="32"/>
            <w:r>
              <w:rPr>
                <w:color w:val="313D48"/>
              </w:rPr>
              <w:t> </w:t>
            </w:r>
          </w:p>
        </w:tc>
        <w:tc>
          <w:tcPr>
            <w:tcW w:w="1815"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Steven I. Sarowitz</w:t>
            </w:r>
          </w:p>
        </w:tc>
        <w:tc>
          <w:tcPr>
            <w:tcW w:w="616"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Ronald V. Waters III</w:t>
            </w:r>
          </w:p>
        </w:tc>
        <w:tc>
          <w:tcPr>
            <w:tcW w:w="616"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114300" cy="123825"/>
                  <wp:effectExtent l="0" t="0" r="0" b="0"/>
                  <wp:docPr id="4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4" descr=""/>
                          <pic:cNvPicPr>
                            <a:picLocks noChangeAspect="1" noChangeArrowheads="1"/>
                          </pic:cNvPicPr>
                        </pic:nvPicPr>
                        <pic:blipFill>
                          <a:blip r:embed="rId35"/>
                          <a:stretch>
                            <a:fillRect/>
                          </a:stretch>
                        </pic:blipFill>
                        <pic:spPr bwMode="auto">
                          <a:xfrm>
                            <a:off x="0" y="0"/>
                            <a:ext cx="114300" cy="123825"/>
                          </a:xfrm>
                          <a:prstGeom prst="rect">
                            <a:avLst/>
                          </a:prstGeom>
                        </pic:spPr>
                      </pic:pic>
                    </a:graphicData>
                  </a:graphic>
                </wp:inline>
              </w:drawing>
            </w:r>
            <w:bookmarkStart w:id="33" w:name="i-34"/>
            <w:bookmarkEnd w:id="33"/>
            <w:r>
              <w:rPr>
                <w:color w:val="313D48"/>
              </w:rPr>
              <w:t> </w:t>
            </w:r>
          </w:p>
        </w:tc>
        <w:tc>
          <w:tcPr>
            <w:tcW w:w="144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21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2114"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616"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2877" w:type="dxa"/>
        <w:jc w:val="left"/>
        <w:tblInd w:w="0" w:type="dxa"/>
        <w:tblLayout w:type="fixed"/>
        <w:tblCellMar>
          <w:top w:w="28" w:type="dxa"/>
          <w:left w:w="28" w:type="dxa"/>
          <w:bottom w:w="28" w:type="dxa"/>
          <w:right w:w="28" w:type="dxa"/>
        </w:tblCellMar>
      </w:tblPr>
      <w:tblGrid>
        <w:gridCol w:w="124"/>
        <w:gridCol w:w="109"/>
        <w:gridCol w:w="109"/>
        <w:gridCol w:w="132"/>
        <w:gridCol w:w="132"/>
        <w:gridCol w:w="132"/>
        <w:gridCol w:w="132"/>
        <w:gridCol w:w="132"/>
        <w:gridCol w:w="136"/>
        <w:gridCol w:w="109"/>
        <w:gridCol w:w="109"/>
        <w:gridCol w:w="109"/>
        <w:gridCol w:w="109"/>
        <w:gridCol w:w="109"/>
        <w:gridCol w:w="109"/>
        <w:gridCol w:w="109"/>
        <w:gridCol w:w="109"/>
        <w:gridCol w:w="109"/>
        <w:gridCol w:w="109"/>
        <w:gridCol w:w="109"/>
        <w:gridCol w:w="109"/>
        <w:gridCol w:w="126"/>
        <w:gridCol w:w="126"/>
        <w:gridCol w:w="1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Member</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F68D2C"/>
              </w:rPr>
            </w:pPr>
            <w:r>
              <w:rPr>
                <w:color w:val="F68D2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Chair</w:t>
            </w:r>
          </w:p>
        </w:tc>
        <w:tc>
          <w:tcPr>
            <w:tcW w:w="43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color w:val="313D48"/>
              </w:rPr>
              <w:t> </w:t>
            </w:r>
            <w:r>
              <w:rPr/>
              <w:drawing>
                <wp:inline distT="0" distB="0" distL="0" distR="0">
                  <wp:extent cx="114300" cy="123825"/>
                  <wp:effectExtent l="0" t="0" r="0" b="0"/>
                  <wp:docPr id="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 descr=""/>
                          <pic:cNvPicPr>
                            <a:picLocks noChangeAspect="1" noChangeArrowheads="1"/>
                          </pic:cNvPicPr>
                        </pic:nvPicPr>
                        <pic:blipFill>
                          <a:blip r:embed="rId36"/>
                          <a:stretch>
                            <a:fillRect/>
                          </a:stretch>
                        </pic:blipFill>
                        <pic:spPr bwMode="auto">
                          <a:xfrm>
                            <a:off x="0" y="0"/>
                            <a:ext cx="114300" cy="123825"/>
                          </a:xfrm>
                          <a:prstGeom prst="rect">
                            <a:avLst/>
                          </a:prstGeom>
                        </pic:spPr>
                      </pic:pic>
                    </a:graphicData>
                  </a:graphic>
                </wp:inline>
              </w:drawing>
            </w:r>
            <w:bookmarkStart w:id="34" w:name="i-35"/>
            <w:bookmarkEnd w:id="34"/>
            <w:r>
              <w:rPr>
                <w:color w:val="313D48"/>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25170"/>
                <wp:effectExtent l="0" t="0" r="0" b="0"/>
                <wp:wrapNone/>
                <wp:docPr id="51" name="Frame1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Audit Committee</w:t>
      </w:r>
    </w:p>
    <w:tbl>
      <w:tblPr>
        <w:tblW w:w="10205" w:type="dxa"/>
        <w:jc w:val="left"/>
        <w:tblInd w:w="0" w:type="dxa"/>
        <w:tblLayout w:type="fixed"/>
        <w:tblCellMar>
          <w:top w:w="28" w:type="dxa"/>
          <w:left w:w="28" w:type="dxa"/>
          <w:bottom w:w="28" w:type="dxa"/>
          <w:right w:w="28" w:type="dxa"/>
        </w:tblCellMar>
      </w:tblPr>
      <w:tblGrid>
        <w:gridCol w:w="1022"/>
        <w:gridCol w:w="899"/>
        <w:gridCol w:w="908"/>
        <w:gridCol w:w="813"/>
        <w:gridCol w:w="813"/>
        <w:gridCol w:w="817"/>
        <w:gridCol w:w="165"/>
        <w:gridCol w:w="165"/>
        <w:gridCol w:w="165"/>
        <w:gridCol w:w="692"/>
        <w:gridCol w:w="692"/>
        <w:gridCol w:w="694"/>
        <w:gridCol w:w="688"/>
        <w:gridCol w:w="688"/>
        <w:gridCol w:w="984"/>
      </w:tblGrid>
      <w:tr>
        <w:trPr/>
        <w:tc>
          <w:tcPr>
            <w:tcW w:w="102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2829"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Members</w:t>
            </w:r>
          </w:p>
        </w:tc>
        <w:tc>
          <w:tcPr>
            <w:tcW w:w="244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 xml:space="preserve">Ronald V. Waters III </w:t>
              <w:br/>
            </w:r>
            <w:r>
              <w:rPr>
                <w:rFonts w:ascii="ITC Avant Garde Pro Md;sans-serif" w:hAnsi="ITC Avant Garde Pro Md;sans-serif"/>
                <w:b w:val="false"/>
                <w:color w:val="F78D2D"/>
                <w:sz w:val="17"/>
              </w:rPr>
              <w:t>Independent</w:t>
              <w:br/>
            </w:r>
            <w:r>
              <w:rPr>
                <w:rFonts w:ascii="ITC Avant Garde Pro Md;sans-serif" w:hAnsi="ITC Avant Garde Pro Md;sans-serif"/>
                <w:b w:val="false"/>
                <w:color w:val="313E48"/>
                <w:sz w:val="17"/>
              </w:rPr>
              <w:t>(Chair)</w:t>
            </w:r>
          </w:p>
        </w:tc>
        <w:tc>
          <w:tcPr>
            <w:tcW w:w="2443"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Linda M. Breard</w:t>
              <w:br/>
            </w:r>
            <w:r>
              <w:rPr>
                <w:rFonts w:ascii="ITC Avant Garde Pro Md;sans-serif" w:hAnsi="ITC Avant Garde Pro Md;sans-serif"/>
                <w:b w:val="false"/>
                <w:color w:val="F78D2D"/>
                <w:sz w:val="17"/>
              </w:rPr>
              <w:t>Independent</w:t>
            </w:r>
          </w:p>
        </w:tc>
        <w:tc>
          <w:tcPr>
            <w:tcW w:w="49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Virginia G. Breen</w:t>
              <w:br/>
            </w:r>
            <w:r>
              <w:rPr>
                <w:rFonts w:ascii="ITC Avant Garde Pro Md;sans-serif" w:hAnsi="ITC Avant Garde Pro Md;sans-serif"/>
                <w:b w:val="false"/>
                <w:color w:val="F78D2D"/>
                <w:sz w:val="17"/>
              </w:rPr>
              <w:t>Independent</w:t>
            </w:r>
          </w:p>
        </w:tc>
        <w:tc>
          <w:tcPr>
            <w:tcW w:w="2360"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Kenneth B. Robinson</w:t>
              <w:br/>
            </w:r>
            <w:r>
              <w:rPr>
                <w:rFonts w:ascii="ITC Avant Garde Pro Md;sans-serif" w:hAnsi="ITC Avant Garde Pro Md;sans-serif"/>
                <w:b w:val="false"/>
                <w:color w:val="F78D2D"/>
                <w:sz w:val="17"/>
              </w:rPr>
              <w:t>Independent</w:t>
            </w:r>
          </w:p>
        </w:tc>
      </w:tr>
      <w:tr>
        <w:trPr/>
        <w:tc>
          <w:tcPr>
            <w:tcW w:w="2829"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6"/>
            <w:tcBorders/>
            <w:shd w:fill="F2F1EB" w:val="clear"/>
            <w:tcMar>
              <w:top w:w="0" w:type="dxa"/>
              <w:left w:w="0" w:type="dxa"/>
              <w:bottom w:w="0" w:type="dxa"/>
              <w:right w:w="0" w:type="dxa"/>
            </w:tcMar>
            <w:vAlign w:val="center"/>
          </w:tcPr>
          <w:p>
            <w:pPr>
              <w:pStyle w:val="TableContents"/>
              <w:bidi w:val="0"/>
              <w:spacing w:lineRule="auto" w:line="240" w:before="120" w:after="120"/>
              <w:jc w:val="left"/>
              <w:rPr/>
            </w:pPr>
            <w:r>
              <w:rPr>
                <w:rFonts w:ascii="ITC Avant Garde Pro Bk;sans-serif" w:hAnsi="ITC Avant Garde Pro Bk;sans-serif"/>
                <w:b/>
                <w:color w:val="313E48"/>
                <w:sz w:val="17"/>
              </w:rPr>
              <w:t xml:space="preserve">Meetings during the fiscal year ended June 30, 2026: </w:t>
            </w:r>
            <w:r>
              <w:rPr>
                <w:rFonts w:ascii="ITC Avant Garde Pro Bk;sans-serif" w:hAnsi="ITC Avant Garde Pro Bk;sans-serif"/>
                <w:b w:val="false"/>
                <w:color w:val="313E48"/>
                <w:sz w:val="17"/>
              </w:rPr>
              <w:t>4</w:t>
            </w:r>
          </w:p>
        </w:tc>
        <w:tc>
          <w:tcPr>
            <w:tcW w:w="49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shd w:fill="F2F1EB" w:val="clear"/>
            <w:tcMar>
              <w:top w:w="0" w:type="dxa"/>
              <w:left w:w="0" w:type="dxa"/>
              <w:bottom w:w="0" w:type="dxa"/>
              <w:right w:w="0" w:type="dxa"/>
            </w:tcMar>
            <w:vAlign w:val="center"/>
          </w:tcPr>
          <w:p>
            <w:pPr>
              <w:pStyle w:val="TableContents"/>
              <w:bidi w:val="0"/>
              <w:spacing w:lineRule="auto" w:line="240" w:before="120" w:after="120"/>
              <w:jc w:val="left"/>
              <w:rPr/>
            </w:pPr>
            <w:r>
              <w:rPr>
                <w:rFonts w:ascii="ITC Avant Garde Pro Bk;sans-serif" w:hAnsi="ITC Avant Garde Pro Bk;sans-serif"/>
                <w:b/>
                <w:color w:val="313E48"/>
                <w:sz w:val="17"/>
              </w:rPr>
              <w:t xml:space="preserve">Report of the Audit Committee: </w:t>
            </w:r>
            <w:r>
              <w:rPr>
                <w:rFonts w:ascii="ITC Avant Garde Pro Bk;sans-serif" w:hAnsi="ITC Avant Garde Pro Bk;sans-serif"/>
                <w:b w:val="false"/>
                <w:color w:val="313E48"/>
                <w:sz w:val="17"/>
              </w:rPr>
              <w:t xml:space="preserve">Page </w:t>
            </w:r>
            <w:hyperlink w:anchor="ibfd6b0483d1b4b30b74b2f1f409ac4ea_34">
              <w:r>
                <w:rPr>
                  <w:rStyle w:val="InternetLink"/>
                  <w:rFonts w:ascii="ITC Avant Garde Pro Bk;sans-serif" w:hAnsi="ITC Avant Garde Pro Bk;sans-serif"/>
                  <w:b w:val="false"/>
                  <w:strike w:val="false"/>
                  <w:dstrike w:val="false"/>
                  <w:color w:val="313E48"/>
                  <w:sz w:val="17"/>
                  <w:u w:val="none"/>
                  <w:effect w:val="none"/>
                </w:rPr>
                <w:t>24</w:t>
              </w:r>
            </w:hyperlink>
          </w:p>
        </w:tc>
      </w:tr>
      <w:tr>
        <w:trPr/>
        <w:tc>
          <w:tcPr>
            <w:tcW w:w="2829"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0" w:after="120"/>
              <w:jc w:val="left"/>
              <w:rPr>
                <w:rFonts w:ascii="ITC Avant Garde Pro Bk;sans-serif" w:hAnsi="ITC Avant Garde Pro Bk;sans-serif"/>
                <w:b/>
                <w:color w:val="313D48"/>
                <w:sz w:val="20"/>
              </w:rPr>
            </w:pPr>
            <w:r>
              <w:rPr>
                <w:rFonts w:ascii="ITC Avant Garde Pro Bk;sans-serif" w:hAnsi="ITC Avant Garde Pro Bk;sans-serif"/>
                <w:b/>
                <w:color w:val="313D48"/>
                <w:sz w:val="20"/>
              </w:rPr>
              <w:t>Committee Independence and Expertise</w:t>
            </w:r>
          </w:p>
          <w:p>
            <w:pPr>
              <w:pStyle w:val="TableContents"/>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board of directors has determined that each member of the audit committee is independent for purposes of the Nasdaq Listing Rules and SEC rules and regulations as they apply to audit committee members. Our board of directors has determined that each of Mses. Breard and Breen and Messrs. Robinson and Waters meet the requirements for financial literacy and sophistication, and that Ms. Breard and Messrs. Robinson and Waters are financially sophisticated and qualify as “audit committee financial experts,” under the applicable requirements of the Nasdaq Listing Rules and SEC rules and regulations. The composition of our audit committee complies with all applicable requirements in the Nasdaq Listing Rules and SEC rules and regulations.</w:t>
            </w:r>
          </w:p>
          <w:p>
            <w:pPr>
              <w:pStyle w:val="TableContents"/>
              <w:bidi w:val="0"/>
              <w:spacing w:lineRule="auto" w:line="288" w:before="200" w:after="120"/>
              <w:jc w:val="left"/>
              <w:rPr>
                <w:rFonts w:ascii="ITC Avant Garde Pro Bk;sans-serif" w:hAnsi="ITC Avant Garde Pro Bk;sans-serif"/>
                <w:b/>
                <w:color w:val="313D48"/>
                <w:sz w:val="20"/>
              </w:rPr>
            </w:pPr>
            <w:r>
              <w:rPr>
                <w:rFonts w:ascii="ITC Avant Garde Pro Bk;sans-serif" w:hAnsi="ITC Avant Garde Pro Bk;sans-serif"/>
                <w:b/>
                <w:color w:val="313D48"/>
                <w:sz w:val="20"/>
              </w:rPr>
              <w:t>Principal Responsibilities</w:t>
            </w:r>
          </w:p>
          <w:p>
            <w:pPr>
              <w:pStyle w:val="TableContents"/>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functions of the audit committee include the following:</w:t>
            </w:r>
          </w:p>
        </w:tc>
      </w:tr>
      <w:tr>
        <w:trPr/>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9"/>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EE2724"/>
              </w:rPr>
              <w:t>•</w:t>
            </w:r>
            <w:r>
              <w:rPr>
                <w:rFonts w:ascii="ITC Avant Garde Pro Md;sans-serif" w:hAnsi="ITC Avant Garde Pro Md;sans-serif"/>
                <w:b w:val="false"/>
                <w:color w:val="313E48"/>
                <w:sz w:val="17"/>
              </w:rPr>
              <w:t>selecting a firm to serve as the independent registered public accounting firm to audit our financial statements;</w:t>
            </w:r>
          </w:p>
          <w:p>
            <w:pPr>
              <w:pStyle w:val="TableContents"/>
              <w:bidi w:val="0"/>
              <w:spacing w:lineRule="auto" w:line="312" w:before="80" w:after="80"/>
              <w:ind w:left="0" w:right="0" w:hanging="216"/>
              <w:jc w:val="left"/>
              <w:rPr/>
            </w:pPr>
            <w:r>
              <w:rPr>
                <w:color w:val="EE2724"/>
              </w:rPr>
              <w:t>•</w:t>
            </w:r>
            <w:r>
              <w:rPr>
                <w:rFonts w:ascii="ITC Avant Garde Pro Md;sans-serif" w:hAnsi="ITC Avant Garde Pro Md;sans-serif"/>
                <w:b w:val="false"/>
                <w:color w:val="313E48"/>
                <w:sz w:val="17"/>
              </w:rPr>
              <w:t>ensuring the independence of the independent registered public accounting firm;</w:t>
            </w:r>
          </w:p>
          <w:p>
            <w:pPr>
              <w:pStyle w:val="TableContents"/>
              <w:bidi w:val="0"/>
              <w:spacing w:lineRule="auto" w:line="312" w:before="80" w:after="80"/>
              <w:ind w:left="0" w:right="0" w:hanging="216"/>
              <w:jc w:val="left"/>
              <w:rPr/>
            </w:pPr>
            <w:r>
              <w:rPr>
                <w:color w:val="EE2724"/>
              </w:rPr>
              <w:t>•</w:t>
            </w:r>
            <w:r>
              <w:rPr>
                <w:rFonts w:ascii="ITC Avant Garde Pro Md;sans-serif" w:hAnsi="ITC Avant Garde Pro Md;sans-serif"/>
                <w:b w:val="false"/>
                <w:color w:val="313E48"/>
                <w:sz w:val="17"/>
              </w:rPr>
              <w:t>discussing the scope and results of the audit with the independent registered public accounting firm, and reviewing, with management and that firm, our interim and year-end operating results;</w:t>
            </w:r>
          </w:p>
          <w:p>
            <w:pPr>
              <w:pStyle w:val="TableContents"/>
              <w:bidi w:val="0"/>
              <w:spacing w:lineRule="auto" w:line="312" w:before="80" w:after="80"/>
              <w:ind w:left="0" w:right="0" w:hanging="216"/>
              <w:jc w:val="left"/>
              <w:rPr/>
            </w:pPr>
            <w:r>
              <w:rPr>
                <w:color w:val="EE2724"/>
              </w:rPr>
              <w:t>•</w:t>
            </w:r>
            <w:r>
              <w:rPr>
                <w:rFonts w:ascii="ITC Avant Garde Pro Md;sans-serif" w:hAnsi="ITC Avant Garde Pro Md;sans-serif"/>
                <w:b w:val="false"/>
                <w:color w:val="313E48"/>
                <w:sz w:val="17"/>
              </w:rPr>
              <w:t>overseeing the overall enterprise risk management framework, reviewing our financial, operational, data privacy, cybersecurity, legal and regulatory risks and other company-wide risk exposures, and processes to manage those risks.</w:t>
            </w:r>
          </w:p>
        </w:tc>
        <w:tc>
          <w:tcPr>
            <w:tcW w:w="4438" w:type="dxa"/>
            <w:gridSpan w:val="6"/>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establishing procedures for employees to submit anonymously concerns about questionable accounting or audit matters;</w:t>
            </w:r>
          </w:p>
          <w:p>
            <w:pPr>
              <w:pStyle w:val="TableContents"/>
              <w:bidi w:val="0"/>
              <w:spacing w:lineRule="auto" w:line="312" w:before="80" w:after="80"/>
              <w:ind w:left="0" w:right="0" w:hanging="216"/>
              <w:jc w:val="left"/>
              <w:rPr/>
            </w:pPr>
            <w:r>
              <w:rPr>
                <w:color w:val="EE2724"/>
              </w:rPr>
              <w:t>•</w:t>
            </w:r>
            <w:r>
              <w:rPr>
                <w:rFonts w:ascii="ITC Avant Garde Pro Md;sans-serif" w:hAnsi="ITC Avant Garde Pro Md;sans-serif"/>
                <w:b w:val="false"/>
                <w:color w:val="313E48"/>
                <w:sz w:val="17"/>
              </w:rPr>
              <w:t>considering the adequacy of our internal controls;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reviewing material related party transactions or those that require disclosure; and</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approving or, as permitted, pre-approving all audit and non-audit services to be performed by the independent registered public accounting firm.</w:t>
            </w:r>
          </w:p>
        </w:tc>
      </w:tr>
      <w:tr>
        <w:trPr/>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audit committee’s specific responsibilities are set forth in its charter, which the audit committee reviews at least annually. The audit committee has the responsibility and authority to oversee the accounting and financial reporting processes of the Company, the integrity of the financial reports and other financial information and the audits of the Company’s financial statements. The audit committee also reviews the qualifications, independence and performance, and approves the terms of engagement of the Company’s independent auditor. The audit committee also reviews the performance of the Company’s internal audit function and prepares any reports required of the audit committee under SEC rules and regulations.</w:t>
            </w:r>
          </w:p>
        </w:tc>
      </w:tr>
      <w:tr>
        <w:trPr/>
        <w:tc>
          <w:tcPr>
            <w:tcW w:w="28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8650"/>
                <wp:effectExtent l="0" t="0" r="0" b="0"/>
                <wp:wrapNone/>
                <wp:docPr id="52"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Compensation Committee</w:t>
      </w:r>
    </w:p>
    <w:tbl>
      <w:tblPr>
        <w:tblW w:w="10205" w:type="dxa"/>
        <w:jc w:val="left"/>
        <w:tblInd w:w="0" w:type="dxa"/>
        <w:tblLayout w:type="fixed"/>
        <w:tblCellMar>
          <w:top w:w="28" w:type="dxa"/>
          <w:left w:w="28" w:type="dxa"/>
          <w:bottom w:w="28" w:type="dxa"/>
          <w:right w:w="28" w:type="dxa"/>
        </w:tblCellMar>
      </w:tblPr>
      <w:tblGrid>
        <w:gridCol w:w="930"/>
        <w:gridCol w:w="817"/>
        <w:gridCol w:w="826"/>
        <w:gridCol w:w="811"/>
        <w:gridCol w:w="811"/>
        <w:gridCol w:w="814"/>
        <w:gridCol w:w="161"/>
        <w:gridCol w:w="161"/>
        <w:gridCol w:w="161"/>
        <w:gridCol w:w="744"/>
        <w:gridCol w:w="744"/>
        <w:gridCol w:w="747"/>
        <w:gridCol w:w="722"/>
        <w:gridCol w:w="722"/>
        <w:gridCol w:w="1034"/>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2573"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Members</w:t>
            </w:r>
          </w:p>
        </w:tc>
        <w:tc>
          <w:tcPr>
            <w:tcW w:w="243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3"/>
            <w:tcBorders/>
            <w:shd w:fill="F2F1EB" w:val="clear"/>
            <w:tcMar>
              <w:top w:w="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E48"/>
                <w:sz w:val="17"/>
              </w:rPr>
              <w:t>Robin L. Pederson</w:t>
              <w:br/>
            </w:r>
            <w:r>
              <w:rPr>
                <w:rFonts w:ascii="ITC Avant Garde Pro Md;sans-serif" w:hAnsi="ITC Avant Garde Pro Md;sans-serif"/>
                <w:b w:val="false"/>
                <w:color w:val="F78D2D"/>
                <w:sz w:val="17"/>
              </w:rPr>
              <w:t>Independent</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(Chair)</w:t>
            </w:r>
          </w:p>
        </w:tc>
        <w:tc>
          <w:tcPr>
            <w:tcW w:w="2436"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Craig A. Conway</w:t>
              <w:br/>
            </w:r>
            <w:r>
              <w:rPr>
                <w:rFonts w:ascii="ITC Avant Garde Pro Md;sans-serif" w:hAnsi="ITC Avant Garde Pro Md;sans-serif"/>
                <w:b w:val="false"/>
                <w:color w:val="F78D2D"/>
                <w:sz w:val="17"/>
              </w:rPr>
              <w:t>Independent</w:t>
            </w:r>
          </w:p>
        </w:tc>
        <w:tc>
          <w:tcPr>
            <w:tcW w:w="48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Andres D. Reiner</w:t>
              <w:br/>
            </w:r>
            <w:r>
              <w:rPr>
                <w:rFonts w:ascii="ITC Avant Garde Pro Md;sans-serif" w:hAnsi="ITC Avant Garde Pro Md;sans-serif"/>
                <w:b w:val="false"/>
                <w:color w:val="F78D2D"/>
                <w:sz w:val="17"/>
              </w:rPr>
              <w:t>Independent</w:t>
            </w:r>
          </w:p>
        </w:tc>
        <w:tc>
          <w:tcPr>
            <w:tcW w:w="2478"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Ronald V. Waters III</w:t>
              <w:br/>
            </w:r>
            <w:r>
              <w:rPr>
                <w:rFonts w:ascii="ITC Avant Garde Pro Md;sans-serif" w:hAnsi="ITC Avant Garde Pro Md;sans-serif"/>
                <w:b w:val="false"/>
                <w:color w:val="F78D2D"/>
                <w:sz w:val="17"/>
              </w:rPr>
              <w:t>Independent</w:t>
            </w:r>
          </w:p>
        </w:tc>
      </w:tr>
      <w:tr>
        <w:trPr/>
        <w:tc>
          <w:tcPr>
            <w:tcW w:w="257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6"/>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Bk;sans-serif" w:hAnsi="ITC Avant Garde Pro Bk;sans-serif"/>
                <w:b/>
                <w:color w:val="313E48"/>
                <w:sz w:val="17"/>
              </w:rPr>
              <w:t>Meetings during the fiscal year ended June 30, 2026: </w:t>
            </w:r>
            <w:r>
              <w:rPr>
                <w:rFonts w:ascii="ITC Avant Garde Pro Bk;sans-serif" w:hAnsi="ITC Avant Garde Pro Bk;sans-serif"/>
                <w:b w:val="false"/>
                <w:color w:val="313E48"/>
                <w:sz w:val="17"/>
              </w:rPr>
              <w:t>4</w:t>
            </w:r>
          </w:p>
        </w:tc>
        <w:tc>
          <w:tcPr>
            <w:tcW w:w="48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6"/>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Bk;sans-serif" w:hAnsi="ITC Avant Garde Pro Bk;sans-serif"/>
                <w:b/>
                <w:color w:val="313E48"/>
                <w:sz w:val="17"/>
              </w:rPr>
              <w:t xml:space="preserve">Report of the Compensation Committee: </w:t>
            </w:r>
            <w:r>
              <w:rPr>
                <w:rFonts w:ascii="ITC Avant Garde Pro Bk;sans-serif" w:hAnsi="ITC Avant Garde Pro Bk;sans-serif"/>
                <w:b w:val="false"/>
                <w:color w:val="313E48"/>
                <w:sz w:val="17"/>
              </w:rPr>
              <w:t>Page </w:t>
            </w:r>
            <w:hyperlink w:anchor="ibfd6b0483d1b4b30b74b2f1f409ac4ea_43">
              <w:r>
                <w:rPr>
                  <w:rStyle w:val="InternetLink"/>
                  <w:rFonts w:ascii="ITC Avant Garde Pro Bk;sans-serif" w:hAnsi="ITC Avant Garde Pro Bk;sans-serif"/>
                  <w:b w:val="false"/>
                  <w:strike w:val="false"/>
                  <w:dstrike w:val="false"/>
                  <w:color w:val="313E48"/>
                  <w:sz w:val="17"/>
                  <w:u w:val="none"/>
                  <w:effect w:val="none"/>
                </w:rPr>
                <w:t>42</w:t>
              </w:r>
            </w:hyperlink>
          </w:p>
        </w:tc>
      </w:tr>
      <w:tr>
        <w:trPr/>
        <w:tc>
          <w:tcPr>
            <w:tcW w:w="257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0" w:after="60"/>
              <w:jc w:val="left"/>
              <w:rPr>
                <w:rFonts w:ascii="ITC Avant Garde Pro Bk;sans-serif" w:hAnsi="ITC Avant Garde Pro Bk;sans-serif"/>
                <w:b/>
                <w:color w:val="313D48"/>
                <w:sz w:val="20"/>
              </w:rPr>
            </w:pPr>
            <w:r>
              <w:rPr>
                <w:rFonts w:ascii="ITC Avant Garde Pro Bk;sans-serif" w:hAnsi="ITC Avant Garde Pro Bk;sans-serif"/>
                <w:b/>
                <w:color w:val="313D48"/>
                <w:sz w:val="20"/>
              </w:rPr>
              <w:t>Committee Independence</w:t>
            </w:r>
          </w:p>
          <w:p>
            <w:pPr>
              <w:pStyle w:val="TableContents"/>
              <w:bidi w:val="0"/>
              <w:spacing w:lineRule="auto" w:line="300" w:before="60" w:after="6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Our board of directors has determined that each member of the compensation committee is independent for purposes of the Nasdaq Listing Rules and SEC rules and regulations as they apply to compensation committee members and is a non-employee director, as defined by Rule 16b-3 promulgated under the Exchange Act.</w:t>
            </w:r>
          </w:p>
          <w:p>
            <w:pPr>
              <w:pStyle w:val="TableContents"/>
              <w:bidi w:val="0"/>
              <w:spacing w:lineRule="auto" w:line="288" w:before="120" w:after="60"/>
              <w:jc w:val="left"/>
              <w:rPr>
                <w:rFonts w:ascii="ITC Avant Garde Pro Bk;sans-serif" w:hAnsi="ITC Avant Garde Pro Bk;sans-serif"/>
                <w:b/>
                <w:color w:val="313D48"/>
                <w:sz w:val="20"/>
              </w:rPr>
            </w:pPr>
            <w:r>
              <w:rPr>
                <w:rFonts w:ascii="ITC Avant Garde Pro Bk;sans-serif" w:hAnsi="ITC Avant Garde Pro Bk;sans-serif"/>
                <w:b/>
                <w:color w:val="313D48"/>
                <w:sz w:val="20"/>
              </w:rPr>
              <w:t>Principal Responsibilities</w:t>
            </w:r>
          </w:p>
          <w:p>
            <w:pPr>
              <w:pStyle w:val="TableContents"/>
              <w:bidi w:val="0"/>
              <w:spacing w:lineRule="auto" w:line="312" w:before="60" w:after="6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functions of the compensation committee include the following:</w:t>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6"/>
            <w:tcBorders/>
            <w:tcMar>
              <w:top w:w="0" w:type="dxa"/>
              <w:left w:w="0" w:type="dxa"/>
              <w:bottom w:w="0" w:type="dxa"/>
              <w:right w:w="0" w:type="dxa"/>
            </w:tcMar>
            <w:vAlign w:val="center"/>
          </w:tcPr>
          <w:p>
            <w:pPr>
              <w:pStyle w:val="TableContents"/>
              <w:bidi w:val="0"/>
              <w:spacing w:lineRule="auto" w:line="300" w:before="40" w:after="40"/>
              <w:ind w:left="0" w:right="0" w:hanging="216"/>
              <w:jc w:val="left"/>
              <w:rPr/>
            </w:pPr>
            <w:r>
              <w:rPr>
                <w:color w:val="EE2724"/>
              </w:rPr>
              <w:t>•</w:t>
            </w:r>
            <w:r>
              <w:rPr>
                <w:rFonts w:ascii="ITC Avant Garde Pro Md;sans-serif" w:hAnsi="ITC Avant Garde Pro Md;sans-serif"/>
                <w:b w:val="false"/>
                <w:color w:val="313E48"/>
                <w:sz w:val="17"/>
              </w:rPr>
              <w:t>reviewing and approving, or recommending that our board of directors approve, the compensation of our executive officers;</w:t>
            </w:r>
          </w:p>
          <w:p>
            <w:pPr>
              <w:pStyle w:val="TableContents"/>
              <w:bidi w:val="0"/>
              <w:spacing w:lineRule="auto" w:line="300" w:before="40" w:after="40"/>
              <w:ind w:left="0" w:right="0" w:hanging="216"/>
              <w:jc w:val="left"/>
              <w:rPr/>
            </w:pPr>
            <w:r>
              <w:rPr>
                <w:color w:val="EE2724"/>
              </w:rPr>
              <w:t>•</w:t>
            </w:r>
            <w:r>
              <w:rPr>
                <w:rFonts w:ascii="ITC Avant Garde Pro Md;sans-serif" w:hAnsi="ITC Avant Garde Pro Md;sans-serif"/>
                <w:b w:val="false"/>
                <w:color w:val="313E48"/>
                <w:sz w:val="17"/>
              </w:rPr>
              <w:t>reviewing and recommending to our board of directors the compensation of our directors;</w:t>
            </w:r>
          </w:p>
          <w:p>
            <w:pPr>
              <w:pStyle w:val="TableContents"/>
              <w:bidi w:val="0"/>
              <w:spacing w:lineRule="auto" w:line="300" w:before="40" w:after="40"/>
              <w:ind w:left="0" w:right="0" w:hanging="216"/>
              <w:jc w:val="left"/>
              <w:rPr/>
            </w:pPr>
            <w:r>
              <w:rPr>
                <w:color w:val="EE2724"/>
              </w:rPr>
              <w:t>•</w:t>
            </w:r>
            <w:r>
              <w:rPr>
                <w:rFonts w:ascii="ITC Avant Garde Pro Md;sans-serif" w:hAnsi="ITC Avant Garde Pro Md;sans-serif"/>
                <w:b w:val="false"/>
                <w:color w:val="313E48"/>
                <w:sz w:val="17"/>
              </w:rPr>
              <w:t>reviewing and recommending to our board of directors the terms of any compensatory agreements with our executive officers;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6"/>
            <w:tcBorders/>
            <w:tcMar>
              <w:top w:w="0" w:type="dxa"/>
              <w:left w:w="0" w:type="dxa"/>
              <w:bottom w:w="0" w:type="dxa"/>
              <w:right w:w="0" w:type="dxa"/>
            </w:tcMar>
            <w:vAlign w:val="center"/>
          </w:tcPr>
          <w:p>
            <w:pPr>
              <w:pStyle w:val="TableContents"/>
              <w:bidi w:val="0"/>
              <w:spacing w:lineRule="auto" w:line="300" w:before="40" w:after="40"/>
              <w:ind w:left="0" w:right="0" w:hanging="216"/>
              <w:jc w:val="left"/>
              <w:rPr/>
            </w:pPr>
            <w:r>
              <w:rPr>
                <w:color w:val="EE2626"/>
              </w:rPr>
              <w:t>•</w:t>
            </w:r>
            <w:r>
              <w:rPr>
                <w:rFonts w:ascii="ITC Avant Garde Pro Md;sans-serif" w:hAnsi="ITC Avant Garde Pro Md;sans-serif"/>
                <w:b w:val="false"/>
                <w:color w:val="313E48"/>
                <w:sz w:val="17"/>
              </w:rPr>
              <w:t>administering our stock and equity incentive plans;</w:t>
            </w:r>
          </w:p>
          <w:p>
            <w:pPr>
              <w:pStyle w:val="TableContents"/>
              <w:bidi w:val="0"/>
              <w:spacing w:lineRule="auto" w:line="300" w:before="40" w:after="40"/>
              <w:ind w:left="0" w:right="0" w:hanging="216"/>
              <w:jc w:val="left"/>
              <w:rPr/>
            </w:pPr>
            <w:r>
              <w:rPr>
                <w:color w:val="EE2626"/>
              </w:rPr>
              <w:t>•</w:t>
            </w:r>
            <w:r>
              <w:rPr>
                <w:rFonts w:ascii="ITC Avant Garde Pro Md;sans-serif" w:hAnsi="ITC Avant Garde Pro Md;sans-serif"/>
                <w:b w:val="false"/>
                <w:color w:val="313E48"/>
                <w:sz w:val="17"/>
              </w:rPr>
              <w:t>reviewing and approving, or making recommendations to our board of directors with respect to, incentive compensation and equity plans; and</w:t>
            </w:r>
          </w:p>
          <w:p>
            <w:pPr>
              <w:pStyle w:val="TableContents"/>
              <w:bidi w:val="0"/>
              <w:spacing w:lineRule="auto" w:line="300" w:before="40" w:after="40"/>
              <w:ind w:left="0" w:right="0" w:hanging="216"/>
              <w:jc w:val="left"/>
              <w:rPr/>
            </w:pPr>
            <w:r>
              <w:rPr>
                <w:color w:val="EE2626"/>
              </w:rPr>
              <w:t>•</w:t>
            </w:r>
            <w:r>
              <w:rPr>
                <w:rFonts w:ascii="ITC Avant Garde Pro Md;sans-serif" w:hAnsi="ITC Avant Garde Pro Md;sans-serif"/>
                <w:b w:val="false"/>
                <w:color w:val="313E48"/>
                <w:sz w:val="17"/>
              </w:rPr>
              <w:t>reviewing our overall compensation philosophy.</w:t>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60" w:after="6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compensation committee and board of directors believe that attracting, retaining and motivating our employees, and particularly the Company’s senior management team and key operating personnel, are essential to Paylocity’s performance and enhancing stockholder value. The compensation committee will continue to administer and develop our compensation programs in a manner designed to achieve these objectives.</w:t>
            </w:r>
          </w:p>
          <w:p>
            <w:pPr>
              <w:pStyle w:val="TableContents"/>
              <w:bidi w:val="0"/>
              <w:spacing w:lineRule="auto" w:line="300" w:before="60" w:after="6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compensation committee’s specific responsibilities are set forth in its charter, which the compensation committee reviews at least annually. The compensation committee reviews and recommends policies relating to compensation and benefits of our officers and employees. The compensation committee reviews and approves corporate goals and objectives relevant to compensation of our President and Chief Executive Officer and other executive officers, evaluates the performance of these officers in light of those goals and objectives, and recommends the compensation of these officers based on such evaluations. The compensation committee also administers the issuance of equity awards under our equity compensation plans.</w:t>
            </w:r>
          </w:p>
          <w:p>
            <w:pPr>
              <w:pStyle w:val="TableContents"/>
              <w:bidi w:val="0"/>
              <w:spacing w:lineRule="auto" w:line="300" w:before="60" w:after="6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As previously noted, Mr. Conway is not standing for reelection at the 2027 annual meeting and therefore, he will no longer serve on the committee after the meeting.</w:t>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20" w:after="80"/>
              <w:jc w:val="left"/>
              <w:rPr>
                <w:rFonts w:ascii="ITC Avant Garde Pro Bk;sans-serif" w:hAnsi="ITC Avant Garde Pro Bk;sans-serif"/>
                <w:b/>
                <w:color w:val="313D48"/>
                <w:sz w:val="20"/>
              </w:rPr>
            </w:pPr>
            <w:r>
              <w:rPr>
                <w:rFonts w:ascii="ITC Avant Garde Pro Bk;sans-serif" w:hAnsi="ITC Avant Garde Pro Bk;sans-serif"/>
                <w:b/>
                <w:color w:val="313D48"/>
                <w:sz w:val="20"/>
              </w:rPr>
              <w:t>Compensation Committee Interlocks and Insider Participation</w:t>
            </w:r>
          </w:p>
          <w:p>
            <w:pPr>
              <w:pStyle w:val="TableContents"/>
              <w:bidi w:val="0"/>
              <w:spacing w:lineRule="auto" w:line="300" w:before="80" w:after="80"/>
              <w:jc w:val="left"/>
              <w:rPr/>
            </w:pPr>
            <w:r>
              <w:rPr>
                <w:rFonts w:ascii="ITC Avant Garde Pro Md;sans-serif" w:hAnsi="ITC Avant Garde Pro Md;sans-serif"/>
                <w:b w:val="false"/>
                <w:color w:val="313D48"/>
                <w:sz w:val="17"/>
              </w:rPr>
              <w:t xml:space="preserve">None of the members of the compensation committee are or have been an officer or employee of Paylocity. During fiscal </w:t>
            </w:r>
            <w:r>
              <w:rPr>
                <w:rFonts w:ascii="ITC Avant Garde Pro Md;sans-serif" w:hAnsi="ITC Avant Garde Pro Md;sans-serif"/>
                <w:b w:val="false"/>
                <w:color w:val="313E48"/>
                <w:sz w:val="17"/>
              </w:rPr>
              <w:t>2026</w:t>
            </w:r>
            <w:r>
              <w:rPr>
                <w:rFonts w:ascii="ITC Avant Garde Pro Md;sans-serif" w:hAnsi="ITC Avant Garde Pro Md;sans-serif"/>
                <w:b w:val="false"/>
                <w:color w:val="313D48"/>
                <w:sz w:val="17"/>
              </w:rPr>
              <w:t>, none of our executive officers served on the compensation committee (or its equivalent) or board of directors of another entity, any of whose executive officers served on our compensation committee or board of directors.</w:t>
            </w:r>
          </w:p>
        </w:tc>
      </w:tr>
      <w:tr>
        <w:trPr/>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12" w:before="60" w:after="60"/>
              <w:jc w:val="left"/>
              <w:rPr>
                <w:rFonts w:ascii="ITC Avant Garde Pro Bk;sans-serif" w:hAnsi="ITC Avant Garde Pro Bk;sans-serif"/>
                <w:b/>
                <w:color w:val="313D48"/>
                <w:sz w:val="20"/>
              </w:rPr>
            </w:pPr>
            <w:r>
              <w:rPr>
                <w:rFonts w:ascii="ITC Avant Garde Pro Bk;sans-serif" w:hAnsi="ITC Avant Garde Pro Bk;sans-serif"/>
                <w:b/>
                <w:color w:val="313D48"/>
                <w:sz w:val="20"/>
              </w:rPr>
              <w:t>Independent Consultant</w:t>
            </w:r>
          </w:p>
          <w:p>
            <w:pPr>
              <w:pStyle w:val="TableContents"/>
              <w:bidi w:val="0"/>
              <w:spacing w:lineRule="auto" w:line="300" w:before="60" w:after="60"/>
              <w:jc w:val="left"/>
              <w:rPr/>
            </w:pPr>
            <w:r>
              <w:rPr>
                <w:rFonts w:ascii="ITC Avant Garde Pro Md;sans-serif" w:hAnsi="ITC Avant Garde Pro Md;sans-serif"/>
                <w:b w:val="false"/>
                <w:color w:val="313D48"/>
                <w:sz w:val="17"/>
              </w:rPr>
              <w:t xml:space="preserve">The compensation committee has engaged Compensia, Inc. (“Compensia”) to provide independent compensation consulting support. Compensia has provided market information on compensation trends and practices and makes compensation recommendations based on competitive data of a peer group of companies. Compensia is also available to perform special projects at the compensation committee’s request. Compensia provides analyses and recommendations that inform the compensation committee’s decisions but does not decide or approve any compensation actions. As needed, the compensation committee also consults with Compensia on other compensation-related matters, which for fiscal </w:t>
            </w:r>
            <w:r>
              <w:rPr>
                <w:rFonts w:ascii="ITC Avant Garde Pro Md;sans-serif" w:hAnsi="ITC Avant Garde Pro Md;sans-serif"/>
                <w:b w:val="false"/>
                <w:color w:val="313E48"/>
                <w:sz w:val="17"/>
              </w:rPr>
              <w:t>2026</w:t>
            </w:r>
            <w:r>
              <w:rPr>
                <w:color w:val="313D48"/>
              </w:rPr>
              <w:t xml:space="preserve"> </w:t>
            </w:r>
            <w:r>
              <w:rPr>
                <w:rFonts w:ascii="ITC Avant Garde Pro Md;sans-serif" w:hAnsi="ITC Avant Garde Pro Md;sans-serif"/>
                <w:b w:val="false"/>
                <w:color w:val="313D48"/>
                <w:sz w:val="17"/>
              </w:rPr>
              <w:t>included a review of total cash and all stock-based compensation for Paylocity’s executive officers and board of directors. Compensia also provided guidance on executive and board of director stock ownership guidelines. The engagement of any compensation consultant rests exclusively with the compensation committee, which has sole authority to retain and terminate any compensation consultant or other advisor that it uses.</w:t>
            </w:r>
          </w:p>
          <w:p>
            <w:pPr>
              <w:pStyle w:val="TableContents"/>
              <w:bidi w:val="0"/>
              <w:spacing w:lineRule="auto" w:line="300" w:before="60" w:after="6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compensation committee has assessed the independence of Compensia and concluded that no conflicts of interest exist that would prevent Compensia from providing independent and objective advice to the compensation committee.</w:t>
            </w:r>
          </w:p>
        </w:tc>
      </w:tr>
      <w:tr>
        <w:trPr/>
        <w:tc>
          <w:tcPr>
            <w:tcW w:w="25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25170"/>
                <wp:effectExtent l="0" t="0" r="0" b="0"/>
                <wp:wrapNone/>
                <wp:docPr id="53" name="Frame18"/>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Nominating and Corporate Governance Committee</w:t>
      </w:r>
    </w:p>
    <w:tbl>
      <w:tblPr>
        <w:tblW w:w="10205" w:type="dxa"/>
        <w:jc w:val="left"/>
        <w:tblInd w:w="0" w:type="dxa"/>
        <w:tblLayout w:type="fixed"/>
        <w:tblCellMar>
          <w:top w:w="28" w:type="dxa"/>
          <w:left w:w="28" w:type="dxa"/>
          <w:bottom w:w="28" w:type="dxa"/>
          <w:right w:w="28" w:type="dxa"/>
        </w:tblCellMar>
      </w:tblPr>
      <w:tblGrid>
        <w:gridCol w:w="902"/>
        <w:gridCol w:w="793"/>
        <w:gridCol w:w="802"/>
        <w:gridCol w:w="744"/>
        <w:gridCol w:w="744"/>
        <w:gridCol w:w="746"/>
        <w:gridCol w:w="182"/>
        <w:gridCol w:w="182"/>
        <w:gridCol w:w="182"/>
        <w:gridCol w:w="801"/>
        <w:gridCol w:w="801"/>
        <w:gridCol w:w="803"/>
        <w:gridCol w:w="735"/>
        <w:gridCol w:w="735"/>
        <w:gridCol w:w="1053"/>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Members</w:t>
            </w:r>
          </w:p>
        </w:tc>
        <w:tc>
          <w:tcPr>
            <w:tcW w:w="2234"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Kenneth B. Robinson</w:t>
              <w:br/>
            </w:r>
            <w:r>
              <w:rPr>
                <w:rFonts w:ascii="ITC Avant Garde Pro Md;sans-serif" w:hAnsi="ITC Avant Garde Pro Md;sans-serif"/>
                <w:b w:val="false"/>
                <w:color w:val="F78D2D"/>
                <w:sz w:val="17"/>
              </w:rPr>
              <w:t>Independent</w:t>
              <w:br/>
            </w:r>
            <w:r>
              <w:rPr>
                <w:rFonts w:ascii="ITC Avant Garde Pro Md;sans-serif" w:hAnsi="ITC Avant Garde Pro Md;sans-serif"/>
                <w:b w:val="false"/>
                <w:color w:val="313E48"/>
                <w:sz w:val="17"/>
              </w:rPr>
              <w:t>(Chair)</w:t>
            </w:r>
          </w:p>
        </w:tc>
        <w:tc>
          <w:tcPr>
            <w:tcW w:w="2234"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Virginia G. Breen</w:t>
              <w:br/>
            </w:r>
            <w:r>
              <w:rPr>
                <w:rFonts w:ascii="ITC Avant Garde Pro Md;sans-serif" w:hAnsi="ITC Avant Garde Pro Md;sans-serif"/>
                <w:b w:val="false"/>
                <w:color w:val="F78D2D"/>
                <w:sz w:val="17"/>
              </w:rPr>
              <w:t>Independent</w:t>
            </w:r>
          </w:p>
        </w:tc>
        <w:tc>
          <w:tcPr>
            <w:tcW w:w="54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Craig A. Conway</w:t>
              <w:br/>
            </w:r>
            <w:r>
              <w:rPr>
                <w:rFonts w:ascii="ITC Avant Garde Pro Md;sans-serif" w:hAnsi="ITC Avant Garde Pro Md;sans-serif"/>
                <w:b w:val="false"/>
                <w:color w:val="F78D2D"/>
                <w:sz w:val="17"/>
              </w:rPr>
              <w:t>Independent</w:t>
            </w:r>
          </w:p>
        </w:tc>
        <w:tc>
          <w:tcPr>
            <w:tcW w:w="2523"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Andres D. Reiner</w:t>
              <w:br/>
            </w:r>
            <w:r>
              <w:rPr>
                <w:rFonts w:ascii="ITC Avant Garde Pro Md;sans-serif" w:hAnsi="ITC Avant Garde Pro Md;sans-serif"/>
                <w:b w:val="false"/>
                <w:color w:val="F78D2D"/>
                <w:sz w:val="17"/>
              </w:rPr>
              <w:t>Independent</w:t>
            </w:r>
          </w:p>
        </w:tc>
      </w:tr>
      <w:tr>
        <w:trPr/>
        <w:tc>
          <w:tcPr>
            <w:tcW w:w="249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2F1EB" w:val="clear"/>
            <w:tcMar>
              <w:top w:w="0" w:type="dxa"/>
              <w:left w:w="0" w:type="dxa"/>
              <w:bottom w:w="0" w:type="dxa"/>
              <w:right w:w="0" w:type="dxa"/>
            </w:tcMar>
            <w:vAlign w:val="center"/>
          </w:tcPr>
          <w:p>
            <w:pPr>
              <w:pStyle w:val="TableContents"/>
              <w:bidi w:val="0"/>
              <w:spacing w:lineRule="auto" w:line="240" w:before="120" w:after="120"/>
              <w:jc w:val="left"/>
              <w:rPr/>
            </w:pPr>
            <w:r>
              <w:rPr>
                <w:rFonts w:ascii="ITC Avant Garde Pro Bk;sans-serif" w:hAnsi="ITC Avant Garde Pro Bk;sans-serif"/>
                <w:b/>
                <w:color w:val="313E48"/>
                <w:sz w:val="17"/>
              </w:rPr>
              <w:t>Meetings during the fiscal year ended June 30, 2026: </w:t>
            </w:r>
            <w:r>
              <w:rPr>
                <w:rFonts w:ascii="ITC Avant Garde Pro Bk;sans-serif" w:hAnsi="ITC Avant Garde Pro Bk;sans-serif"/>
                <w:b w:val="false"/>
                <w:color w:val="313E48"/>
                <w:sz w:val="17"/>
              </w:rPr>
              <w:t>4</w:t>
            </w:r>
          </w:p>
        </w:tc>
      </w:tr>
      <w:tr>
        <w:trPr/>
        <w:tc>
          <w:tcPr>
            <w:tcW w:w="2497"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0" w:after="120"/>
              <w:jc w:val="left"/>
              <w:rPr>
                <w:rFonts w:ascii="ITC Avant Garde Pro Bk;sans-serif" w:hAnsi="ITC Avant Garde Pro Bk;sans-serif"/>
                <w:b/>
                <w:color w:val="313D48"/>
                <w:sz w:val="20"/>
              </w:rPr>
            </w:pPr>
            <w:r>
              <w:rPr>
                <w:rFonts w:ascii="ITC Avant Garde Pro Bk;sans-serif" w:hAnsi="ITC Avant Garde Pro Bk;sans-serif"/>
                <w:b/>
                <w:color w:val="313D48"/>
                <w:sz w:val="20"/>
              </w:rPr>
              <w:t>Committee Independence</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Our board of directors has determined that each member of the nominating and corporate governance committee is independent for purposes of the Nasdaq Listing Rules and under applicable SEC rules and regulations.</w:t>
            </w:r>
          </w:p>
          <w:p>
            <w:pPr>
              <w:pStyle w:val="TableContents"/>
              <w:bidi w:val="0"/>
              <w:spacing w:lineRule="auto" w:line="288" w:before="200" w:after="120"/>
              <w:jc w:val="left"/>
              <w:rPr>
                <w:rFonts w:ascii="ITC Avant Garde Pro Bk;sans-serif" w:hAnsi="ITC Avant Garde Pro Bk;sans-serif"/>
                <w:b/>
                <w:color w:val="313D48"/>
                <w:sz w:val="20"/>
              </w:rPr>
            </w:pPr>
            <w:r>
              <w:rPr>
                <w:rFonts w:ascii="ITC Avant Garde Pro Bk;sans-serif" w:hAnsi="ITC Avant Garde Pro Bk;sans-serif"/>
                <w:b/>
                <w:color w:val="313D48"/>
                <w:sz w:val="20"/>
              </w:rPr>
              <w:t>Principal Responsibilities</w:t>
            </w:r>
          </w:p>
          <w:p>
            <w:pPr>
              <w:pStyle w:val="TableContents"/>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functions of the nominating and corporate governance committee include the following:</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7" w:type="dxa"/>
            <w:gridSpan w:val="9"/>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identifying and recommending candidates for membership on our board of directors;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reviewing and recommending our corporate governance guidelines and policies;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reviewing proposed waivers of the code of conduct for directors and executive officers;</w:t>
            </w:r>
          </w:p>
        </w:tc>
        <w:tc>
          <w:tcPr>
            <w:tcW w:w="4928" w:type="dxa"/>
            <w:gridSpan w:val="6"/>
            <w:tcBorders/>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overseeing the process of evaluating the performance of our board of directors;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overseeing and reviewing programs and initiatives relating to environmental, social and governance matters; and</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assisting our board of directors on corporate governance matters.</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nominating and corporate governance committee’s specific responsibilities are set forth in its charter, which the nominating and corporate governance committee reviews at least annually. The nominating and corporate governance committee has the responsibility and authority to identify, select or recommend candidates for membership on the board of directors, consider committee member qualifications, appointment and removal, recommend corporate governance principles and oversee the evaluation of the board of directors and each committee.</w:t>
            </w:r>
          </w:p>
          <w:p>
            <w:pPr>
              <w:pStyle w:val="TableContents"/>
              <w:bidi w:val="0"/>
              <w:spacing w:lineRule="auto" w:line="312" w:before="60" w:after="6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As previously noted, Mr. Conway is not standing for reelection at the 2027 annual meeting and therefore, he will no longer serve on the committee after the meeting.</w:t>
            </w:r>
          </w:p>
        </w:tc>
      </w:tr>
      <w:tr>
        <w:trPr/>
        <w:tc>
          <w:tcPr>
            <w:tcW w:w="24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8650"/>
                <wp:effectExtent l="0" t="0" r="0" b="0"/>
                <wp:wrapNone/>
                <wp:docPr id="54"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Director Nominations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Our nominating and corporate governance committee is responsible for, among other things, assisting our board of directors in identifying qualified director nominees and recommending nominees for each annual meeting of stockholders. The nominating and corporate governance committee’s goal is to assemble a board that brings to Paylocity a diversity of experience in areas that are relevant to our business and that complies with the Nasdaq Listing Rules and applicable SEC rules and regulations. While we do not have a formal diversity policy for board membership, the nominating and corporate governance committee generally considers the diversity of nominees in terms of knowledge, experience, background, skills, expertise and other demographic factors. When considering nominees for election as directors, the nominating and corporate governance committee reviews the needs of the board for various skills, background, experience and expected contributions and the qualification standards established from time to time by the nominating and corporate governance committee. The nominating and corporate governance committee believes that directors must also have an inquisitive and objective outlook and mature judgment. Director candidates must have sufficient time available in the judgment of the nominating and corporate governance committee to perform all board and committee responsibilities. Members of the board of directors are expected to rigorously prepare for, attend and participate in all meetings of the board and applicable committee meetings. The nominating and corporate governance committee also believes it appropriate for our Executive Chairman and President and Chief Executive Officer to serve on the board of directors.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Other than the foregoing and the applicable rules regarding director qualification, there are no stated minimum criteria for director nominees. Under the Nasdaq Listing Rules, at least a majority of the members of the board must meet the definition of “independence”. Additionally, all members of the audit committee must be able to read and understand financial statements and at least one member of the audit committee must be “financially sophisticated” under the Nasdaq Listing Rules.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nominating and corporate governance committee evaluates annually the current members of the board and who are willing to continue in service against the criteria set forth above in determining whether to recommend these directors for election. The nominating and corporate governance committee will regularly assess the optimum size of the board and its committees and the needs of the board for various skills, background and business experience in determining if the board requires additional candidates for nomination.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Candidates for director nominations come to our attention from time to time through incumbent directors, management, stockholders or third parties. These candidates may be considered at meetings of the nominating and corporate governance committee at any point during the year. If the nominating and corporate governance committee believes at any time that it is desirable that the board consider additional candidates for nomination, the committee may poll directors and management for suggestions or conduct research to identify possible candidates and may engage, if the nominating and corporate governance committee believes it is appropriate, a third-party search firm to assist in identifying qualified candidates.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nominating and corporate governance committee will consider director candidates validly recommended by stockholders. A stockholder wishing to recommend a candidate for consideration by the nominating and corporate governance committee should submit the individual's name, qualifications and other information set forth in our bylaws applicable to director nominees by stockholders to the Corporate Secretary. Candidates recommended by stockholders are evaluated on the same basis as candidates recommended by directors, management, third party search firms and other sources.</w:t>
      </w:r>
    </w:p>
    <w:p>
      <w:pPr>
        <w:pStyle w:val="TextBody"/>
        <w:bidi w:val="0"/>
        <w:spacing w:lineRule="auto" w:line="312" w:before="120" w:after="120"/>
        <w:jc w:val="left"/>
        <w:rPr/>
      </w:pPr>
      <w:r>
        <w:rPr>
          <w:rFonts w:ascii="ITC Avant Garde Pro Md;sans-serif" w:hAnsi="ITC Avant Garde Pro Md;sans-serif"/>
          <w:b w:val="false"/>
          <w:color w:val="313D48"/>
          <w:sz w:val="17"/>
        </w:rPr>
        <w:t>Our bylaws permit stockholders to nominate directors for consideration at an annual meeting. For more information regarding the requirements for stockholders to validly submit a nomination for director, see </w:t>
      </w:r>
      <w:r>
        <w:rPr>
          <w:color w:val="313D48"/>
        </w:rPr>
        <w:t>“</w:t>
      </w:r>
      <w:r>
        <w:rPr>
          <w:rFonts w:ascii="ITC Avant Garde Pro Md;sans-serif" w:hAnsi="ITC Avant Garde Pro Md;sans-serif"/>
          <w:b w:val="false"/>
          <w:i/>
          <w:color w:val="313D48"/>
          <w:sz w:val="17"/>
        </w:rPr>
        <w:t>Stockholder Proposals or Nominations to Be Presented at Next Annual Meeting”</w:t>
      </w:r>
      <w:r>
        <w:rPr>
          <w:color w:val="313D48"/>
        </w:rPr>
        <w:t> </w:t>
      </w:r>
      <w:r>
        <w:rPr>
          <w:rFonts w:ascii="ITC Avant Garde Pro Md;sans-serif" w:hAnsi="ITC Avant Garde Pro Md;sans-serif"/>
          <w:b w:val="false"/>
          <w:color w:val="313D48"/>
          <w:sz w:val="17"/>
        </w:rPr>
        <w:t>elsewhere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25170"/>
                <wp:effectExtent l="0" t="0" r="0" b="0"/>
                <wp:wrapNone/>
                <wp:docPr id="55" name="Frame20"/>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18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Board Skills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 addition to the qualifications described above and the information regarding each director nominee in his or her biography, there are skills and experiences that we believe are important for our directors to have in order to successfully direct and oversee our overall performance, strategic direction and significant corporate policies. The table below shows the diverse set of skills of our director nominees, which illustrates how the board is well positioned to provide such direction and oversight.</w:t>
      </w:r>
    </w:p>
    <w:tbl>
      <w:tblPr>
        <w:tblW w:w="9733" w:type="dxa"/>
        <w:jc w:val="left"/>
        <w:tblInd w:w="0" w:type="dxa"/>
        <w:tblLayout w:type="fixed"/>
        <w:tblCellMar>
          <w:top w:w="28" w:type="dxa"/>
          <w:left w:w="28" w:type="dxa"/>
          <w:bottom w:w="28" w:type="dxa"/>
          <w:right w:w="28" w:type="dxa"/>
        </w:tblCellMar>
      </w:tblPr>
      <w:tblGrid>
        <w:gridCol w:w="297"/>
        <w:gridCol w:w="261"/>
        <w:gridCol w:w="263"/>
        <w:gridCol w:w="1928"/>
        <w:gridCol w:w="1928"/>
        <w:gridCol w:w="1934"/>
        <w:gridCol w:w="153"/>
        <w:gridCol w:w="153"/>
        <w:gridCol w:w="15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Skills and/or Experience</w:t>
            </w:r>
          </w:p>
        </w:tc>
        <w:tc>
          <w:tcPr>
            <w:tcW w:w="4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619125"/>
                  <wp:effectExtent l="0" t="0" r="0" b="0"/>
                  <wp:docPr id="5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6" descr=""/>
                          <pic:cNvPicPr>
                            <a:picLocks noChangeAspect="1" noChangeArrowheads="1"/>
                          </pic:cNvPicPr>
                        </pic:nvPicPr>
                        <pic:blipFill>
                          <a:blip r:embed="rId37"/>
                          <a:stretch>
                            <a:fillRect/>
                          </a:stretch>
                        </pic:blipFill>
                        <pic:spPr bwMode="auto">
                          <a:xfrm>
                            <a:off x="0" y="0"/>
                            <a:ext cx="238125" cy="619125"/>
                          </a:xfrm>
                          <a:prstGeom prst="rect">
                            <a:avLst/>
                          </a:prstGeom>
                        </pic:spPr>
                      </pic:pic>
                    </a:graphicData>
                  </a:graphic>
                </wp:inline>
              </w:drawing>
            </w:r>
            <w:bookmarkStart w:id="35" w:name="i-36"/>
            <w:bookmarkEnd w:id="35"/>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847725"/>
                  <wp:effectExtent l="0" t="0" r="0" b="0"/>
                  <wp:docPr id="5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7" descr=""/>
                          <pic:cNvPicPr>
                            <a:picLocks noChangeAspect="1" noChangeArrowheads="1"/>
                          </pic:cNvPicPr>
                        </pic:nvPicPr>
                        <pic:blipFill>
                          <a:blip r:embed="rId38"/>
                          <a:stretch>
                            <a:fillRect/>
                          </a:stretch>
                        </pic:blipFill>
                        <pic:spPr bwMode="auto">
                          <a:xfrm>
                            <a:off x="0" y="0"/>
                            <a:ext cx="85725" cy="847725"/>
                          </a:xfrm>
                          <a:prstGeom prst="rect">
                            <a:avLst/>
                          </a:prstGeom>
                        </pic:spPr>
                      </pic:pic>
                    </a:graphicData>
                  </a:graphic>
                </wp:inline>
              </w:drawing>
            </w:r>
            <w:bookmarkStart w:id="36" w:name="i-37"/>
            <w:bookmarkEnd w:id="36"/>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895350"/>
                  <wp:effectExtent l="0" t="0" r="0" b="0"/>
                  <wp:docPr id="5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8" descr=""/>
                          <pic:cNvPicPr>
                            <a:picLocks noChangeAspect="1" noChangeArrowheads="1"/>
                          </pic:cNvPicPr>
                        </pic:nvPicPr>
                        <pic:blipFill>
                          <a:blip r:embed="rId39"/>
                          <a:stretch>
                            <a:fillRect/>
                          </a:stretch>
                        </pic:blipFill>
                        <pic:spPr bwMode="auto">
                          <a:xfrm>
                            <a:off x="0" y="0"/>
                            <a:ext cx="133350" cy="895350"/>
                          </a:xfrm>
                          <a:prstGeom prst="rect">
                            <a:avLst/>
                          </a:prstGeom>
                        </pic:spPr>
                      </pic:pic>
                    </a:graphicData>
                  </a:graphic>
                </wp:inline>
              </w:drawing>
            </w:r>
            <w:bookmarkStart w:id="37" w:name="i-38"/>
            <w:bookmarkEnd w:id="37"/>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952500"/>
                  <wp:effectExtent l="0" t="0" r="0" b="0"/>
                  <wp:docPr id="5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9" descr=""/>
                          <pic:cNvPicPr>
                            <a:picLocks noChangeAspect="1" noChangeArrowheads="1"/>
                          </pic:cNvPicPr>
                        </pic:nvPicPr>
                        <pic:blipFill>
                          <a:blip r:embed="rId40"/>
                          <a:stretch>
                            <a:fillRect/>
                          </a:stretch>
                        </pic:blipFill>
                        <pic:spPr bwMode="auto">
                          <a:xfrm>
                            <a:off x="0" y="0"/>
                            <a:ext cx="133350" cy="952500"/>
                          </a:xfrm>
                          <a:prstGeom prst="rect">
                            <a:avLst/>
                          </a:prstGeom>
                        </pic:spPr>
                      </pic:pic>
                    </a:graphicData>
                  </a:graphic>
                </wp:inline>
              </w:drawing>
            </w:r>
            <w:bookmarkStart w:id="38" w:name="i-39"/>
            <w:bookmarkEnd w:id="38"/>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885825"/>
                  <wp:effectExtent l="0" t="0" r="0" b="0"/>
                  <wp:docPr id="6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0" descr=""/>
                          <pic:cNvPicPr>
                            <a:picLocks noChangeAspect="1" noChangeArrowheads="1"/>
                          </pic:cNvPicPr>
                        </pic:nvPicPr>
                        <pic:blipFill>
                          <a:blip r:embed="rId41"/>
                          <a:stretch>
                            <a:fillRect/>
                          </a:stretch>
                        </pic:blipFill>
                        <pic:spPr bwMode="auto">
                          <a:xfrm>
                            <a:off x="0" y="0"/>
                            <a:ext cx="133350" cy="885825"/>
                          </a:xfrm>
                          <a:prstGeom prst="rect">
                            <a:avLst/>
                          </a:prstGeom>
                        </pic:spPr>
                      </pic:pic>
                    </a:graphicData>
                  </a:graphic>
                </wp:inline>
              </w:drawing>
            </w:r>
            <w:bookmarkStart w:id="39" w:name="i-40"/>
            <w:bookmarkEnd w:id="39"/>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085850"/>
                  <wp:effectExtent l="0" t="0" r="0" b="0"/>
                  <wp:docPr id="6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1" descr=""/>
                          <pic:cNvPicPr>
                            <a:picLocks noChangeAspect="1" noChangeArrowheads="1"/>
                          </pic:cNvPicPr>
                        </pic:nvPicPr>
                        <pic:blipFill>
                          <a:blip r:embed="rId42"/>
                          <a:stretch>
                            <a:fillRect/>
                          </a:stretch>
                        </pic:blipFill>
                        <pic:spPr bwMode="auto">
                          <a:xfrm>
                            <a:off x="0" y="0"/>
                            <a:ext cx="133350" cy="1085850"/>
                          </a:xfrm>
                          <a:prstGeom prst="rect">
                            <a:avLst/>
                          </a:prstGeom>
                        </pic:spPr>
                      </pic:pic>
                    </a:graphicData>
                  </a:graphic>
                </wp:inline>
              </w:drawing>
            </w:r>
            <w:bookmarkStart w:id="40" w:name="i-41"/>
            <w:bookmarkEnd w:id="40"/>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942975"/>
                  <wp:effectExtent l="0" t="0" r="0" b="0"/>
                  <wp:docPr id="6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2" descr=""/>
                          <pic:cNvPicPr>
                            <a:picLocks noChangeAspect="1" noChangeArrowheads="1"/>
                          </pic:cNvPicPr>
                        </pic:nvPicPr>
                        <pic:blipFill>
                          <a:blip r:embed="rId43"/>
                          <a:stretch>
                            <a:fillRect/>
                          </a:stretch>
                        </pic:blipFill>
                        <pic:spPr bwMode="auto">
                          <a:xfrm>
                            <a:off x="0" y="0"/>
                            <a:ext cx="133350" cy="942975"/>
                          </a:xfrm>
                          <a:prstGeom prst="rect">
                            <a:avLst/>
                          </a:prstGeom>
                        </pic:spPr>
                      </pic:pic>
                    </a:graphicData>
                  </a:graphic>
                </wp:inline>
              </w:drawing>
            </w:r>
            <w:bookmarkStart w:id="41" w:name="i-42"/>
            <w:bookmarkEnd w:id="41"/>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009650"/>
                  <wp:effectExtent l="0" t="0" r="0" b="0"/>
                  <wp:docPr id="6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3" descr=""/>
                          <pic:cNvPicPr>
                            <a:picLocks noChangeAspect="1" noChangeArrowheads="1"/>
                          </pic:cNvPicPr>
                        </pic:nvPicPr>
                        <pic:blipFill>
                          <a:blip r:embed="rId44"/>
                          <a:stretch>
                            <a:fillRect/>
                          </a:stretch>
                        </pic:blipFill>
                        <pic:spPr bwMode="auto">
                          <a:xfrm>
                            <a:off x="0" y="0"/>
                            <a:ext cx="133350" cy="1009650"/>
                          </a:xfrm>
                          <a:prstGeom prst="rect">
                            <a:avLst/>
                          </a:prstGeom>
                        </pic:spPr>
                      </pic:pic>
                    </a:graphicData>
                  </a:graphic>
                </wp:inline>
              </w:drawing>
            </w:r>
            <w:bookmarkStart w:id="42" w:name="i-43"/>
            <w:bookmarkEnd w:id="42"/>
          </w:p>
        </w:tc>
        <w:tc>
          <w:tcPr>
            <w:tcW w:w="37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809625"/>
                  <wp:effectExtent l="0" t="0" r="0" b="0"/>
                  <wp:docPr id="6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4" descr=""/>
                          <pic:cNvPicPr>
                            <a:picLocks noChangeAspect="1" noChangeArrowheads="1"/>
                          </pic:cNvPicPr>
                        </pic:nvPicPr>
                        <pic:blipFill>
                          <a:blip r:embed="rId45"/>
                          <a:stretch>
                            <a:fillRect/>
                          </a:stretch>
                        </pic:blipFill>
                        <pic:spPr bwMode="auto">
                          <a:xfrm>
                            <a:off x="0" y="0"/>
                            <a:ext cx="133350" cy="809625"/>
                          </a:xfrm>
                          <a:prstGeom prst="rect">
                            <a:avLst/>
                          </a:prstGeom>
                        </pic:spPr>
                      </pic:pic>
                    </a:graphicData>
                  </a:graphic>
                </wp:inline>
              </w:drawing>
            </w:r>
            <w:bookmarkStart w:id="43" w:name="i-44"/>
            <w:bookmarkEnd w:id="43"/>
          </w:p>
        </w:tc>
      </w:tr>
      <w:tr>
        <w:trPr/>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90525"/>
                  <wp:effectExtent l="0" t="0" r="0" b="0"/>
                  <wp:docPr id="6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5" descr=""/>
                          <pic:cNvPicPr>
                            <a:picLocks noChangeAspect="1" noChangeArrowheads="1"/>
                          </pic:cNvPicPr>
                        </pic:nvPicPr>
                        <pic:blipFill>
                          <a:blip r:embed="rId46"/>
                          <a:stretch>
                            <a:fillRect/>
                          </a:stretch>
                        </pic:blipFill>
                        <pic:spPr bwMode="auto">
                          <a:xfrm>
                            <a:off x="0" y="0"/>
                            <a:ext cx="381000" cy="390525"/>
                          </a:xfrm>
                          <a:prstGeom prst="rect">
                            <a:avLst/>
                          </a:prstGeom>
                        </pic:spPr>
                      </pic:pic>
                    </a:graphicData>
                  </a:graphic>
                </wp:inline>
              </w:drawing>
            </w:r>
            <w:bookmarkStart w:id="44" w:name="i-45"/>
            <w:bookmarkEnd w:id="44"/>
            <w:r>
              <w:rPr>
                <w:color w:val="313D48"/>
              </w:rPr>
              <w:t> </w:t>
            </w:r>
          </w:p>
        </w:tc>
        <w:tc>
          <w:tcPr>
            <w:tcW w:w="5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 xml:space="preserve">Public Company Board Experience </w:t>
            </w:r>
          </w:p>
        </w:tc>
        <w:tc>
          <w:tcPr>
            <w:tcW w:w="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71475"/>
                  <wp:effectExtent l="0" t="0" r="0" b="0"/>
                  <wp:docPr id="6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6" descr=""/>
                          <pic:cNvPicPr>
                            <a:picLocks noChangeAspect="1" noChangeArrowheads="1"/>
                          </pic:cNvPicPr>
                        </pic:nvPicPr>
                        <pic:blipFill>
                          <a:blip r:embed="rId47"/>
                          <a:stretch>
                            <a:fillRect/>
                          </a:stretch>
                        </pic:blipFill>
                        <pic:spPr bwMode="auto">
                          <a:xfrm>
                            <a:off x="0" y="0"/>
                            <a:ext cx="381000" cy="371475"/>
                          </a:xfrm>
                          <a:prstGeom prst="rect">
                            <a:avLst/>
                          </a:prstGeom>
                        </pic:spPr>
                      </pic:pic>
                    </a:graphicData>
                  </a:graphic>
                </wp:inline>
              </w:drawing>
            </w:r>
            <w:bookmarkStart w:id="45" w:name="i-46"/>
            <w:bookmarkEnd w:id="45"/>
            <w:r>
              <w:rPr>
                <w:color w:val="313D48"/>
              </w:rPr>
              <w:t> </w:t>
            </w:r>
          </w:p>
        </w:tc>
        <w:tc>
          <w:tcPr>
            <w:tcW w:w="579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Executive Leadership and Business Operations</w:t>
            </w:r>
          </w:p>
        </w:tc>
        <w:tc>
          <w:tcPr>
            <w:tcW w:w="46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71475"/>
                  <wp:effectExtent l="0" t="0" r="0" b="0"/>
                  <wp:docPr id="6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7" descr=""/>
                          <pic:cNvPicPr>
                            <a:picLocks noChangeAspect="1" noChangeArrowheads="1"/>
                          </pic:cNvPicPr>
                        </pic:nvPicPr>
                        <pic:blipFill>
                          <a:blip r:embed="rId48"/>
                          <a:stretch>
                            <a:fillRect/>
                          </a:stretch>
                        </pic:blipFill>
                        <pic:spPr bwMode="auto">
                          <a:xfrm>
                            <a:off x="0" y="0"/>
                            <a:ext cx="381000" cy="371475"/>
                          </a:xfrm>
                          <a:prstGeom prst="rect">
                            <a:avLst/>
                          </a:prstGeom>
                        </pic:spPr>
                      </pic:pic>
                    </a:graphicData>
                  </a:graphic>
                </wp:inline>
              </w:drawing>
            </w:r>
            <w:bookmarkStart w:id="46" w:name="i-47"/>
            <w:bookmarkEnd w:id="46"/>
            <w:r>
              <w:rPr>
                <w:color w:val="313D48"/>
              </w:rPr>
              <w:t> </w:t>
            </w:r>
          </w:p>
        </w:tc>
        <w:tc>
          <w:tcPr>
            <w:tcW w:w="579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Human Capital Management Industry Experience</w:t>
            </w:r>
          </w:p>
        </w:tc>
        <w:tc>
          <w:tcPr>
            <w:tcW w:w="46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71475"/>
                  <wp:effectExtent l="0" t="0" r="0" b="0"/>
                  <wp:docPr id="6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8" descr=""/>
                          <pic:cNvPicPr>
                            <a:picLocks noChangeAspect="1" noChangeArrowheads="1"/>
                          </pic:cNvPicPr>
                        </pic:nvPicPr>
                        <pic:blipFill>
                          <a:blip r:embed="rId49"/>
                          <a:stretch>
                            <a:fillRect/>
                          </a:stretch>
                        </pic:blipFill>
                        <pic:spPr bwMode="auto">
                          <a:xfrm>
                            <a:off x="0" y="0"/>
                            <a:ext cx="381000" cy="371475"/>
                          </a:xfrm>
                          <a:prstGeom prst="rect">
                            <a:avLst/>
                          </a:prstGeom>
                        </pic:spPr>
                      </pic:pic>
                    </a:graphicData>
                  </a:graphic>
                </wp:inline>
              </w:drawing>
            </w:r>
            <w:bookmarkStart w:id="47" w:name="i-48"/>
            <w:bookmarkEnd w:id="47"/>
            <w:r>
              <w:rPr>
                <w:color w:val="313D48"/>
              </w:rPr>
              <w:t> </w:t>
            </w:r>
          </w:p>
        </w:tc>
        <w:tc>
          <w:tcPr>
            <w:tcW w:w="579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Software as a Service Industry Experience</w:t>
            </w:r>
          </w:p>
        </w:tc>
        <w:tc>
          <w:tcPr>
            <w:tcW w:w="46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71475"/>
                  <wp:effectExtent l="0" t="0" r="0" b="0"/>
                  <wp:docPr id="6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9" descr=""/>
                          <pic:cNvPicPr>
                            <a:picLocks noChangeAspect="1" noChangeArrowheads="1"/>
                          </pic:cNvPicPr>
                        </pic:nvPicPr>
                        <pic:blipFill>
                          <a:blip r:embed="rId50"/>
                          <a:stretch>
                            <a:fillRect/>
                          </a:stretch>
                        </pic:blipFill>
                        <pic:spPr bwMode="auto">
                          <a:xfrm>
                            <a:off x="0" y="0"/>
                            <a:ext cx="381000" cy="371475"/>
                          </a:xfrm>
                          <a:prstGeom prst="rect">
                            <a:avLst/>
                          </a:prstGeom>
                        </pic:spPr>
                      </pic:pic>
                    </a:graphicData>
                  </a:graphic>
                </wp:inline>
              </w:drawing>
            </w:r>
            <w:bookmarkStart w:id="48" w:name="i-49"/>
            <w:bookmarkEnd w:id="48"/>
            <w:r>
              <w:rPr>
                <w:color w:val="313D48"/>
              </w:rPr>
              <w:t> </w:t>
            </w:r>
          </w:p>
        </w:tc>
        <w:tc>
          <w:tcPr>
            <w:tcW w:w="579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Cloud Technology Experience</w:t>
            </w:r>
          </w:p>
        </w:tc>
        <w:tc>
          <w:tcPr>
            <w:tcW w:w="46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71475"/>
                  <wp:effectExtent l="0" t="0" r="0" b="0"/>
                  <wp:docPr id="7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0" descr=""/>
                          <pic:cNvPicPr>
                            <a:picLocks noChangeAspect="1" noChangeArrowheads="1"/>
                          </pic:cNvPicPr>
                        </pic:nvPicPr>
                        <pic:blipFill>
                          <a:blip r:embed="rId51"/>
                          <a:stretch>
                            <a:fillRect/>
                          </a:stretch>
                        </pic:blipFill>
                        <pic:spPr bwMode="auto">
                          <a:xfrm>
                            <a:off x="0" y="0"/>
                            <a:ext cx="381000" cy="371475"/>
                          </a:xfrm>
                          <a:prstGeom prst="rect">
                            <a:avLst/>
                          </a:prstGeom>
                        </pic:spPr>
                      </pic:pic>
                    </a:graphicData>
                  </a:graphic>
                </wp:inline>
              </w:drawing>
            </w:r>
            <w:bookmarkStart w:id="49" w:name="i-50"/>
            <w:bookmarkEnd w:id="49"/>
            <w:r>
              <w:rPr>
                <w:color w:val="313D48"/>
              </w:rPr>
              <w:t> </w:t>
            </w:r>
          </w:p>
        </w:tc>
        <w:tc>
          <w:tcPr>
            <w:tcW w:w="579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Enterprise Risk and Cybersecurity Management</w:t>
            </w:r>
          </w:p>
        </w:tc>
        <w:tc>
          <w:tcPr>
            <w:tcW w:w="46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81000"/>
                  <wp:effectExtent l="0" t="0" r="0" b="0"/>
                  <wp:docPr id="7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1" descr=""/>
                          <pic:cNvPicPr>
                            <a:picLocks noChangeAspect="1" noChangeArrowheads="1"/>
                          </pic:cNvPicPr>
                        </pic:nvPicPr>
                        <pic:blipFill>
                          <a:blip r:embed="rId52"/>
                          <a:stretch>
                            <a:fillRect/>
                          </a:stretch>
                        </pic:blipFill>
                        <pic:spPr bwMode="auto">
                          <a:xfrm>
                            <a:off x="0" y="0"/>
                            <a:ext cx="381000" cy="381000"/>
                          </a:xfrm>
                          <a:prstGeom prst="rect">
                            <a:avLst/>
                          </a:prstGeom>
                        </pic:spPr>
                      </pic:pic>
                    </a:graphicData>
                  </a:graphic>
                </wp:inline>
              </w:drawing>
            </w:r>
            <w:bookmarkStart w:id="50" w:name="i-51"/>
            <w:bookmarkEnd w:id="50"/>
            <w:r>
              <w:rPr>
                <w:color w:val="313D48"/>
              </w:rPr>
              <w:t> </w:t>
            </w:r>
          </w:p>
        </w:tc>
        <w:tc>
          <w:tcPr>
            <w:tcW w:w="579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Accounting and Financial Expertise</w:t>
            </w:r>
          </w:p>
        </w:tc>
        <w:tc>
          <w:tcPr>
            <w:tcW w:w="46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71475"/>
                  <wp:effectExtent l="0" t="0" r="0" b="0"/>
                  <wp:docPr id="7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2" descr=""/>
                          <pic:cNvPicPr>
                            <a:picLocks noChangeAspect="1" noChangeArrowheads="1"/>
                          </pic:cNvPicPr>
                        </pic:nvPicPr>
                        <pic:blipFill>
                          <a:blip r:embed="rId53"/>
                          <a:stretch>
                            <a:fillRect/>
                          </a:stretch>
                        </pic:blipFill>
                        <pic:spPr bwMode="auto">
                          <a:xfrm>
                            <a:off x="0" y="0"/>
                            <a:ext cx="381000" cy="371475"/>
                          </a:xfrm>
                          <a:prstGeom prst="rect">
                            <a:avLst/>
                          </a:prstGeom>
                        </pic:spPr>
                      </pic:pic>
                    </a:graphicData>
                  </a:graphic>
                </wp:inline>
              </w:drawing>
            </w:r>
            <w:bookmarkStart w:id="51" w:name="i-52"/>
            <w:bookmarkEnd w:id="51"/>
            <w:r>
              <w:rPr>
                <w:color w:val="313D48"/>
              </w:rPr>
              <w:t> </w:t>
            </w:r>
          </w:p>
        </w:tc>
        <w:tc>
          <w:tcPr>
            <w:tcW w:w="579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Strategic Planning and Mergers and Acquisitions</w:t>
            </w:r>
          </w:p>
        </w:tc>
        <w:tc>
          <w:tcPr>
            <w:tcW w:w="46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center"/>
              <w:rPr>
                <w:color w:val="F78D2D"/>
              </w:rPr>
            </w:pPr>
            <w:r>
              <w:rPr>
                <w:color w:val="F78D2D"/>
              </w:rPr>
              <w:t>●</w:t>
            </w:r>
          </w:p>
        </w:tc>
      </w:tr>
      <w:tr>
        <w:trPr/>
        <w:tc>
          <w:tcPr>
            <w:tcW w:w="82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0"/>
              <w:jc w:val="center"/>
              <w:rPr/>
            </w:pPr>
            <w:r>
              <w:rPr>
                <w:color w:val="313D48"/>
              </w:rPr>
              <w:t> </w:t>
            </w:r>
            <w:r>
              <w:rPr/>
              <w:drawing>
                <wp:inline distT="0" distB="0" distL="0" distR="0">
                  <wp:extent cx="381000" cy="371475"/>
                  <wp:effectExtent l="0" t="0" r="0" b="0"/>
                  <wp:docPr id="7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3" descr=""/>
                          <pic:cNvPicPr>
                            <a:picLocks noChangeAspect="1" noChangeArrowheads="1"/>
                          </pic:cNvPicPr>
                        </pic:nvPicPr>
                        <pic:blipFill>
                          <a:blip r:embed="rId54"/>
                          <a:stretch>
                            <a:fillRect/>
                          </a:stretch>
                        </pic:blipFill>
                        <pic:spPr bwMode="auto">
                          <a:xfrm>
                            <a:off x="0" y="0"/>
                            <a:ext cx="381000" cy="371475"/>
                          </a:xfrm>
                          <a:prstGeom prst="rect">
                            <a:avLst/>
                          </a:prstGeom>
                        </pic:spPr>
                      </pic:pic>
                    </a:graphicData>
                  </a:graphic>
                </wp:inline>
              </w:drawing>
            </w:r>
            <w:bookmarkStart w:id="52" w:name="i-53"/>
            <w:bookmarkEnd w:id="52"/>
            <w:r>
              <w:rPr>
                <w:color w:val="313D48"/>
              </w:rPr>
              <w:t> </w:t>
            </w:r>
          </w:p>
        </w:tc>
        <w:tc>
          <w:tcPr>
            <w:tcW w:w="579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Legal, Regulatory and Environmental, Social and Governance</w:t>
            </w:r>
          </w:p>
        </w:tc>
        <w:tc>
          <w:tcPr>
            <w:tcW w:w="46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27"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c>
          <w:tcPr>
            <w:tcW w:w="372"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center"/>
              <w:rPr>
                <w:color w:val="F78D2D"/>
              </w:rPr>
            </w:pPr>
            <w:r>
              <w:rPr>
                <w:color w:val="F78D2D"/>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8650"/>
                <wp:effectExtent l="0" t="0" r="0" b="0"/>
                <wp:wrapNone/>
                <wp:docPr id="74"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360" w:after="120"/>
        <w:jc w:val="left"/>
        <w:rPr>
          <w:rFonts w:ascii="ITC Avant Garde Pro Bk;sans-serif" w:hAnsi="ITC Avant Garde Pro Bk;sans-serif"/>
          <w:b/>
          <w:color w:val="F78D2D"/>
          <w:sz w:val="36"/>
        </w:rPr>
      </w:pPr>
      <w:r>
        <w:rPr>
          <w:rFonts w:ascii="ITC Avant Garde Pro Bk;sans-serif" w:hAnsi="ITC Avant Garde Pro Bk;sans-serif"/>
          <w:b/>
          <w:color w:val="F78D2D"/>
          <w:sz w:val="36"/>
        </w:rPr>
        <w:t>Compensation of Non-Employee Directors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non-employee directors are eligible to receive equity awards and cash retainers as compensation for service on our board of directors and committees of our board of directors. Under our non-employee director compensation package for fiscal 2026, our non-employee directors were entitled to receive a $50,000 annual retainer fee. The audit committee chairperson received an annual fee of $25,000, and members of the audit committee received an annual fee of $12,500. The compensation committee chairperson received an annual fee of $20,000, and members of the compensation committee received an annual fee of $10,000. The nominating and corporate governance committee chairperson received an annual fee of $12,000, and the members of the nominating and corporate governance committee received an annual fee of $5,000. The Lead Independent Director received an additional annual fee of $25,000.</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also grant non-employee members of our board of directors stock awards in addition to the cash compensation described above. In August 2025, the compensation committee of our board of directors approved a restricted stock unit grant entitling each non-employee director to receive that number of shares of our common stock equal to approximately $230,000 divided by the then 30 calendar day average closing price of our common stock on the applicable date of grant, which was August 15, 2025. These grants vested 25% quarterly, subject to continued service, such that the grant vested in full on the first anniversary of the grant, provided that the director continued to serve as a director through such vesting dates.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The following table sets forth information concerning the compensation earned by each non-employee director who served during the last fiscal year. </w:t>
      </w:r>
    </w:p>
    <w:tbl>
      <w:tblPr>
        <w:tblW w:w="6591" w:type="dxa"/>
        <w:jc w:val="left"/>
        <w:tblInd w:w="0" w:type="dxa"/>
        <w:tblLayout w:type="fixed"/>
        <w:tblCellMar>
          <w:top w:w="28" w:type="dxa"/>
          <w:left w:w="28" w:type="dxa"/>
          <w:bottom w:w="28" w:type="dxa"/>
          <w:right w:w="28" w:type="dxa"/>
        </w:tblCellMar>
      </w:tblPr>
      <w:tblGrid>
        <w:gridCol w:w="752"/>
        <w:gridCol w:w="662"/>
        <w:gridCol w:w="671"/>
        <w:gridCol w:w="112"/>
        <w:gridCol w:w="112"/>
        <w:gridCol w:w="112"/>
        <w:gridCol w:w="217"/>
        <w:gridCol w:w="850"/>
        <w:gridCol w:w="112"/>
        <w:gridCol w:w="109"/>
        <w:gridCol w:w="109"/>
        <w:gridCol w:w="109"/>
        <w:gridCol w:w="211"/>
        <w:gridCol w:w="826"/>
        <w:gridCol w:w="109"/>
        <w:gridCol w:w="109"/>
        <w:gridCol w:w="109"/>
        <w:gridCol w:w="109"/>
        <w:gridCol w:w="211"/>
        <w:gridCol w:w="826"/>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6"/>
              </w:rPr>
            </w:pPr>
            <w:r>
              <w:rPr>
                <w:rFonts w:ascii="ITC Avant Garde Pro Bk;sans-serif" w:hAnsi="ITC Avant Garde Pro Bk;sans-serif"/>
                <w:b/>
                <w:color w:val="313E48"/>
                <w:sz w:val="16"/>
              </w:rPr>
              <w:t>Name</w:t>
            </w:r>
          </w:p>
        </w:tc>
        <w:tc>
          <w:tcPr>
            <w:tcW w:w="1515"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Fees Earned</w:t>
              <w:br/>
              <w:t>or Paid in Cash</w:t>
              <w:br/>
              <w:t>($)</w:t>
            </w:r>
          </w:p>
        </w:tc>
        <w:tc>
          <w:tcPr>
            <w:tcW w:w="1473" w:type="dxa"/>
            <w:gridSpan w:val="6"/>
            <w:tcBorders/>
            <w:tcMar>
              <w:top w:w="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E48"/>
                <w:sz w:val="16"/>
              </w:rPr>
              <w:t>Stock</w:t>
              <w:br/>
              <w:t>Awards</w:t>
              <w:br/>
              <w:t>($)</w:t>
            </w:r>
            <w:r>
              <w:rPr>
                <w:rFonts w:ascii="ITC Avant Garde Pro Bk;sans-serif" w:hAnsi="ITC Avant Garde Pro Bk;sans-serif"/>
                <w:b/>
                <w:color w:val="313E48"/>
                <w:sz w:val="10"/>
              </w:rPr>
              <w:t>(1)(2)</w:t>
            </w:r>
          </w:p>
        </w:tc>
        <w:tc>
          <w:tcPr>
            <w:tcW w:w="151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Total</w:t>
              <w:br/>
              <w:t>($)</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Linda M. Breard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62,500 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279,342 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Virginia G. Breen</w:t>
            </w:r>
          </w:p>
        </w:tc>
        <w:tc>
          <w:tcPr>
            <w:tcW w:w="336"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67,500 </w:t>
            </w:r>
          </w:p>
        </w:tc>
        <w:tc>
          <w:tcPr>
            <w:tcW w:w="11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284,342 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Craig A. Conway</w:t>
            </w:r>
          </w:p>
        </w:tc>
        <w:tc>
          <w:tcPr>
            <w:tcW w:w="336"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65,000 </w:t>
            </w:r>
          </w:p>
        </w:tc>
        <w:tc>
          <w:tcPr>
            <w:tcW w:w="11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281,842 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Robin L. Pederson</w:t>
            </w:r>
          </w:p>
        </w:tc>
        <w:tc>
          <w:tcPr>
            <w:tcW w:w="336"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70,000 </w:t>
            </w:r>
          </w:p>
        </w:tc>
        <w:tc>
          <w:tcPr>
            <w:tcW w:w="11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286,842 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Andres D. Reiner</w:t>
            </w:r>
          </w:p>
        </w:tc>
        <w:tc>
          <w:tcPr>
            <w:tcW w:w="336"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65,000 </w:t>
            </w:r>
          </w:p>
        </w:tc>
        <w:tc>
          <w:tcPr>
            <w:tcW w:w="11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281,842 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Kenneth B. Robinson</w:t>
            </w:r>
          </w:p>
        </w:tc>
        <w:tc>
          <w:tcPr>
            <w:tcW w:w="336"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74,500 </w:t>
            </w:r>
          </w:p>
        </w:tc>
        <w:tc>
          <w:tcPr>
            <w:tcW w:w="11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291,342 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Steven I. Sarowitz</w:t>
            </w:r>
          </w:p>
        </w:tc>
        <w:tc>
          <w:tcPr>
            <w:tcW w:w="336"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50,000 </w:t>
            </w:r>
          </w:p>
        </w:tc>
        <w:tc>
          <w:tcPr>
            <w:tcW w:w="11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266,842 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Ronald V. Waters III</w:t>
            </w:r>
          </w:p>
        </w:tc>
        <w:tc>
          <w:tcPr>
            <w:tcW w:w="336" w:type="dxa"/>
            <w:gridSpan w:val="3"/>
            <w:tcBorders>
              <w:top w:val="single" w:sz="4" w:space="0" w:color="93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50"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110,000 </w:t>
            </w:r>
          </w:p>
        </w:tc>
        <w:tc>
          <w:tcPr>
            <w:tcW w:w="112"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216,842 </w:t>
            </w:r>
          </w:p>
        </w:tc>
        <w:tc>
          <w:tcPr>
            <w:tcW w:w="109"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326,842 </w:t>
            </w:r>
          </w:p>
        </w:tc>
        <w:tc>
          <w:tcPr>
            <w:tcW w:w="154"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1"/>
        </w:rPr>
        <w:t>(1)</w:t>
      </w:r>
      <w:r>
        <w:rPr>
          <w:rFonts w:ascii="ITC Avant Garde Pro Md;sans-serif" w:hAnsi="ITC Avant Garde Pro Md;sans-serif"/>
          <w:b w:val="false"/>
          <w:color w:val="313D48"/>
          <w:sz w:val="16"/>
        </w:rPr>
        <w:t>Amounts represent the aggregate grant date fair value of restricted stock units granted during the year computed in accordance with ASC Topic 718. Assumptions used in calculating the amounts reported in this column are set forth in Note 16 “Benefit Plans” of the audited consolidated financial statements included in our Annual Report on Form 10-K for the fiscal year ended June 30, 2026. Note that the amounts reported in this column reflect the accounting cost for these awards and do not correspond to the actual economic value that our directors may receive from the awards.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1"/>
        </w:rPr>
        <w:t>(2)</w:t>
      </w:r>
      <w:r>
        <w:rPr>
          <w:rFonts w:ascii="ITC Avant Garde Pro Md;sans-serif" w:hAnsi="ITC Avant Garde Pro Md;sans-serif"/>
          <w:b w:val="false"/>
          <w:color w:val="313D48"/>
          <w:sz w:val="16"/>
        </w:rPr>
        <w:t>Consists of 1,261 restricted stock units for each director. As of the end of fiscal 2026, each director held 315 unvested restricted stock units.</w:t>
      </w:r>
    </w:p>
    <w:p>
      <w:pPr>
        <w:pStyle w:val="TextBody"/>
        <w:bidi w:val="0"/>
        <w:spacing w:lineRule="auto" w:line="288" w:before="0" w:after="0"/>
        <w:jc w:val="left"/>
        <w:rPr/>
      </w:pPr>
      <w:r>
        <w:rPr>
          <w:rFonts w:ascii="ITC Avant Garde Pro Md;sans-serif" w:hAnsi="ITC Avant Garde Pro Md;sans-serif"/>
          <w:b w:val="false"/>
          <w:color w:val="313D48"/>
          <w:sz w:val="17"/>
        </w:rPr>
        <w:t xml:space="preserve">The table above excludes compensation received by Messrs. Beauchamp and Williams, both of whom are members of the board of directors who are employees that do not receive additional compensation for services provided as directors. Mr. Beauchamp serves as our executive chairman but is not a named executive officer. For the fiscal year ended June 30, 2026, Mr. Beauchamp earned an annual salary of $322,903 and an annual bonus of $464,980, which represents a payout of 144% of his targeted bonus opportunity of 100% of his salary pursuant to our annual bonus plan for executives described under </w:t>
      </w:r>
      <w:r>
        <w:rPr>
          <w:color w:val="313D48"/>
        </w:rPr>
        <w:t>“</w:t>
      </w:r>
      <w:r>
        <w:rPr>
          <w:rFonts w:ascii="ITC Avant Garde Pro Md;sans-serif" w:hAnsi="ITC Avant Garde Pro Md;sans-serif"/>
          <w:b w:val="false"/>
          <w:i/>
          <w:color w:val="313D48"/>
          <w:sz w:val="17"/>
        </w:rPr>
        <w:t>Compensation Discussion and Analysis.”</w:t>
      </w:r>
      <w:r>
        <w:rPr>
          <w:color w:val="313D48"/>
        </w:rPr>
        <w:t xml:space="preserve"> </w:t>
      </w:r>
      <w:r>
        <w:rPr>
          <w:rFonts w:ascii="ITC Avant Garde Pro Md;sans-serif" w:hAnsi="ITC Avant Garde Pro Md;sans-serif"/>
          <w:b w:val="false"/>
          <w:color w:val="313D48"/>
          <w:sz w:val="17"/>
        </w:rPr>
        <w:t xml:space="preserve">Additionally, Mr. Beauchamp was granted equity awards with an aggregate target grant value of $2,855,000, 50% of which was in the form of restricted stock units, 33% of which was in the form of performance stock units and 17% of which was in the form of market stock units. Mr. Beauchamp is also entitled to receive health and welfare, retirement and other employee benefits on the same basis as our named executive officers. The compensation for Mr. Williams is presented under </w:t>
      </w:r>
      <w:r>
        <w:rPr>
          <w:color w:val="313D48"/>
        </w:rPr>
        <w:t>“</w:t>
      </w:r>
      <w:r>
        <w:rPr>
          <w:rFonts w:ascii="ITC Avant Garde Pro Md;sans-serif" w:hAnsi="ITC Avant Garde Pro Md;sans-serif"/>
          <w:b w:val="false"/>
          <w:i/>
          <w:color w:val="313D48"/>
          <w:sz w:val="17"/>
        </w:rPr>
        <w:t xml:space="preserve">Compensation of Named Executive Officers—Summary Compensation Table.”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25170"/>
                <wp:effectExtent l="0" t="0" r="0" b="0"/>
                <wp:wrapNone/>
                <wp:docPr id="75" name="Frame2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Corporate Governance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Communications with Directors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Stockholders and other interested parties may communicate with the board of directors by mail addressed as follows:</w:t>
      </w:r>
    </w:p>
    <w:tbl>
      <w:tblPr>
        <w:tblW w:w="10205" w:type="dxa"/>
        <w:jc w:val="left"/>
        <w:tblInd w:w="0" w:type="dxa"/>
        <w:tblLayout w:type="fixed"/>
        <w:tblCellMar>
          <w:top w:w="28" w:type="dxa"/>
          <w:left w:w="28" w:type="dxa"/>
          <w:bottom w:w="28" w:type="dxa"/>
          <w:right w:w="28" w:type="dxa"/>
        </w:tblCellMar>
      </w:tblPr>
      <w:tblGrid>
        <w:gridCol w:w="3258"/>
        <w:gridCol w:w="2867"/>
        <w:gridCol w:w="4080"/>
      </w:tblGrid>
      <w:tr>
        <w:trPr/>
        <w:tc>
          <w:tcPr>
            <w:tcW w:w="3258"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939598"/>
              <w:left w:val="single" w:sz="4" w:space="0" w:color="939598"/>
              <w:right w:val="single" w:sz="4" w:space="0" w:color="939598"/>
            </w:tcBorders>
            <w:shd w:fill="F2EEEA" w:val="clear"/>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4" w:space="0" w:color="939598"/>
              <w:right w:val="single" w:sz="4" w:space="0" w:color="939598"/>
            </w:tcBorders>
            <w:shd w:fill="F2EEEA" w:val="clear"/>
            <w:tcMar>
              <w:top w:w="0" w:type="dxa"/>
              <w:bottom w:w="0" w:type="dxa"/>
            </w:tcMar>
            <w:vAlign w:val="center"/>
          </w:tcPr>
          <w:p>
            <w:pPr>
              <w:pStyle w:val="TableContents"/>
              <w:bidi w:val="0"/>
              <w:spacing w:before="0" w:after="0"/>
              <w:jc w:val="left"/>
              <w:rPr/>
            </w:pPr>
            <w:r>
              <w:rPr/>
              <w:drawing>
                <wp:inline distT="0" distB="0" distL="0" distR="0">
                  <wp:extent cx="352425" cy="257175"/>
                  <wp:effectExtent l="0" t="0" r="0" b="0"/>
                  <wp:docPr id="7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4" descr=""/>
                          <pic:cNvPicPr>
                            <a:picLocks noChangeAspect="1" noChangeArrowheads="1"/>
                          </pic:cNvPicPr>
                        </pic:nvPicPr>
                        <pic:blipFill>
                          <a:blip r:embed="rId55"/>
                          <a:stretch>
                            <a:fillRect/>
                          </a:stretch>
                        </pic:blipFill>
                        <pic:spPr bwMode="auto">
                          <a:xfrm>
                            <a:off x="0" y="0"/>
                            <a:ext cx="352425" cy="257175"/>
                          </a:xfrm>
                          <a:prstGeom prst="rect">
                            <a:avLst/>
                          </a:prstGeom>
                        </pic:spPr>
                      </pic:pic>
                    </a:graphicData>
                  </a:graphic>
                </wp:inline>
              </w:drawing>
            </w:r>
            <w:bookmarkStart w:id="53" w:name="i-54"/>
            <w:bookmarkEnd w:id="53"/>
          </w:p>
        </w:tc>
      </w:tr>
      <w:tr>
        <w:trPr/>
        <w:tc>
          <w:tcPr>
            <w:tcW w:w="10205" w:type="dxa"/>
            <w:gridSpan w:val="3"/>
            <w:tcBorders>
              <w:left w:val="single" w:sz="4" w:space="0" w:color="939598"/>
              <w:right w:val="single" w:sz="4" w:space="0" w:color="939598"/>
            </w:tcBorders>
            <w:shd w:fill="F2EEEA" w:val="clear"/>
            <w:tcMar>
              <w:top w:w="0" w:type="dxa"/>
              <w:bottom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Board of Directors of Paylocity Holding Corporation</w:t>
              <w:br/>
              <w:t xml:space="preserve">c/o Corporate Secretary </w:t>
              <w:br/>
              <w:t xml:space="preserve">1400 American Lane </w:t>
              <w:br/>
              <w:t>Schaumburg, Illinois 60173</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Please indicate on the envelope that the correspondence contains a stockholder communication. All directors have access to this correspondence. In accordance with instructions from the board, the Corporate Secretary logs and reviews all correspondence and transmits such communications to the full board or individual directors, as appropriate. Certain communications, such as business solicitations, job inquiries, junk mail, patently offensive material or communications that present security concerns may not be transmitted, as determined by the Corporate Secretary.</w:t>
            </w:r>
          </w:p>
        </w:tc>
      </w:tr>
      <w:tr>
        <w:trPr/>
        <w:tc>
          <w:tcPr>
            <w:tcW w:w="10205" w:type="dxa"/>
            <w:gridSpan w:val="3"/>
            <w:tcBorders>
              <w:left w:val="single" w:sz="4" w:space="0" w:color="939598"/>
              <w:bottom w:val="single" w:sz="4" w:space="0" w:color="939598"/>
              <w:right w:val="single" w:sz="4" w:space="0" w:color="939598"/>
            </w:tcBorders>
            <w:shd w:fill="F2EEEA"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Director Attendance at Annual Meetings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attempt to schedule our annual meeting of stockholders at a time and date to accommodate attendance by our board of directors considering the directors’ schedules. The board of directors does not have a policy requiring director attendance at our annual meetings of stockholders, but all directors are encouraged to attend. Nine of the directors who were serving as such as of the date of last year's annual meeting attended the meeting.</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Committee Charters and Other Corporate Governance Materials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have adopted a Code of Business Conduct and Ethics (the “Code”), that applies to all of our employees, officers (including our principal executive officer, principal financial officer, principal accounting officer or controller, or persons performing similar functions) and directors. Any substantive amendment to or waiver of any provision of the Code may be made only by the board of directors and will be disclosed on our website as well as via any other means required by Nasdaq Listing Rules or applicable law.</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have adopted Corporate Governance Guidelines (the "Guidelines") that address the composition of the board, criteria for board membership and other board governance matters. Our board of directors has also adopted a written charter for each of the audit committee, the compensation committee and the nominating and corporate governance committee. </w:t>
      </w:r>
    </w:p>
    <w:p>
      <w:pPr>
        <w:pStyle w:val="TextBody"/>
        <w:bidi w:val="0"/>
        <w:spacing w:lineRule="auto" w:line="312" w:before="120" w:after="120"/>
        <w:jc w:val="left"/>
        <w:rPr/>
      </w:pPr>
      <w:r>
        <w:rPr>
          <w:rFonts w:ascii="ITC Avant Garde Pro Md;sans-serif" w:hAnsi="ITC Avant Garde Pro Md;sans-serif"/>
          <w:b w:val="false"/>
          <w:color w:val="313D48"/>
          <w:sz w:val="17"/>
        </w:rPr>
        <w:t>The Code, the Guidelines and each committee charter are available on the investor relations section of our website at </w:t>
      </w:r>
      <w:r>
        <w:rPr>
          <w:rFonts w:ascii="ITC Avant Garde Pro Md;sans-serif" w:hAnsi="ITC Avant Garde Pro Md;sans-serif"/>
          <w:b w:val="false"/>
          <w:color w:val="F78D2D"/>
          <w:sz w:val="17"/>
        </w:rPr>
        <w:t>http://investors.paylocity.com</w:t>
      </w:r>
      <w:r>
        <w:rPr>
          <w:rFonts w:ascii="ITC Avant Garde Pro Md;sans-serif" w:hAnsi="ITC Avant Garde Pro Md;sans-serif"/>
          <w:b w:val="false"/>
          <w:color w:val="313D48"/>
          <w:sz w:val="17"/>
        </w:rPr>
        <w:t>.</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Website references and their hyperlinks have been provided throughout this proxy statement for convenience only. The content on any referenced websites is not a part of our proxy solicitation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28650"/>
                <wp:effectExtent l="0" t="0" r="0" b="0"/>
                <wp:wrapNone/>
                <wp:docPr id="77"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10"/>
        <w:jc w:val="left"/>
        <w:rPr/>
      </w:pPr>
      <w:r>
        <w:rPr/>
        <w:drawing>
          <wp:inline distT="0" distB="0" distL="0" distR="0">
            <wp:extent cx="714375" cy="104775"/>
            <wp:effectExtent l="0" t="0" r="0" b="0"/>
            <wp:docPr id="7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5" descr=""/>
                    <pic:cNvPicPr>
                      <a:picLocks noChangeAspect="1" noChangeArrowheads="1"/>
                    </pic:cNvPicPr>
                  </pic:nvPicPr>
                  <pic:blipFill>
                    <a:blip r:embed="rId56"/>
                    <a:stretch>
                      <a:fillRect/>
                    </a:stretch>
                  </pic:blipFill>
                  <pic:spPr bwMode="auto">
                    <a:xfrm>
                      <a:off x="0" y="0"/>
                      <a:ext cx="714375" cy="104775"/>
                    </a:xfrm>
                    <a:prstGeom prst="rect">
                      <a:avLst/>
                    </a:prstGeom>
                  </pic:spPr>
                </pic:pic>
              </a:graphicData>
            </a:graphic>
          </wp:inline>
        </w:drawing>
      </w:r>
      <w:bookmarkStart w:id="54" w:name="i-55"/>
      <w:bookmarkEnd w:id="54"/>
    </w:p>
    <w:p>
      <w:pPr>
        <w:pStyle w:val="TextBody"/>
        <w:bidi w:val="0"/>
        <w:spacing w:lineRule="auto" w:line="312" w:before="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Proposal No. 2 Ratification of Appointment of Independent Registered Public Accounting Firm</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audit committee of our board of directors selected KPMG LLP (“KPMG”) to serve as our independent registered public accounting firm to audit the consolidated financial statements of Paylocity Holding Corporation for the fiscal year ending June 30, 2027. KPMG has served as our auditor since May 2013. A representative of KPMG is expected to be present at the annual meeting to respond to appropriate questions and make a statement if he or she so desires.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table sets forth the aggregate fees billed by KPMG for the fiscal years ended June 30, 2026 and 2025:</w:t>
      </w:r>
    </w:p>
    <w:tbl>
      <w:tblPr>
        <w:tblW w:w="5061" w:type="dxa"/>
        <w:jc w:val="left"/>
        <w:tblInd w:w="0" w:type="dxa"/>
        <w:tblLayout w:type="fixed"/>
        <w:tblCellMar>
          <w:top w:w="28" w:type="dxa"/>
          <w:left w:w="28" w:type="dxa"/>
          <w:bottom w:w="28" w:type="dxa"/>
          <w:right w:w="28" w:type="dxa"/>
        </w:tblCellMar>
      </w:tblPr>
      <w:tblGrid>
        <w:gridCol w:w="639"/>
        <w:gridCol w:w="563"/>
        <w:gridCol w:w="568"/>
        <w:gridCol w:w="109"/>
        <w:gridCol w:w="109"/>
        <w:gridCol w:w="109"/>
        <w:gridCol w:w="211"/>
        <w:gridCol w:w="976"/>
        <w:gridCol w:w="109"/>
        <w:gridCol w:w="109"/>
        <w:gridCol w:w="109"/>
        <w:gridCol w:w="109"/>
        <w:gridCol w:w="211"/>
        <w:gridCol w:w="97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2026</w:t>
            </w:r>
          </w:p>
        </w:tc>
        <w:tc>
          <w:tcPr>
            <w:tcW w:w="166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2025</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D48"/>
                <w:sz w:val="17"/>
              </w:rPr>
              <w:t>Audit fees</w:t>
            </w:r>
            <w:r>
              <w:rPr>
                <w:rFonts w:ascii="ITC Avant Garde Pro Md;sans-serif" w:hAnsi="ITC Avant Garde Pro Md;sans-serif"/>
                <w:b w:val="false"/>
                <w:color w:val="313D48"/>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1,434,600 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1,482,800 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D48"/>
                <w:sz w:val="17"/>
              </w:rPr>
              <w:t>Audit-related fees</w:t>
            </w:r>
            <w:r>
              <w:rPr>
                <w:rFonts w:ascii="ITC Avant Garde Pro Md;sans-serif" w:hAnsi="ITC Avant Garde Pro Md;sans-serif"/>
                <w:b w:val="false"/>
                <w:color w:val="313D48"/>
                <w:sz w:val="11"/>
              </w:rPr>
              <w:t>(2)</w:t>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54"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D48"/>
                <w:sz w:val="17"/>
              </w:rPr>
              <w:t>Tax fees</w:t>
            </w:r>
            <w:r>
              <w:rPr>
                <w:rFonts w:ascii="ITC Avant Garde Pro Md;sans-serif" w:hAnsi="ITC Avant Garde Pro Md;sans-serif"/>
                <w:b w:val="false"/>
                <w:color w:val="313D48"/>
                <w:sz w:val="11"/>
              </w:rPr>
              <w:t>(3)</w:t>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139,000 </w:t>
            </w:r>
          </w:p>
        </w:tc>
        <w:tc>
          <w:tcPr>
            <w:tcW w:w="1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161,000 </w:t>
            </w:r>
          </w:p>
        </w:tc>
        <w:tc>
          <w:tcPr>
            <w:tcW w:w="154"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D48"/>
                <w:sz w:val="17"/>
              </w:rPr>
              <w:t>All other fees</w:t>
            </w:r>
            <w:r>
              <w:rPr>
                <w:rFonts w:ascii="ITC Avant Garde Pro Md;sans-serif" w:hAnsi="ITC Avant Garde Pro Md;sans-serif"/>
                <w:b w:val="false"/>
                <w:color w:val="313D48"/>
                <w:sz w:val="11"/>
              </w:rPr>
              <w:t>(4)</w:t>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3,560 </w:t>
            </w:r>
          </w:p>
        </w:tc>
        <w:tc>
          <w:tcPr>
            <w:tcW w:w="1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3,560 </w:t>
            </w:r>
          </w:p>
        </w:tc>
        <w:tc>
          <w:tcPr>
            <w:tcW w:w="154"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95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Total fees</w:t>
            </w:r>
          </w:p>
        </w:tc>
        <w:tc>
          <w:tcPr>
            <w:tcW w:w="327" w:type="dxa"/>
            <w:gridSpan w:val="3"/>
            <w:tcBorders>
              <w:top w:val="single" w:sz="4" w:space="0" w:color="95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1,577,160 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1,647,360 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 xml:space="preserve">Audit fees consist of fees billed for professional services rendered for the audit of our consolidated financial statements, the review of the interim consolidated financial statements included in quarterly reports and services that are normally provided by the independent auditor in connection with statutory or regulatory filings.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Audit-related fees consist of fees billed for assurance and related services that are reasonably related to the performance of the audit or review of our consolidated financial statements and are not reported under “Audit Fees.”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(3)</w:t>
      </w:r>
      <w:r>
        <w:rPr>
          <w:rFonts w:ascii="ITC Avant Garde Pro Md;sans-serif" w:hAnsi="ITC Avant Garde Pro Md;sans-serif"/>
          <w:b w:val="false"/>
          <w:color w:val="313D48"/>
          <w:sz w:val="16"/>
        </w:rPr>
        <w:t>Tax fees consist of fees billed for professional services rendered for tax compliance, tax advice and tax planning.</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(4)</w:t>
      </w:r>
      <w:r>
        <w:rPr>
          <w:rFonts w:ascii="ITC Avant Garde Pro Md;sans-serif" w:hAnsi="ITC Avant Garde Pro Md;sans-serif"/>
          <w:b w:val="false"/>
          <w:color w:val="313D48"/>
          <w:sz w:val="16"/>
        </w:rPr>
        <w:t>All other fees consist of fees for services other than the services reported above. These fees, for the years presented, include amounts billed for accounting research and disclosure software.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Policy on Audit Committee Pre-Approval of Audit and Non-Audit Services Performed by Independent Registered Public Accounting Firm</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audit committee has determined that all services performed by KPMG are compatible with maintaining the independence of KPMG. The audit committee’s policy is to pre-approve all audit and permissible non-audit services provided by our independent registered public accounting firm. These services may include audit services, audit-related services, tax services and other services. Unless the specific service has been pre-approved with respect to that year, the audit committee must approve the permitted service before the independent registered public accounting firm is engaged to perform it.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25170"/>
                <wp:effectExtent l="0" t="0" r="0" b="0"/>
                <wp:wrapNone/>
                <wp:docPr id="79" name="Frame2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2 Ratification of Appointment of Independent Registered Public Accounting Firm</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Vote Required and Board of Directors Recommendation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affirmative vote of a majority of the voting power of the shares present at the meeting or represented by proxy and entitled to vote on the matter at the annual meeting is required for approval of this proposal. Abstentions will have the effect of a vote “against” the ratification of KPMG LLP as our independent registered public accountants. Your bank or broker will have discretion to vote any uninstructed shares on this proposal. If the stockholders do not approve the ratification of KPMG as our independent registered public accounting firm, the audit committee will reconsider its selection.</w:t>
      </w:r>
    </w:p>
    <w:tbl>
      <w:tblPr>
        <w:tblW w:w="10205" w:type="dxa"/>
        <w:jc w:val="left"/>
        <w:tblInd w:w="0" w:type="dxa"/>
        <w:tblLayout w:type="fixed"/>
        <w:tblCellMar>
          <w:top w:w="28" w:type="dxa"/>
          <w:left w:w="28" w:type="dxa"/>
          <w:bottom w:w="28" w:type="dxa"/>
          <w:right w:w="28" w:type="dxa"/>
        </w:tblCellMar>
      </w:tblPr>
      <w:tblGrid>
        <w:gridCol w:w="406"/>
        <w:gridCol w:w="357"/>
        <w:gridCol w:w="358"/>
        <w:gridCol w:w="2658"/>
        <w:gridCol w:w="2658"/>
        <w:gridCol w:w="3768"/>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112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47700" cy="647700"/>
                  <wp:effectExtent l="0" t="0" r="0" b="0"/>
                  <wp:docPr id="8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6" descr=""/>
                          <pic:cNvPicPr>
                            <a:picLocks noChangeAspect="1" noChangeArrowheads="1"/>
                          </pic:cNvPicPr>
                        </pic:nvPicPr>
                        <pic:blipFill>
                          <a:blip r:embed="rId57"/>
                          <a:stretch>
                            <a:fillRect/>
                          </a:stretch>
                        </pic:blipFill>
                        <pic:spPr bwMode="auto">
                          <a:xfrm>
                            <a:off x="0" y="0"/>
                            <a:ext cx="647700" cy="647700"/>
                          </a:xfrm>
                          <a:prstGeom prst="rect">
                            <a:avLst/>
                          </a:prstGeom>
                        </pic:spPr>
                      </pic:pic>
                    </a:graphicData>
                  </a:graphic>
                </wp:inline>
              </w:drawing>
            </w:r>
            <w:bookmarkStart w:id="55" w:name="i-56"/>
            <w:bookmarkEnd w:id="55"/>
          </w:p>
        </w:tc>
        <w:tc>
          <w:tcPr>
            <w:tcW w:w="9084"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9084" w:type="dxa"/>
            <w:gridSpan w:val="3"/>
            <w:tcBorders/>
            <w:shd w:fill="F2F1EB" w:val="clear"/>
            <w:tcMar>
              <w:top w:w="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E48"/>
                <w:sz w:val="17"/>
              </w:rPr>
              <w:t>The Board of Directors unanimously recommends that you vote “</w:t>
            </w:r>
            <w:r>
              <w:rPr>
                <w:rFonts w:ascii="ITC Avant Garde Pro Bk;sans-serif" w:hAnsi="ITC Avant Garde Pro Bk;sans-serif"/>
                <w:b/>
                <w:color w:val="EE2626"/>
                <w:sz w:val="17"/>
              </w:rPr>
              <w:t>FOR</w:t>
            </w:r>
            <w:r>
              <w:rPr>
                <w:color w:val="313E48"/>
              </w:rPr>
              <w:t xml:space="preserve">” </w:t>
            </w:r>
            <w:r>
              <w:rPr>
                <w:rFonts w:ascii="ITC Avant Garde Pro Md;sans-serif" w:hAnsi="ITC Avant Garde Pro Md;sans-serif"/>
                <w:b w:val="false"/>
                <w:color w:val="313E48"/>
                <w:sz w:val="17"/>
              </w:rPr>
              <w:t>the ratification of the appointment of KPMG as our independent registered public accounting firm for the fiscal year ending June 30, 2027. Proxies will be so voted unless stockholders specify otherwise in their proxies.</w:t>
            </w:r>
          </w:p>
        </w:tc>
      </w:tr>
      <w:tr>
        <w:trPr/>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9084"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28650"/>
                <wp:effectExtent l="0" t="0" r="0" b="0"/>
                <wp:wrapNone/>
                <wp:docPr id="81"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Report of the</w:t>
        <w:br/>
        <w:t>Audit Committee</w:t>
      </w:r>
    </w:p>
    <w:p>
      <w:pPr>
        <w:pStyle w:val="TextBody"/>
        <w:bidi w:val="0"/>
        <w:spacing w:lineRule="auto" w:line="312" w:before="120" w:after="120"/>
        <w:jc w:val="left"/>
        <w:rPr/>
      </w:pPr>
      <w:r>
        <w:rPr>
          <w:rFonts w:ascii="ITC Avant Garde Pro Md;sans-serif" w:hAnsi="ITC Avant Garde Pro Md;sans-serif"/>
          <w:b w:val="false"/>
          <w:color w:val="313D48"/>
          <w:sz w:val="17"/>
        </w:rPr>
        <w:t>The audit committee currently consists of four directors. Messrs. Robinson and Waters and Mses. Breard and Breen are each, in the judgment of the board of directors, an independent director. The audit committee acts pursuant to a written charter that has been adopted by the board of directors. A copy of the charter is available on the investor relations section of Paylocity’s website at</w:t>
      </w:r>
      <w:r>
        <w:rPr>
          <w:color w:val="F78D2D"/>
        </w:rPr>
        <w:t xml:space="preserve"> </w:t>
      </w:r>
      <w:r>
        <w:rPr>
          <w:rFonts w:ascii="ITC Avant Garde Pro Md;sans-serif" w:hAnsi="ITC Avant Garde Pro Md;sans-serif"/>
          <w:b w:val="false"/>
          <w:color w:val="F78D2D"/>
          <w:sz w:val="17"/>
        </w:rPr>
        <w:t>http://investors.paylocity.com</w:t>
      </w:r>
      <w:r>
        <w:rPr>
          <w:rFonts w:ascii="ITC Avant Garde Pro Md;sans-serif" w:hAnsi="ITC Avant Garde Pro Md;sans-serif"/>
          <w:b w:val="false"/>
          <w:color w:val="313D48"/>
          <w:sz w:val="17"/>
        </w:rPr>
        <w:t>.</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audit committee oversees Paylocity’s financial reporting process on behalf of the board of directors. The audit committee is responsible for retaining Paylocity’s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Management has the primary responsibility for the financial statements and the financial reporting process, including internal control systems, and procedures designed to ensure compliance with applicable laws and regulations. Paylocity’s independent registered public accounting firm, KPMG LLP, is responsible for expressing an opinion as to the conformity of our audited financial statements with generally accepted accounting principles.</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The audit committee has reviewed and discussed with management the Company’s audited financial statements. The audit committee has also discussed with KPMG LLP all matters that the independent registered public accounting firm was required to communicate and discuss with the audit committee, including the matters required to be discussed by Public Company Accounting Oversight Board (“PCAOB”) Auditing Standard No. 1301, </w:t>
      </w:r>
      <w:r>
        <w:rPr>
          <w:rFonts w:ascii="ITC Avant Garde Pro Md;sans-serif" w:hAnsi="ITC Avant Garde Pro Md;sans-serif"/>
          <w:b w:val="false"/>
          <w:color w:val="313D48"/>
          <w:sz w:val="17"/>
          <w:u w:val="single"/>
        </w:rPr>
        <w:t>Communications with Audit Committees</w:t>
      </w:r>
      <w:r>
        <w:rPr>
          <w:rFonts w:ascii="ITC Avant Garde Pro Md;sans-serif" w:hAnsi="ITC Avant Garde Pro Md;sans-serif"/>
          <w:b w:val="false"/>
          <w:color w:val="313D48"/>
          <w:sz w:val="17"/>
        </w:rPr>
        <w:t>, as such standard may be further modified, supplemented or amended from time to time (or such successor standard that may be promulgated).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Paylocity’s financial reporting.</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audit committee has received the written disclosures and the communications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Based on the review and discussions referred to above, the audit committee recommended to Paylocity’s board of directors that the Company’s audited financial statements be included in Paylocity’s Annual Report on Form 10-K for the fiscal year ended June 30, 2026.</w:t>
      </w:r>
    </w:p>
    <w:p>
      <w:pPr>
        <w:pStyle w:val="TextBody"/>
        <w:bidi w:val="0"/>
        <w:spacing w:lineRule="auto" w:line="312" w:before="120" w:after="120"/>
        <w:jc w:val="left"/>
        <w:rPr>
          <w:rFonts w:ascii="ITC Avant Garde Pro Bk;sans-serif" w:hAnsi="ITC Avant Garde Pro Bk;sans-serif"/>
          <w:b/>
          <w:color w:val="313D48"/>
          <w:sz w:val="17"/>
        </w:rPr>
      </w:pPr>
      <w:r>
        <w:rPr>
          <w:rFonts w:ascii="ITC Avant Garde Pro Bk;sans-serif" w:hAnsi="ITC Avant Garde Pro Bk;sans-serif"/>
          <w:b/>
          <w:color w:val="313D48"/>
          <w:sz w:val="17"/>
        </w:rPr>
        <w:t>AUDIT COMMITTEE</w:t>
      </w:r>
    </w:p>
    <w:p>
      <w:pPr>
        <w:pStyle w:val="TextBody"/>
        <w:bidi w:val="0"/>
        <w:spacing w:lineRule="auto" w:line="312" w:before="0" w:after="0"/>
        <w:jc w:val="left"/>
        <w:rPr/>
      </w:pPr>
      <w:r>
        <w:rPr>
          <w:rFonts w:ascii="ITC Avant Garde Pro Bk;sans-serif" w:hAnsi="ITC Avant Garde Pro Bk;sans-serif"/>
          <w:b/>
          <w:color w:val="313D48"/>
          <w:sz w:val="17"/>
        </w:rPr>
        <w:t>Ronald V. Waters III</w:t>
      </w:r>
      <w:r>
        <w:rPr>
          <w:rFonts w:ascii="ITC Avant Garde Pro Md;sans-serif" w:hAnsi="ITC Avant Garde Pro Md;sans-serif"/>
          <w:b w:val="false"/>
          <w:color w:val="313D48"/>
          <w:sz w:val="17"/>
        </w:rPr>
        <w:t xml:space="preserve">, Chair </w:t>
      </w:r>
    </w:p>
    <w:p>
      <w:pPr>
        <w:pStyle w:val="TextBody"/>
        <w:bidi w:val="0"/>
        <w:spacing w:lineRule="auto" w:line="312" w:before="0" w:after="0"/>
        <w:jc w:val="left"/>
        <w:rPr>
          <w:rFonts w:ascii="ITC Avant Garde Pro Bk;sans-serif" w:hAnsi="ITC Avant Garde Pro Bk;sans-serif"/>
          <w:b/>
          <w:color w:val="313D48"/>
          <w:sz w:val="17"/>
        </w:rPr>
      </w:pPr>
      <w:r>
        <w:rPr>
          <w:rFonts w:ascii="ITC Avant Garde Pro Bk;sans-serif" w:hAnsi="ITC Avant Garde Pro Bk;sans-serif"/>
          <w:b/>
          <w:color w:val="313D48"/>
          <w:sz w:val="17"/>
        </w:rPr>
        <w:t>Kenneth B. Robinson</w:t>
      </w:r>
    </w:p>
    <w:p>
      <w:pPr>
        <w:pStyle w:val="TextBody"/>
        <w:bidi w:val="0"/>
        <w:spacing w:lineRule="auto" w:line="312" w:before="0" w:after="0"/>
        <w:jc w:val="left"/>
        <w:rPr>
          <w:rFonts w:ascii="ITC Avant Garde Pro Bk;sans-serif" w:hAnsi="ITC Avant Garde Pro Bk;sans-serif"/>
          <w:b/>
          <w:color w:val="313D48"/>
          <w:sz w:val="17"/>
        </w:rPr>
      </w:pPr>
      <w:r>
        <w:rPr>
          <w:rFonts w:ascii="ITC Avant Garde Pro Bk;sans-serif" w:hAnsi="ITC Avant Garde Pro Bk;sans-serif"/>
          <w:b/>
          <w:color w:val="313D48"/>
          <w:sz w:val="17"/>
        </w:rPr>
        <w:t>Linda M. Breard</w:t>
      </w:r>
    </w:p>
    <w:p>
      <w:pPr>
        <w:pStyle w:val="TextBody"/>
        <w:bidi w:val="0"/>
        <w:spacing w:lineRule="auto" w:line="312" w:before="0" w:after="0"/>
        <w:jc w:val="left"/>
        <w:rPr>
          <w:rFonts w:ascii="ITC Avant Garde Pro Bk;sans-serif" w:hAnsi="ITC Avant Garde Pro Bk;sans-serif"/>
          <w:b/>
          <w:color w:val="313D48"/>
          <w:sz w:val="17"/>
        </w:rPr>
      </w:pPr>
      <w:r>
        <w:rPr>
          <w:rFonts w:ascii="ITC Avant Garde Pro Bk;sans-serif" w:hAnsi="ITC Avant Garde Pro Bk;sans-serif"/>
          <w:b/>
          <w:color w:val="313D48"/>
          <w:sz w:val="17"/>
        </w:rPr>
        <w:t>Virginia G. Breen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foregoing Report of the Audit Committee shall not be deemed to be incorporated by reference into any filing of Paylocity under the Securities Act of 1933, as amended (the “Securities Act”) or the Exchange Act, except to the extent that Paylocity specifically incorporates such information by reference in such filing and shall not otherwise be deemed “filed” under either the Securities Act or the Exchange Act or considered to be “soliciting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25170"/>
                <wp:effectExtent l="0" t="0" r="0" b="0"/>
                <wp:wrapNone/>
                <wp:docPr id="82" name="Frame2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Executive</w:t>
        <w:br/>
        <w:t>Officers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table sets forth information regarding our executive officers as of October 22,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22"/>
        <w:gridCol w:w="1022"/>
        <w:gridCol w:w="1025"/>
        <w:gridCol w:w="109"/>
        <w:gridCol w:w="109"/>
        <w:gridCol w:w="109"/>
        <w:gridCol w:w="109"/>
        <w:gridCol w:w="109"/>
        <w:gridCol w:w="109"/>
        <w:gridCol w:w="1793"/>
        <w:gridCol w:w="1793"/>
        <w:gridCol w:w="2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vMerge w:val="restart"/>
            <w:tcBorders/>
            <w:shd w:fill="F2EEEA" w:val="clear"/>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181100" cy="1181100"/>
                  <wp:effectExtent l="0" t="0" r="0" b="0"/>
                  <wp:docPr id="8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7" descr=""/>
                          <pic:cNvPicPr>
                            <a:picLocks noChangeAspect="1" noChangeArrowheads="1"/>
                          </pic:cNvPicPr>
                        </pic:nvPicPr>
                        <pic:blipFill>
                          <a:blip r:embed="rId58"/>
                          <a:stretch>
                            <a:fillRect/>
                          </a:stretch>
                        </pic:blipFill>
                        <pic:spPr bwMode="auto">
                          <a:xfrm>
                            <a:off x="0" y="0"/>
                            <a:ext cx="1181100" cy="1181100"/>
                          </a:xfrm>
                          <a:prstGeom prst="rect">
                            <a:avLst/>
                          </a:prstGeom>
                        </pic:spPr>
                      </pic:pic>
                    </a:graphicData>
                  </a:graphic>
                </wp:inline>
              </w:drawing>
            </w:r>
            <w:bookmarkStart w:id="56" w:name="i-57"/>
            <w:bookmarkEnd w:id="56"/>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Toby J. Williams</w:t>
            </w:r>
          </w:p>
          <w:p>
            <w:pPr>
              <w:pStyle w:val="TableContents"/>
              <w:bidi w:val="0"/>
              <w:spacing w:lineRule="auto" w:line="312" w:before="0" w:after="0"/>
              <w:jc w:val="left"/>
              <w:rPr>
                <w:rFonts w:ascii="ITC Avant Garde Pro Bk;sans-serif" w:hAnsi="ITC Avant Garde Pro Bk;sans-serif"/>
                <w:b/>
                <w:color w:val="313E48"/>
                <w:sz w:val="17"/>
              </w:rPr>
            </w:pPr>
            <w:r>
              <w:rPr>
                <w:rFonts w:ascii="ITC Avant Garde Pro Bk;sans-serif" w:hAnsi="ITC Avant Garde Pro Bk;sans-serif"/>
                <w:b/>
                <w:color w:val="313E48"/>
                <w:sz w:val="17"/>
              </w:rPr>
              <w:t>President, Chief Executive Officer and Director</w:t>
            </w:r>
          </w:p>
          <w:p>
            <w:pPr>
              <w:pStyle w:val="TableContents"/>
              <w:bidi w:val="0"/>
              <w:spacing w:lineRule="auto" w:line="312" w:before="80" w:after="120"/>
              <w:jc w:val="left"/>
              <w:rPr/>
            </w:pPr>
            <w:r>
              <w:rPr>
                <w:rFonts w:ascii="ITC Avant Garde Pro Bk;sans-serif" w:hAnsi="ITC Avant Garde Pro Bk;sans-serif"/>
                <w:b/>
                <w:color w:val="313E48"/>
                <w:sz w:val="17"/>
              </w:rPr>
              <w:t xml:space="preserve">Age: </w:t>
            </w:r>
            <w:r>
              <w:rPr>
                <w:rFonts w:ascii="ITC Avant Garde Pro Bk;sans-serif" w:hAnsi="ITC Avant Garde Pro Bk;sans-serif"/>
                <w:b/>
                <w:color w:val="314049"/>
                <w:sz w:val="17"/>
              </w:rPr>
              <w:t>53</w:t>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vMerge w:val="continue"/>
            <w:tcBorders/>
            <w:shd w:fill="F2EEEA" w:val="clear"/>
            <w:tcMar>
              <w:top w:w="0" w:type="dxa"/>
              <w:left w:w="0" w:type="dxa"/>
              <w:bottom w:w="0" w:type="dxa"/>
              <w:right w:w="0" w:type="dxa"/>
            </w:tcMar>
            <w:vAlign w:val="center"/>
          </w:tcPr>
          <w:p>
            <w:pPr>
              <w:pStyle w:val="Normal"/>
              <w:bidi w:val="0"/>
              <w:jc w:val="left"/>
              <w:rPr/>
            </w:pPr>
            <w:r>
              <w:rPr/>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Toby J. Williams is our President and Chief Executive Officer and director. For Mr. Williams’s biography, see “Proposal No. 1 Election of Directors”. </w:t>
            </w:r>
          </w:p>
        </w:tc>
      </w:tr>
      <w:tr>
        <w:trPr/>
        <w:tc>
          <w:tcPr>
            <w:tcW w:w="34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50"/>
        <w:gridCol w:w="850"/>
        <w:gridCol w:w="852"/>
        <w:gridCol w:w="109"/>
        <w:gridCol w:w="109"/>
        <w:gridCol w:w="109"/>
        <w:gridCol w:w="109"/>
        <w:gridCol w:w="109"/>
        <w:gridCol w:w="109"/>
        <w:gridCol w:w="1949"/>
        <w:gridCol w:w="1949"/>
        <w:gridCol w:w="2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restart"/>
            <w:tcBorders/>
            <w:shd w:fill="F2EEEA" w:val="clear"/>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181100" cy="1181100"/>
                  <wp:effectExtent l="0" t="0" r="0" b="0"/>
                  <wp:docPr id="8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8" descr=""/>
                          <pic:cNvPicPr>
                            <a:picLocks noChangeAspect="1" noChangeArrowheads="1"/>
                          </pic:cNvPicPr>
                        </pic:nvPicPr>
                        <pic:blipFill>
                          <a:blip r:embed="rId59"/>
                          <a:stretch>
                            <a:fillRect/>
                          </a:stretch>
                        </pic:blipFill>
                        <pic:spPr bwMode="auto">
                          <a:xfrm>
                            <a:off x="0" y="0"/>
                            <a:ext cx="1181100" cy="1181100"/>
                          </a:xfrm>
                          <a:prstGeom prst="rect">
                            <a:avLst/>
                          </a:prstGeom>
                        </pic:spPr>
                      </pic:pic>
                    </a:graphicData>
                  </a:graphic>
                </wp:inline>
              </w:drawing>
            </w:r>
            <w:bookmarkStart w:id="57" w:name="i-58"/>
            <w:bookmarkEnd w:id="57"/>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Steven R. Beauchamp</w:t>
            </w:r>
          </w:p>
          <w:p>
            <w:pPr>
              <w:pStyle w:val="TableContents"/>
              <w:bidi w:val="0"/>
              <w:spacing w:lineRule="auto" w:line="312" w:before="0" w:after="80"/>
              <w:jc w:val="left"/>
              <w:rPr>
                <w:rFonts w:ascii="ITC Avant Garde Pro Bk;sans-serif" w:hAnsi="ITC Avant Garde Pro Bk;sans-serif"/>
                <w:b/>
                <w:color w:val="313E48"/>
                <w:sz w:val="17"/>
              </w:rPr>
            </w:pPr>
            <w:r>
              <w:rPr>
                <w:rFonts w:ascii="ITC Avant Garde Pro Bk;sans-serif" w:hAnsi="ITC Avant Garde Pro Bk;sans-serif"/>
                <w:b/>
                <w:color w:val="313E48"/>
                <w:sz w:val="17"/>
              </w:rPr>
              <w:t>Executive Chairman and Director</w:t>
            </w:r>
          </w:p>
          <w:p>
            <w:pPr>
              <w:pStyle w:val="TableContents"/>
              <w:bidi w:val="0"/>
              <w:spacing w:lineRule="auto" w:line="312" w:before="80" w:after="120"/>
              <w:jc w:val="left"/>
              <w:rPr/>
            </w:pPr>
            <w:r>
              <w:rPr>
                <w:rFonts w:ascii="ITC Avant Garde Pro Bk;sans-serif" w:hAnsi="ITC Avant Garde Pro Bk;sans-serif"/>
                <w:b/>
                <w:color w:val="313E48"/>
                <w:sz w:val="17"/>
              </w:rPr>
              <w:t xml:space="preserve">Age: </w:t>
            </w:r>
            <w:r>
              <w:rPr>
                <w:rFonts w:ascii="ITC Avant Garde Pro Bk;sans-serif" w:hAnsi="ITC Avant Garde Pro Bk;sans-serif"/>
                <w:b/>
                <w:color w:val="314049"/>
                <w:sz w:val="17"/>
              </w:rPr>
              <w:t>54</w:t>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shd w:fill="F2EEEA" w:val="clear"/>
            <w:tcMar>
              <w:top w:w="0" w:type="dxa"/>
              <w:left w:w="0" w:type="dxa"/>
              <w:bottom w:w="0" w:type="dxa"/>
              <w:right w:w="0" w:type="dxa"/>
            </w:tcMar>
            <w:vAlign w:val="center"/>
          </w:tcPr>
          <w:p>
            <w:pPr>
              <w:pStyle w:val="Normal"/>
              <w:bidi w:val="0"/>
              <w:jc w:val="left"/>
              <w:rPr/>
            </w:pPr>
            <w:r>
              <w:rPr/>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Steven R. Beauchamp is our Executive Chairman and director. For Mr. Beauchamp’s biography, see “Proposal No. 1 Election of Directors”.</w:t>
            </w:r>
          </w:p>
        </w:tc>
      </w:tr>
      <w:tr>
        <w:trPr/>
        <w:tc>
          <w:tcPr>
            <w:tcW w:w="34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48"/>
        <w:gridCol w:w="648"/>
        <w:gridCol w:w="650"/>
        <w:gridCol w:w="109"/>
        <w:gridCol w:w="109"/>
        <w:gridCol w:w="109"/>
        <w:gridCol w:w="109"/>
        <w:gridCol w:w="109"/>
        <w:gridCol w:w="109"/>
        <w:gridCol w:w="2124"/>
        <w:gridCol w:w="2124"/>
        <w:gridCol w:w="3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3"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vMerge w:val="restart"/>
            <w:tcBorders/>
            <w:shd w:fill="F2EEEA" w:val="clear"/>
            <w:tcMar>
              <w:top w:w="0" w:type="dxa"/>
              <w:left w:w="0" w:type="dxa"/>
              <w:bottom w:w="0" w:type="dxa"/>
              <w:right w:w="0" w:type="dxa"/>
            </w:tcMar>
            <w:vAlign w:val="center"/>
          </w:tcPr>
          <w:p>
            <w:pPr>
              <w:pStyle w:val="TableContents"/>
              <w:bidi w:val="0"/>
              <w:spacing w:before="160" w:after="283"/>
              <w:jc w:val="left"/>
              <w:rPr/>
            </w:pPr>
            <w:r>
              <w:rPr/>
              <w:drawing>
                <wp:inline distT="0" distB="0" distL="0" distR="0">
                  <wp:extent cx="1171575" cy="1171575"/>
                  <wp:effectExtent l="0" t="0" r="0" b="0"/>
                  <wp:docPr id="8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9" descr=""/>
                          <pic:cNvPicPr>
                            <a:picLocks noChangeAspect="1" noChangeArrowheads="1"/>
                          </pic:cNvPicPr>
                        </pic:nvPicPr>
                        <pic:blipFill>
                          <a:blip r:embed="rId60"/>
                          <a:stretch>
                            <a:fillRect/>
                          </a:stretch>
                        </pic:blipFill>
                        <pic:spPr bwMode="auto">
                          <a:xfrm>
                            <a:off x="0" y="0"/>
                            <a:ext cx="1171575" cy="1171575"/>
                          </a:xfrm>
                          <a:prstGeom prst="rect">
                            <a:avLst/>
                          </a:prstGeom>
                        </pic:spPr>
                      </pic:pic>
                    </a:graphicData>
                  </a:graphic>
                </wp:inline>
              </w:drawing>
            </w:r>
            <w:bookmarkStart w:id="58" w:name="i-59"/>
            <w:bookmarkEnd w:id="58"/>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Ryan Glenn</w:t>
            </w:r>
          </w:p>
          <w:p>
            <w:pPr>
              <w:pStyle w:val="TableContents"/>
              <w:bidi w:val="0"/>
              <w:spacing w:lineRule="auto" w:line="312" w:before="0" w:after="80"/>
              <w:jc w:val="left"/>
              <w:rPr>
                <w:rFonts w:ascii="ITC Avant Garde Pro Bk;sans-serif" w:hAnsi="ITC Avant Garde Pro Bk;sans-serif"/>
                <w:b/>
                <w:color w:val="313E48"/>
                <w:sz w:val="17"/>
              </w:rPr>
            </w:pPr>
            <w:r>
              <w:rPr>
                <w:rFonts w:ascii="ITC Avant Garde Pro Bk;sans-serif" w:hAnsi="ITC Avant Garde Pro Bk;sans-serif"/>
                <w:b/>
                <w:color w:val="313E48"/>
                <w:sz w:val="17"/>
              </w:rPr>
              <w:t>Chief Financial Officer</w:t>
            </w:r>
          </w:p>
          <w:p>
            <w:pPr>
              <w:pStyle w:val="TableContents"/>
              <w:bidi w:val="0"/>
              <w:spacing w:lineRule="auto" w:line="312" w:before="80" w:after="120"/>
              <w:jc w:val="left"/>
              <w:rPr/>
            </w:pPr>
            <w:r>
              <w:rPr>
                <w:rFonts w:ascii="ITC Avant Garde Pro Bk;sans-serif" w:hAnsi="ITC Avant Garde Pro Bk;sans-serif"/>
                <w:b/>
                <w:color w:val="313E48"/>
                <w:sz w:val="17"/>
              </w:rPr>
              <w:t xml:space="preserve">Age: </w:t>
            </w:r>
            <w:r>
              <w:rPr>
                <w:rFonts w:ascii="ITC Avant Garde Pro Bk;sans-serif" w:hAnsi="ITC Avant Garde Pro Bk;sans-serif"/>
                <w:b/>
                <w:color w:val="000000"/>
                <w:sz w:val="17"/>
              </w:rPr>
              <w:t>44</w:t>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vMerge w:val="continue"/>
            <w:tcBorders/>
            <w:shd w:fill="F2EEEA" w:val="clear"/>
            <w:tcMar>
              <w:top w:w="0" w:type="dxa"/>
              <w:left w:w="0" w:type="dxa"/>
              <w:bottom w:w="0" w:type="dxa"/>
              <w:right w:w="0" w:type="dxa"/>
            </w:tcMar>
            <w:vAlign w:val="center"/>
          </w:tcPr>
          <w:p>
            <w:pPr>
              <w:pStyle w:val="Normal"/>
              <w:bidi w:val="0"/>
              <w:jc w:val="left"/>
              <w:rPr/>
            </w:pPr>
            <w:r>
              <w:rPr/>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Ryan Glenn is our Chief Financial Officer. Prior to March 2022, he served as Senior Vice President of Finance of the Company since August 2021. From June 2018 to August 2021, Mr. Glenn served as the Company's Vice President, Financial Planning &amp; Analysis and Investor Relations, and, from October 2013 to June 2018, Mr. Glenn held various financial leadership positions in the Company's Financial Planning &amp; Analysis and Investor Relations department. Prior to joining Paylocity in October 2013, Mr. Glenn held various roles at PricewaterhouseCoopers LLP, a registered public accounting firm from 2010 to 2013, last serving as a Manager in the Capital Markets &amp; Accounting Advisory Practice. Mr. Glenn earned a B.S. Summa Cum Laude from the University at Buffalo and a M.B.A. from The Johnson School at Cornell University.</w:t>
            </w:r>
          </w:p>
        </w:tc>
      </w:tr>
      <w:tr>
        <w:trPr/>
        <w:tc>
          <w:tcPr>
            <w:tcW w:w="34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3"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8650"/>
                <wp:effectExtent l="0" t="0" r="0" b="0"/>
                <wp:wrapNone/>
                <wp:docPr id="86"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Executive Officers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837"/>
        <w:gridCol w:w="837"/>
        <w:gridCol w:w="840"/>
        <w:gridCol w:w="109"/>
        <w:gridCol w:w="109"/>
        <w:gridCol w:w="109"/>
        <w:gridCol w:w="109"/>
        <w:gridCol w:w="109"/>
        <w:gridCol w:w="109"/>
        <w:gridCol w:w="1955"/>
        <w:gridCol w:w="1955"/>
        <w:gridCol w:w="2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F2EEEA"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181100" cy="1181100"/>
                  <wp:effectExtent l="0" t="0" r="0" b="0"/>
                  <wp:docPr id="8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0" descr=""/>
                          <pic:cNvPicPr>
                            <a:picLocks noChangeAspect="1" noChangeArrowheads="1"/>
                          </pic:cNvPicPr>
                        </pic:nvPicPr>
                        <pic:blipFill>
                          <a:blip r:embed="rId61"/>
                          <a:stretch>
                            <a:fillRect/>
                          </a:stretch>
                        </pic:blipFill>
                        <pic:spPr bwMode="auto">
                          <a:xfrm>
                            <a:off x="0" y="0"/>
                            <a:ext cx="1181100" cy="1181100"/>
                          </a:xfrm>
                          <a:prstGeom prst="rect">
                            <a:avLst/>
                          </a:prstGeom>
                        </pic:spPr>
                      </pic:pic>
                    </a:graphicData>
                  </a:graphic>
                </wp:inline>
              </w:drawing>
            </w:r>
            <w:bookmarkStart w:id="59" w:name="i-60"/>
            <w:bookmarkEnd w:id="59"/>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Joshua Scutt</w:t>
            </w:r>
          </w:p>
          <w:p>
            <w:pPr>
              <w:pStyle w:val="TableContents"/>
              <w:bidi w:val="0"/>
              <w:spacing w:lineRule="auto" w:line="312" w:before="0" w:after="80"/>
              <w:jc w:val="left"/>
              <w:rPr>
                <w:rFonts w:ascii="ITC Avant Garde Pro Bk;sans-serif" w:hAnsi="ITC Avant Garde Pro Bk;sans-serif"/>
                <w:b/>
                <w:color w:val="313E48"/>
                <w:sz w:val="17"/>
              </w:rPr>
            </w:pPr>
            <w:r>
              <w:rPr>
                <w:rFonts w:ascii="ITC Avant Garde Pro Bk;sans-serif" w:hAnsi="ITC Avant Garde Pro Bk;sans-serif"/>
                <w:b/>
                <w:color w:val="313E48"/>
                <w:sz w:val="17"/>
              </w:rPr>
              <w:t>Senior Vice President of Sales and Marketing and Chief Sales Officer</w:t>
            </w:r>
          </w:p>
          <w:p>
            <w:pPr>
              <w:pStyle w:val="TableContents"/>
              <w:bidi w:val="0"/>
              <w:spacing w:lineRule="auto" w:line="312" w:before="80" w:after="120"/>
              <w:jc w:val="left"/>
              <w:rPr/>
            </w:pPr>
            <w:r>
              <w:rPr>
                <w:rFonts w:ascii="ITC Avant Garde Pro Bk;sans-serif" w:hAnsi="ITC Avant Garde Pro Bk;sans-serif"/>
                <w:b/>
                <w:color w:val="313E48"/>
                <w:sz w:val="17"/>
              </w:rPr>
              <w:t xml:space="preserve">Age: </w:t>
            </w:r>
            <w:r>
              <w:rPr>
                <w:rFonts w:ascii="ITC Avant Garde Pro Bk;sans-serif" w:hAnsi="ITC Avant Garde Pro Bk;sans-serif"/>
                <w:b/>
                <w:color w:val="314049"/>
                <w:sz w:val="17"/>
              </w:rPr>
              <w:t>55</w:t>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Joshua Scutt has served as Senior Vice President of Sales and Marketing and Chief Sales Officer at Paylocity since August 2021. From October 2018 to August 2021, he served as Vice President, Sales of the Company. Prior to joining Paylocity, Mr. Scutt served as Vice President of Enterprise Sales at NCR from February 2017 to October 2018. From 1997 to 2016, he served in various positions at ADP, including most recently as Senior Vice President of Small Business Sales. Mr. Scutt holds a B.A. degree in Education from Northern Michigan University.</w:t>
            </w:r>
          </w:p>
        </w:tc>
      </w:tr>
      <w:tr>
        <w:trPr/>
        <w:tc>
          <w:tcPr>
            <w:tcW w:w="34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74"/>
        <w:gridCol w:w="874"/>
        <w:gridCol w:w="877"/>
        <w:gridCol w:w="109"/>
        <w:gridCol w:w="109"/>
        <w:gridCol w:w="109"/>
        <w:gridCol w:w="109"/>
        <w:gridCol w:w="109"/>
        <w:gridCol w:w="109"/>
        <w:gridCol w:w="1926"/>
        <w:gridCol w:w="1926"/>
        <w:gridCol w:w="27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vMerge w:val="restart"/>
            <w:tcBorders/>
            <w:shd w:fill="F2EEEA"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181100" cy="1181100"/>
                  <wp:effectExtent l="0" t="0" r="0" b="0"/>
                  <wp:docPr id="8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1" descr=""/>
                          <pic:cNvPicPr>
                            <a:picLocks noChangeAspect="1" noChangeArrowheads="1"/>
                          </pic:cNvPicPr>
                        </pic:nvPicPr>
                        <pic:blipFill>
                          <a:blip r:embed="rId62"/>
                          <a:stretch>
                            <a:fillRect/>
                          </a:stretch>
                        </pic:blipFill>
                        <pic:spPr bwMode="auto">
                          <a:xfrm>
                            <a:off x="0" y="0"/>
                            <a:ext cx="1181100" cy="1181100"/>
                          </a:xfrm>
                          <a:prstGeom prst="rect">
                            <a:avLst/>
                          </a:prstGeom>
                        </pic:spPr>
                      </pic:pic>
                    </a:graphicData>
                  </a:graphic>
                </wp:inline>
              </w:drawing>
            </w:r>
            <w:bookmarkStart w:id="60" w:name="i-61"/>
            <w:bookmarkEnd w:id="60"/>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Melissa King</w:t>
            </w:r>
          </w:p>
          <w:p>
            <w:pPr>
              <w:pStyle w:val="TableContents"/>
              <w:bidi w:val="0"/>
              <w:spacing w:lineRule="auto" w:line="312" w:before="0" w:after="80"/>
              <w:jc w:val="left"/>
              <w:rPr>
                <w:rFonts w:ascii="ITC Avant Garde Pro Bk;sans-serif" w:hAnsi="ITC Avant Garde Pro Bk;sans-serif"/>
                <w:b/>
                <w:color w:val="313E48"/>
                <w:sz w:val="17"/>
              </w:rPr>
            </w:pPr>
            <w:r>
              <w:rPr>
                <w:rFonts w:ascii="ITC Avant Garde Pro Bk;sans-serif" w:hAnsi="ITC Avant Garde Pro Bk;sans-serif"/>
                <w:b/>
                <w:color w:val="313E48"/>
                <w:sz w:val="17"/>
              </w:rPr>
              <w:t>Senior Vice President of Product and Technology and Chief Product and Technology Officer</w:t>
            </w:r>
          </w:p>
          <w:p>
            <w:pPr>
              <w:pStyle w:val="TableContents"/>
              <w:bidi w:val="0"/>
              <w:spacing w:lineRule="auto" w:line="312" w:before="80" w:after="120"/>
              <w:jc w:val="left"/>
              <w:rPr/>
            </w:pPr>
            <w:r>
              <w:rPr>
                <w:rFonts w:ascii="ITC Avant Garde Pro Bk;sans-serif" w:hAnsi="ITC Avant Garde Pro Bk;sans-serif"/>
                <w:b/>
                <w:color w:val="313E48"/>
                <w:sz w:val="17"/>
              </w:rPr>
              <w:t xml:space="preserve">Age: </w:t>
            </w:r>
            <w:r>
              <w:rPr>
                <w:rFonts w:ascii="ITC Avant Garde Pro Bk;sans-serif" w:hAnsi="ITC Avant Garde Pro Bk;sans-serif"/>
                <w:b/>
                <w:color w:val="314049"/>
                <w:sz w:val="17"/>
              </w:rPr>
              <w:t>51</w:t>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vMerge w:val="continue"/>
            <w:tcBorders/>
            <w:shd w:fill="F2EEEA" w:val="clear"/>
            <w:tcMar>
              <w:top w:w="0" w:type="dxa"/>
              <w:left w:w="0" w:type="dxa"/>
              <w:bottom w:w="0" w:type="dxa"/>
              <w:right w:w="0" w:type="dxa"/>
            </w:tcMar>
            <w:vAlign w:val="center"/>
          </w:tcPr>
          <w:p>
            <w:pPr>
              <w:pStyle w:val="Normal"/>
              <w:bidi w:val="0"/>
              <w:jc w:val="left"/>
              <w:rPr/>
            </w:pPr>
            <w:r>
              <w:rPr/>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Melissa King has served as Senior Vice President of Product and Technology and Chief Product and Technology Officer since December 2024. Prior to that, Ms. King served in numerous roles at Ellucian, a higher education technology solutions provider, including as Senior Vice President and Chief of Commercial Excellence from September 2024 until December 2024, Senior Vice President and Chief Transformation Officer from February 2022 until September 2024, and Senior Vice President, Revenue Strategy &amp; Operations, from May 2019 until February 2022. Ms. King holds a B.B.A. from the University of Alaska Fairbanks.</w:t>
            </w:r>
          </w:p>
        </w:tc>
      </w:tr>
      <w:tr>
        <w:trPr/>
        <w:tc>
          <w:tcPr>
            <w:tcW w:w="34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14"/>
        <w:gridCol w:w="714"/>
        <w:gridCol w:w="716"/>
        <w:gridCol w:w="109"/>
        <w:gridCol w:w="109"/>
        <w:gridCol w:w="109"/>
        <w:gridCol w:w="109"/>
        <w:gridCol w:w="109"/>
        <w:gridCol w:w="109"/>
        <w:gridCol w:w="2065"/>
        <w:gridCol w:w="2065"/>
        <w:gridCol w:w="2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vMerge w:val="restart"/>
            <w:tcBorders/>
            <w:shd w:fill="F2EEEA"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181100" cy="1181100"/>
                  <wp:effectExtent l="0" t="0" r="0" b="0"/>
                  <wp:docPr id="8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2" descr=""/>
                          <pic:cNvPicPr>
                            <a:picLocks noChangeAspect="1" noChangeArrowheads="1"/>
                          </pic:cNvPicPr>
                        </pic:nvPicPr>
                        <pic:blipFill>
                          <a:blip r:embed="rId63"/>
                          <a:stretch>
                            <a:fillRect/>
                          </a:stretch>
                        </pic:blipFill>
                        <pic:spPr bwMode="auto">
                          <a:xfrm>
                            <a:off x="0" y="0"/>
                            <a:ext cx="1181100" cy="1181100"/>
                          </a:xfrm>
                          <a:prstGeom prst="rect">
                            <a:avLst/>
                          </a:prstGeom>
                        </pic:spPr>
                      </pic:pic>
                    </a:graphicData>
                  </a:graphic>
                </wp:inline>
              </w:drawing>
            </w:r>
            <w:bookmarkStart w:id="61" w:name="i-62"/>
            <w:bookmarkEnd w:id="61"/>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Andrew Cappotelli</w:t>
            </w:r>
          </w:p>
          <w:p>
            <w:pPr>
              <w:pStyle w:val="TableContents"/>
              <w:bidi w:val="0"/>
              <w:spacing w:lineRule="auto" w:line="312" w:before="0" w:after="0"/>
              <w:jc w:val="left"/>
              <w:rPr>
                <w:rFonts w:ascii="ITC Avant Garde Pro Bk;sans-serif" w:hAnsi="ITC Avant Garde Pro Bk;sans-serif"/>
                <w:b/>
                <w:color w:val="313E48"/>
                <w:sz w:val="17"/>
              </w:rPr>
            </w:pPr>
            <w:r>
              <w:rPr>
                <w:rFonts w:ascii="ITC Avant Garde Pro Bk;sans-serif" w:hAnsi="ITC Avant Garde Pro Bk;sans-serif"/>
                <w:b/>
                <w:color w:val="313E48"/>
                <w:sz w:val="17"/>
              </w:rPr>
              <w:t>Senior Vice President of Operations and Chief Client Officer</w:t>
            </w:r>
          </w:p>
          <w:p>
            <w:pPr>
              <w:pStyle w:val="TableContents"/>
              <w:bidi w:val="0"/>
              <w:spacing w:lineRule="auto" w:line="312" w:before="80" w:after="120"/>
              <w:jc w:val="left"/>
              <w:rPr/>
            </w:pPr>
            <w:r>
              <w:rPr>
                <w:rFonts w:ascii="ITC Avant Garde Pro Bk;sans-serif" w:hAnsi="ITC Avant Garde Pro Bk;sans-serif"/>
                <w:b/>
                <w:color w:val="313E48"/>
                <w:sz w:val="17"/>
              </w:rPr>
              <w:t xml:space="preserve">Age: </w:t>
            </w:r>
            <w:r>
              <w:rPr>
                <w:rFonts w:ascii="ITC Avant Garde Pro Bk;sans-serif" w:hAnsi="ITC Avant Garde Pro Bk;sans-serif"/>
                <w:b/>
                <w:color w:val="314049"/>
                <w:sz w:val="17"/>
              </w:rPr>
              <w:t>55</w:t>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vMerge w:val="continue"/>
            <w:tcBorders/>
            <w:shd w:fill="F2EEEA" w:val="clear"/>
            <w:tcMar>
              <w:top w:w="0" w:type="dxa"/>
              <w:left w:w="0" w:type="dxa"/>
              <w:bottom w:w="0" w:type="dxa"/>
              <w:right w:w="0" w:type="dxa"/>
            </w:tcMar>
            <w:vAlign w:val="center"/>
          </w:tcPr>
          <w:p>
            <w:pPr>
              <w:pStyle w:val="Normal"/>
              <w:bidi w:val="0"/>
              <w:jc w:val="left"/>
              <w:rPr/>
            </w:pPr>
            <w:r>
              <w:rPr/>
            </w:r>
          </w:p>
        </w:tc>
        <w:tc>
          <w:tcPr>
            <w:tcW w:w="327"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Andrew Cappotelli has served as our Senior Vice President of Operations and Chief Client Officer since May 2024. Mr. Cappotelli served in numerous roles at Paylocity from September 2021 until May 2024, including the Company’s Vice President of Finance, Chief Compliance/Risk Officer and Vice President of Client Tax Operations, and as our Chief Accounting Officer from June 2018 until September 2021. Prior to joining Paylocity in June 2018, Mr. Cappotelli served as Vice President at Trinet, Inc., a human capital management company/professional employer organization from August 2017 until May 2018. From July 2006 through August 2017, Mr. Cappotelli held various financial leadership roles at Paychex, Inc., including the Controller of the Human Resources Services Business Unit, Corporate Director of Financial Planning and Analysis, and Internal Audit Director. Prior to that, Mr. Cappotelli served as the Director of Internal Audit for the Black &amp; Decker Corporation and Director of Accounting for Gibraltar Industries. Mr. Cappotelli started his career in 1996 with KPMG LLP, a registered public accounting firm, serving as a Senior Manager in the Assurance Practice. Mr. Cappotelli earned both his BBA in Accounting and his MBA from Saint Bonaventure University. He is also a Certified Public Accountant.</w:t>
            </w:r>
          </w:p>
        </w:tc>
      </w:tr>
      <w:tr>
        <w:trPr/>
        <w:tc>
          <w:tcPr>
            <w:tcW w:w="34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25170"/>
                <wp:effectExtent l="0" t="0" r="0" b="0"/>
                <wp:wrapNone/>
                <wp:docPr id="90" name="Frame28"/>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Executive Officers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1"/>
        <w:gridCol w:w="731"/>
        <w:gridCol w:w="733"/>
        <w:gridCol w:w="109"/>
        <w:gridCol w:w="109"/>
        <w:gridCol w:w="109"/>
        <w:gridCol w:w="109"/>
        <w:gridCol w:w="109"/>
        <w:gridCol w:w="109"/>
        <w:gridCol w:w="2052"/>
        <w:gridCol w:w="2052"/>
        <w:gridCol w:w="29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shd w:fill="F2EE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op w:val="single" w:sz="4"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vMerge w:val="restart"/>
            <w:tcBorders/>
            <w:shd w:fill="F2EEEA" w:val="clear"/>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181100" cy="1181100"/>
                  <wp:effectExtent l="0" t="0" r="0" b="0"/>
                  <wp:docPr id="9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3" descr=""/>
                          <pic:cNvPicPr>
                            <a:picLocks noChangeAspect="1" noChangeArrowheads="1"/>
                          </pic:cNvPicPr>
                        </pic:nvPicPr>
                        <pic:blipFill>
                          <a:blip r:embed="rId64"/>
                          <a:stretch>
                            <a:fillRect/>
                          </a:stretch>
                        </pic:blipFill>
                        <pic:spPr bwMode="auto">
                          <a:xfrm>
                            <a:off x="0" y="0"/>
                            <a:ext cx="1181100" cy="1181100"/>
                          </a:xfrm>
                          <a:prstGeom prst="rect">
                            <a:avLst/>
                          </a:prstGeom>
                        </pic:spPr>
                      </pic:pic>
                    </a:graphicData>
                  </a:graphic>
                </wp:inline>
              </w:drawing>
            </w:r>
            <w:bookmarkStart w:id="62" w:name="i-63"/>
            <w:bookmarkEnd w:id="62"/>
          </w:p>
          <w:p>
            <w:pPr>
              <w:pStyle w:val="TableContents"/>
              <w:bidi w:val="0"/>
              <w:spacing w:lineRule="auto" w:line="312" w:before="160" w:after="283"/>
              <w:jc w:val="left"/>
              <w:rPr>
                <w:rFonts w:ascii="ITC Avant Garde Pro Bk;sans-serif" w:hAnsi="ITC Avant Garde Pro Bk;sans-serif"/>
                <w:b/>
                <w:color w:val="EE2626"/>
                <w:sz w:val="20"/>
              </w:rPr>
            </w:pPr>
            <w:r>
              <w:rPr>
                <w:rFonts w:ascii="ITC Avant Garde Pro Bk;sans-serif" w:hAnsi="ITC Avant Garde Pro Bk;sans-serif"/>
                <w:b/>
                <w:color w:val="EE2626"/>
                <w:sz w:val="20"/>
              </w:rPr>
              <w:t>Nicholas Rost</w:t>
            </w:r>
          </w:p>
          <w:p>
            <w:pPr>
              <w:pStyle w:val="TableContents"/>
              <w:bidi w:val="0"/>
              <w:spacing w:lineRule="auto" w:line="312" w:before="0" w:after="80"/>
              <w:jc w:val="left"/>
              <w:rPr>
                <w:rFonts w:ascii="ITC Avant Garde Pro Bk;sans-serif" w:hAnsi="ITC Avant Garde Pro Bk;sans-serif"/>
                <w:b/>
                <w:color w:val="313E48"/>
                <w:sz w:val="17"/>
              </w:rPr>
            </w:pPr>
            <w:r>
              <w:rPr>
                <w:rFonts w:ascii="ITC Avant Garde Pro Bk;sans-serif" w:hAnsi="ITC Avant Garde Pro Bk;sans-serif"/>
                <w:b/>
                <w:color w:val="313E48"/>
                <w:sz w:val="17"/>
              </w:rPr>
              <w:t>Vice President, Chief Accounting Officer and Treasurer</w:t>
            </w:r>
          </w:p>
          <w:p>
            <w:pPr>
              <w:pStyle w:val="TableContents"/>
              <w:bidi w:val="0"/>
              <w:spacing w:lineRule="auto" w:line="312" w:before="80" w:after="120"/>
              <w:jc w:val="left"/>
              <w:rPr>
                <w:rFonts w:ascii="ITC Avant Garde Pro Bk;sans-serif" w:hAnsi="ITC Avant Garde Pro Bk;sans-serif"/>
                <w:b/>
                <w:color w:val="313E48"/>
                <w:sz w:val="17"/>
              </w:rPr>
            </w:pPr>
            <w:r>
              <w:rPr>
                <w:rFonts w:ascii="ITC Avant Garde Pro Bk;sans-serif" w:hAnsi="ITC Avant Garde Pro Bk;sans-serif"/>
                <w:b/>
                <w:color w:val="313E48"/>
                <w:sz w:val="17"/>
              </w:rPr>
              <w:t>Age: 46</w:t>
            </w:r>
          </w:p>
        </w:tc>
        <w:tc>
          <w:tcPr>
            <w:tcW w:w="327" w:type="dxa"/>
            <w:gridSpan w:val="3"/>
            <w:vMerge w:val="restart"/>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vMerge w:val="continue"/>
            <w:tcBorders/>
            <w:shd w:fill="F2EEEA"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2EEEA"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Nicholas Rost has served as Vice President, Chief Accounting Officer since September 2021 and Treasurer of the Company since July 2024. From May 2019 to September 2021, he served as Corporate Controller of the Company. From May 2017 through May 2019, Mr. Rost held various financial leadership roles at Joyson Safety Systems, including Chief Accounting Officer and Executive Director of Financial Planning and Analysis. From 2003 to 2017, Mr. Rost worked in a variety of roles at PricewaterhouseCoopers LLP, a registered public accounting firm, serving most recently as a Senior Manager in the Assurance Practice. Mr. Rost earned his B.S.B.A. degree in Accounting Information Systems from Central Michigan University. He is also a Certified Public Accountant.</w:t>
            </w:r>
          </w:p>
        </w:tc>
      </w:tr>
      <w:tr>
        <w:trPr/>
        <w:tc>
          <w:tcPr>
            <w:tcW w:w="342"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shd w:fill="F2EE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bottom w:val="single" w:sz="4" w:space="0" w:color="313E4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8650"/>
                <wp:effectExtent l="0" t="0" r="0" b="0"/>
                <wp:wrapNone/>
                <wp:docPr id="92"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10"/>
        <w:jc w:val="left"/>
        <w:rPr/>
      </w:pPr>
      <w:r>
        <w:rPr/>
        <w:drawing>
          <wp:inline distT="0" distB="0" distL="0" distR="0">
            <wp:extent cx="714375" cy="104775"/>
            <wp:effectExtent l="0" t="0" r="0" b="0"/>
            <wp:docPr id="9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4" descr=""/>
                    <pic:cNvPicPr>
                      <a:picLocks noChangeAspect="1" noChangeArrowheads="1"/>
                    </pic:cNvPicPr>
                  </pic:nvPicPr>
                  <pic:blipFill>
                    <a:blip r:embed="rId65"/>
                    <a:stretch>
                      <a:fillRect/>
                    </a:stretch>
                  </pic:blipFill>
                  <pic:spPr bwMode="auto">
                    <a:xfrm>
                      <a:off x="0" y="0"/>
                      <a:ext cx="714375" cy="104775"/>
                    </a:xfrm>
                    <a:prstGeom prst="rect">
                      <a:avLst/>
                    </a:prstGeom>
                  </pic:spPr>
                </pic:pic>
              </a:graphicData>
            </a:graphic>
          </wp:inline>
        </w:drawing>
      </w:r>
      <w:bookmarkStart w:id="63" w:name="i-64"/>
      <w:bookmarkEnd w:id="63"/>
    </w:p>
    <w:p>
      <w:pPr>
        <w:pStyle w:val="TextBody"/>
        <w:bidi w:val="0"/>
        <w:spacing w:lineRule="auto" w:line="312" w:before="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Compensation Discussion and Analysis</w:t>
      </w:r>
    </w:p>
    <w:p>
      <w:pPr>
        <w:pStyle w:val="TextBody"/>
        <w:bidi w:val="0"/>
        <w:spacing w:lineRule="auto" w:line="312" w:before="120" w:after="120"/>
        <w:jc w:val="left"/>
        <w:rPr>
          <w:rFonts w:ascii="ITC Avant Garde Pro Md;sans-serif" w:hAnsi="ITC Avant Garde Pro Md;sans-serif"/>
          <w:b w:val="false"/>
          <w:i/>
          <w:color w:val="313D48"/>
          <w:sz w:val="17"/>
        </w:rPr>
      </w:pPr>
      <w:r>
        <w:rPr>
          <w:rFonts w:ascii="ITC Avant Garde Pro Md;sans-serif" w:hAnsi="ITC Avant Garde Pro Md;sans-serif"/>
          <w:b w:val="false"/>
          <w:i/>
          <w:color w:val="313D48"/>
          <w:sz w:val="17"/>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This section discusses the philosophy underlying our executive compensation policies and decisions and the most important factors relevant to an analysis of these policies and decisions. It provides qualitative information regarding the manner and context in which compensation was awarded to and earned in fiscal 2026 by our named executive officers and places in perspective the data presented in the tables and narrative that follow. Under SEC rules, “named executive officers” include all individuals who served as the CEO or CFO during the year and the three most highly compensated executive officers as of the end of the year. For fiscal 2026, our named executive officers include:</w:t>
      </w:r>
    </w:p>
    <w:p>
      <w:pPr>
        <w:pStyle w:val="TextBody"/>
        <w:bidi w:val="0"/>
        <w:spacing w:lineRule="auto" w:line="312" w:before="80" w:after="80"/>
        <w:ind w:left="0" w:right="0" w:hanging="216"/>
        <w:jc w:val="left"/>
        <w:rPr/>
      </w:pPr>
      <w:r>
        <w:rPr>
          <w:color w:val="EE2724"/>
        </w:rPr>
        <w:t>•</w:t>
      </w:r>
      <w:r>
        <w:rPr>
          <w:rFonts w:ascii="ITC Avant Garde Pro Bk;sans-serif" w:hAnsi="ITC Avant Garde Pro Bk;sans-serif"/>
          <w:b/>
          <w:color w:val="F78D2D"/>
          <w:sz w:val="17"/>
        </w:rPr>
        <w:t>Toby J. Williams</w:t>
      </w:r>
      <w:r>
        <w:rPr>
          <w:rFonts w:ascii="ITC Avant Garde Pro Md;sans-serif" w:hAnsi="ITC Avant Garde Pro Md;sans-serif"/>
          <w:b w:val="false"/>
          <w:color w:val="313D48"/>
          <w:sz w:val="17"/>
        </w:rPr>
        <w:t>, our President and Chief Executive Officer ("CEO");</w:t>
      </w:r>
    </w:p>
    <w:p>
      <w:pPr>
        <w:pStyle w:val="TextBody"/>
        <w:bidi w:val="0"/>
        <w:spacing w:lineRule="auto" w:line="312" w:before="80" w:after="80"/>
        <w:ind w:left="0" w:right="0" w:hanging="216"/>
        <w:jc w:val="left"/>
        <w:rPr/>
      </w:pPr>
      <w:r>
        <w:rPr>
          <w:color w:val="EE2724"/>
        </w:rPr>
        <w:t>•</w:t>
      </w:r>
      <w:r>
        <w:rPr>
          <w:rFonts w:ascii="ITC Avant Garde Pro Bk;sans-serif" w:hAnsi="ITC Avant Garde Pro Bk;sans-serif"/>
          <w:b/>
          <w:color w:val="F78D2D"/>
          <w:sz w:val="17"/>
        </w:rPr>
        <w:t>Ryan Glenn</w:t>
      </w:r>
      <w:r>
        <w:rPr>
          <w:rFonts w:ascii="ITC Avant Garde Pro Md;sans-serif" w:hAnsi="ITC Avant Garde Pro Md;sans-serif"/>
          <w:b w:val="false"/>
          <w:color w:val="313D48"/>
          <w:sz w:val="17"/>
        </w:rPr>
        <w:t>, our Chief Financial Officer ("CFO");</w:t>
      </w:r>
    </w:p>
    <w:p>
      <w:pPr>
        <w:pStyle w:val="TextBody"/>
        <w:bidi w:val="0"/>
        <w:spacing w:lineRule="auto" w:line="312" w:before="80" w:after="80"/>
        <w:ind w:left="0" w:right="0" w:hanging="216"/>
        <w:jc w:val="left"/>
        <w:rPr/>
      </w:pPr>
      <w:r>
        <w:rPr>
          <w:color w:val="EE2724"/>
        </w:rPr>
        <w:t>•</w:t>
      </w:r>
      <w:r>
        <w:rPr>
          <w:rFonts w:ascii="ITC Avant Garde Pro Bk;sans-serif" w:hAnsi="ITC Avant Garde Pro Bk;sans-serif"/>
          <w:b/>
          <w:color w:val="F78D2D"/>
          <w:sz w:val="17"/>
        </w:rPr>
        <w:t>Joshua Scutt,</w:t>
      </w:r>
      <w:r>
        <w:rPr>
          <w:color w:val="313D48"/>
        </w:rPr>
        <w:t xml:space="preserve"> </w:t>
      </w:r>
      <w:r>
        <w:rPr>
          <w:rFonts w:ascii="ITC Avant Garde Pro Md;sans-serif" w:hAnsi="ITC Avant Garde Pro Md;sans-serif"/>
          <w:b w:val="false"/>
          <w:color w:val="313D48"/>
          <w:sz w:val="17"/>
        </w:rPr>
        <w:t xml:space="preserve">our Senior Vice President of Sales and Marketing and Chief Sales Officer; </w:t>
      </w:r>
    </w:p>
    <w:p>
      <w:pPr>
        <w:pStyle w:val="TextBody"/>
        <w:bidi w:val="0"/>
        <w:spacing w:lineRule="auto" w:line="312" w:before="80" w:after="80"/>
        <w:ind w:left="0" w:right="0" w:hanging="216"/>
        <w:jc w:val="left"/>
        <w:rPr/>
      </w:pPr>
      <w:r>
        <w:rPr>
          <w:color w:val="EE2724"/>
        </w:rPr>
        <w:t>•</w:t>
      </w:r>
      <w:r>
        <w:rPr>
          <w:rFonts w:ascii="ITC Avant Garde Pro Bk;sans-serif" w:hAnsi="ITC Avant Garde Pro Bk;sans-serif"/>
          <w:b/>
          <w:color w:val="F78D2D"/>
          <w:sz w:val="17"/>
        </w:rPr>
        <w:t>Melissa King</w:t>
      </w:r>
      <w:r>
        <w:rPr>
          <w:rFonts w:ascii="ITC Avant Garde Pro Md;sans-serif" w:hAnsi="ITC Avant Garde Pro Md;sans-serif"/>
          <w:b w:val="false"/>
          <w:color w:val="313D48"/>
          <w:sz w:val="17"/>
        </w:rPr>
        <w:t>, our Senior Vice President of Product and Technology and Chief Product and Technology Officer; and</w:t>
      </w:r>
    </w:p>
    <w:p>
      <w:pPr>
        <w:pStyle w:val="TextBody"/>
        <w:bidi w:val="0"/>
        <w:spacing w:lineRule="auto" w:line="312" w:before="80" w:after="120"/>
        <w:ind w:left="0" w:right="0" w:hanging="216"/>
        <w:jc w:val="left"/>
        <w:rPr/>
      </w:pPr>
      <w:r>
        <w:rPr>
          <w:color w:val="EE2724"/>
        </w:rPr>
        <w:t>•</w:t>
      </w:r>
      <w:r>
        <w:rPr>
          <w:rFonts w:ascii="ITC Avant Garde Pro Bk;sans-serif" w:hAnsi="ITC Avant Garde Pro Bk;sans-serif"/>
          <w:b/>
          <w:color w:val="F78D2D"/>
          <w:sz w:val="17"/>
        </w:rPr>
        <w:t>Andrew Cappotelli</w:t>
      </w:r>
      <w:r>
        <w:rPr>
          <w:rFonts w:ascii="ITC Avant Garde Pro Md;sans-serif" w:hAnsi="ITC Avant Garde Pro Md;sans-serif"/>
          <w:b w:val="false"/>
          <w:color w:val="313D48"/>
          <w:sz w:val="17"/>
        </w:rPr>
        <w:t>, our Senior Vice President of Operations and Chief Client Officer.</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refer to our compensation committee in this Compensation Discussion and Analysis and the related compensation tables as the “Committee.” The members of the Committee in fiscal 2026 were Craig A. Conway, Robin L. Pederson, Andres D. Reiner and Ronald V. Waters III.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25170"/>
                <wp:effectExtent l="0" t="0" r="0" b="0"/>
                <wp:wrapNone/>
                <wp:docPr id="94" name="Frame30"/>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28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Fiscal 2026 Financial and Business Highlights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In fiscal 2026, we continued significant growth at scale while also investing in innovation, client service, and our people to drive further differentiation from our competitors. Our recurring and other revenue was $1.651 billion, a 12% year-over-year increase, and our total revenue was $1.771 billion, representing an 11% year-over-year increase, as our focus on providing a unified platform continued to resonate with clients and prospects. We also increased profitability in fiscal 2026 with net income of $269.7 million, adjusted EBITDA of $654.9 million, adjusted EBITDA excluding interest income on funds held for clients of $534.9 million, net cash provided by operating activities of $533.3 million, free cash flow of $427.8 million and free cash flow excluding interest income on funds held for clients of $307.8 million.*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named executive officers and other members of our executive management team led the organization to achieve certain operational and financial milestones that position us for continued short- and long-term success, including the following achievements: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04"/>
        <w:gridCol w:w="1204"/>
        <w:gridCol w:w="1206"/>
        <w:gridCol w:w="1971"/>
        <w:gridCol w:w="1949"/>
        <w:gridCol w:w="195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78D2D"/>
              <w:left w:val="single" w:sz="8" w:space="0" w:color="F78D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F78D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op w:val="single" w:sz="8" w:space="0" w:color="F78D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F78D2D"/>
              <w:right w:val="single" w:sz="8" w:space="0" w:color="F78D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ITC Avant Garde Pro Bk;sans-serif" w:hAnsi="ITC Avant Garde Pro Bk;sans-serif"/>
                <w:b/>
                <w:color w:val="F78D2D"/>
                <w:sz w:val="36"/>
              </w:rPr>
              <w:t>11%</w:t>
            </w:r>
          </w:p>
          <w:p>
            <w:pPr>
              <w:pStyle w:val="TableContents"/>
              <w:bidi w:val="0"/>
              <w:spacing w:lineRule="auto" w:line="288" w:before="0" w:after="0"/>
              <w:jc w:val="center"/>
              <w:rPr>
                <w:rFonts w:ascii="ITC Avant Garde Pro Md;sans-serif" w:hAnsi="ITC Avant Garde Pro Md;sans-serif"/>
                <w:b w:val="false"/>
                <w:color w:val="000000"/>
                <w:sz w:val="17"/>
              </w:rPr>
            </w:pPr>
            <w:r>
              <w:rPr>
                <w:rFonts w:ascii="ITC Avant Garde Pro Md;sans-serif" w:hAnsi="ITC Avant Garde Pro Md;sans-serif"/>
                <w:b w:val="false"/>
                <w:color w:val="000000"/>
                <w:sz w:val="17"/>
              </w:rPr>
              <w:t>Year-over-year total revenue growth</w:t>
            </w:r>
          </w:p>
        </w:tc>
        <w:tc>
          <w:tcPr>
            <w:tcW w:w="5873" w:type="dxa"/>
            <w:gridSpan w:val="3"/>
            <w:tcBorders>
              <w:left w:val="single" w:sz="4" w:space="0" w:color="888788"/>
            </w:tcBorders>
            <w:tcMar>
              <w:top w:w="0" w:type="dxa"/>
              <w:bottom w:w="0" w:type="dxa"/>
              <w:right w:w="0" w:type="dxa"/>
            </w:tcMar>
            <w:vAlign w:val="center"/>
          </w:tcPr>
          <w:p>
            <w:pPr>
              <w:pStyle w:val="TableContents"/>
              <w:bidi w:val="0"/>
              <w:spacing w:lineRule="auto" w:line="312" w:before="0" w:after="0"/>
              <w:jc w:val="center"/>
              <w:rPr/>
            </w:pPr>
            <w:r>
              <w:rPr>
                <w:color w:val="313D48"/>
              </w:rPr>
              <w:t>  </w:t>
            </w:r>
            <w:r>
              <w:rPr>
                <w:rFonts w:ascii="ITC Avant Garde Pro Bk;sans-serif" w:hAnsi="ITC Avant Garde Pro Bk;sans-serif"/>
                <w:b/>
                <w:color w:val="F78D2D"/>
                <w:sz w:val="36"/>
              </w:rPr>
              <w:t>12%</w:t>
            </w:r>
          </w:p>
          <w:p>
            <w:pPr>
              <w:pStyle w:val="TableContents"/>
              <w:bidi w:val="0"/>
              <w:spacing w:lineRule="auto" w:line="312" w:before="0" w:after="0"/>
              <w:jc w:val="center"/>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Year-over-year recurring and other revenue growth</w:t>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4" w:space="0" w:color="8887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op w:val="single" w:sz="4" w:space="0" w:color="8887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ITC Avant Garde Pro Bk;sans-serif" w:hAnsi="ITC Avant Garde Pro Bk;sans-serif"/>
                <w:b/>
                <w:color w:val="F78D2D"/>
                <w:sz w:val="36"/>
              </w:rPr>
            </w:pPr>
            <w:r>
              <w:rPr>
                <w:rFonts w:ascii="ITC Avant Garde Pro Bk;sans-serif" w:hAnsi="ITC Avant Garde Pro Bk;sans-serif"/>
                <w:b/>
                <w:color w:val="F78D2D"/>
                <w:sz w:val="36"/>
              </w:rPr>
              <w:t xml:space="preserve">Over 25% </w:t>
            </w:r>
          </w:p>
          <w:p>
            <w:pPr>
              <w:pStyle w:val="TableContents"/>
              <w:bidi w:val="0"/>
              <w:spacing w:lineRule="auto" w:line="288" w:before="0" w:after="0"/>
              <w:jc w:val="center"/>
              <w:rPr>
                <w:rFonts w:ascii="ITC Avant Garde Pro Md;sans-serif" w:hAnsi="ITC Avant Garde Pro Md;sans-serif"/>
                <w:b w:val="false"/>
                <w:color w:val="000000"/>
                <w:sz w:val="17"/>
              </w:rPr>
            </w:pPr>
            <w:r>
              <w:rPr>
                <w:rFonts w:ascii="ITC Avant Garde Pro Md;sans-serif" w:hAnsi="ITC Avant Garde Pro Md;sans-serif"/>
                <w:b w:val="false"/>
                <w:color w:val="000000"/>
                <w:sz w:val="17"/>
              </w:rPr>
              <w:t>New business revenue from referral channels</w:t>
            </w:r>
          </w:p>
        </w:tc>
        <w:tc>
          <w:tcPr>
            <w:tcW w:w="5873" w:type="dxa"/>
            <w:gridSpan w:val="3"/>
            <w:tcBorders>
              <w:left w:val="single" w:sz="4" w:space="0" w:color="888788"/>
            </w:tcBorders>
            <w:tcMar>
              <w:top w:w="0" w:type="dxa"/>
              <w:bottom w:w="0" w:type="dxa"/>
              <w:right w:w="0" w:type="dxa"/>
            </w:tcMar>
            <w:vAlign w:val="center"/>
          </w:tcPr>
          <w:p>
            <w:pPr>
              <w:pStyle w:val="TableContents"/>
              <w:bidi w:val="0"/>
              <w:spacing w:lineRule="auto" w:line="288" w:before="0" w:after="0"/>
              <w:jc w:val="center"/>
              <w:rPr>
                <w:rFonts w:ascii="ITC Avant Garde Pro Bk;sans-serif" w:hAnsi="ITC Avant Garde Pro Bk;sans-serif"/>
                <w:b/>
                <w:color w:val="F78D2D"/>
                <w:sz w:val="36"/>
              </w:rPr>
            </w:pPr>
            <w:r>
              <w:rPr>
                <w:rFonts w:ascii="ITC Avant Garde Pro Bk;sans-serif" w:hAnsi="ITC Avant Garde Pro Bk;sans-serif"/>
                <w:b/>
                <w:color w:val="F78D2D"/>
                <w:sz w:val="36"/>
              </w:rPr>
              <w:t>92%+</w:t>
            </w:r>
          </w:p>
          <w:p>
            <w:pPr>
              <w:pStyle w:val="TableContents"/>
              <w:bidi w:val="0"/>
              <w:spacing w:lineRule="auto" w:line="312" w:before="0" w:after="0"/>
              <w:jc w:val="center"/>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Revenue retention</w:t>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4" w:space="0" w:color="8887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op w:val="single" w:sz="4" w:space="0" w:color="8887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ITC Avant Garde Pro Bk;sans-serif" w:hAnsi="ITC Avant Garde Pro Bk;sans-serif"/>
                <w:b/>
                <w:color w:val="F78D2D"/>
                <w:sz w:val="36"/>
              </w:rPr>
            </w:pPr>
            <w:r>
              <w:rPr>
                <w:rFonts w:ascii="ITC Avant Garde Pro Bk;sans-serif" w:hAnsi="ITC Avant Garde Pro Bk;sans-serif"/>
                <w:b/>
                <w:color w:val="F78D2D"/>
                <w:sz w:val="36"/>
              </w:rPr>
              <w:t>37.0%</w:t>
            </w:r>
          </w:p>
          <w:p>
            <w:pPr>
              <w:pStyle w:val="TableContents"/>
              <w:bidi w:val="0"/>
              <w:spacing w:lineRule="auto" w:line="312" w:before="0" w:after="0"/>
              <w:jc w:val="center"/>
              <w:rPr/>
            </w:pPr>
            <w:r>
              <w:rPr>
                <w:rFonts w:ascii="ITC Avant Garde Pro Md;sans-serif" w:hAnsi="ITC Avant Garde Pro Md;sans-serif"/>
                <w:b w:val="false"/>
                <w:color w:val="000000"/>
                <w:sz w:val="17"/>
              </w:rPr>
              <w:t>Adjusted EBITDA</w:t>
            </w:r>
            <w:r>
              <w:rPr>
                <w:rFonts w:ascii="ITC Avant Garde Pro Md;sans-serif" w:hAnsi="ITC Avant Garde Pro Md;sans-serif"/>
                <w:b w:val="false"/>
                <w:color w:val="313D48"/>
                <w:sz w:val="17"/>
              </w:rPr>
              <w:br/>
            </w:r>
            <w:r>
              <w:rPr>
                <w:rFonts w:ascii="ITC Avant Garde Pro Md;sans-serif" w:hAnsi="ITC Avant Garde Pro Md;sans-serif"/>
                <w:b w:val="false"/>
                <w:color w:val="000000"/>
                <w:sz w:val="17"/>
              </w:rPr>
              <w:t>margin*</w:t>
            </w:r>
          </w:p>
        </w:tc>
        <w:tc>
          <w:tcPr>
            <w:tcW w:w="5873" w:type="dxa"/>
            <w:gridSpan w:val="3"/>
            <w:tcBorders>
              <w:left w:val="single" w:sz="4" w:space="0" w:color="888788"/>
            </w:tcBorders>
            <w:tcMar>
              <w:top w:w="0" w:type="dxa"/>
              <w:bottom w:w="0" w:type="dxa"/>
              <w:right w:w="0" w:type="dxa"/>
            </w:tcMar>
            <w:vAlign w:val="center"/>
          </w:tcPr>
          <w:p>
            <w:pPr>
              <w:pStyle w:val="TableContents"/>
              <w:bidi w:val="0"/>
              <w:spacing w:lineRule="auto" w:line="288" w:before="0" w:after="0"/>
              <w:jc w:val="center"/>
              <w:rPr>
                <w:rFonts w:ascii="ITC Avant Garde Pro Bk;sans-serif" w:hAnsi="ITC Avant Garde Pro Bk;sans-serif"/>
                <w:b/>
                <w:color w:val="F78D2D"/>
                <w:sz w:val="36"/>
              </w:rPr>
            </w:pPr>
            <w:r>
              <w:rPr>
                <w:rFonts w:ascii="ITC Avant Garde Pro Bk;sans-serif" w:hAnsi="ITC Avant Garde Pro Bk;sans-serif"/>
                <w:b/>
                <w:color w:val="F78D2D"/>
                <w:sz w:val="36"/>
              </w:rPr>
              <w:t>32.4%</w:t>
            </w:r>
          </w:p>
          <w:p>
            <w:pPr>
              <w:pStyle w:val="TableContents"/>
              <w:bidi w:val="0"/>
              <w:spacing w:lineRule="auto" w:line="312" w:before="0" w:after="0"/>
              <w:jc w:val="center"/>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Adjusted EBITDA excluding interest income on funds held for clients margin*</w:t>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4" w:space="0" w:color="8887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top w:val="single" w:sz="4" w:space="0" w:color="8887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ITC Avant Garde Pro Bk;sans-serif" w:hAnsi="ITC Avant Garde Pro Bk;sans-serif"/>
                <w:b/>
                <w:color w:val="F78D2D"/>
                <w:sz w:val="36"/>
              </w:rPr>
            </w:pPr>
            <w:r>
              <w:rPr>
                <w:rFonts w:ascii="ITC Avant Garde Pro Bk;sans-serif" w:hAnsi="ITC Avant Garde Pro Bk;sans-serif"/>
                <w:b/>
                <w:color w:val="F78D2D"/>
                <w:sz w:val="36"/>
              </w:rPr>
              <w:t>24.2%</w:t>
            </w:r>
          </w:p>
          <w:p>
            <w:pPr>
              <w:pStyle w:val="TableContents"/>
              <w:bidi w:val="0"/>
              <w:spacing w:lineRule="auto" w:line="288" w:before="0" w:after="0"/>
              <w:jc w:val="center"/>
              <w:rPr>
                <w:rFonts w:ascii="ITC Avant Garde Pro Md;sans-serif" w:hAnsi="ITC Avant Garde Pro Md;sans-serif"/>
                <w:b w:val="false"/>
                <w:color w:val="000000"/>
                <w:sz w:val="17"/>
              </w:rPr>
            </w:pPr>
            <w:r>
              <w:rPr>
                <w:rFonts w:ascii="ITC Avant Garde Pro Md;sans-serif" w:hAnsi="ITC Avant Garde Pro Md;sans-serif"/>
                <w:b w:val="false"/>
                <w:color w:val="000000"/>
                <w:sz w:val="17"/>
              </w:rPr>
              <w:t>Free cash flow margin*</w:t>
            </w:r>
          </w:p>
        </w:tc>
        <w:tc>
          <w:tcPr>
            <w:tcW w:w="5873" w:type="dxa"/>
            <w:gridSpan w:val="3"/>
            <w:tcBorders>
              <w:left w:val="single" w:sz="4" w:space="0" w:color="888788"/>
            </w:tcBorders>
            <w:tcMar>
              <w:top w:w="0" w:type="dxa"/>
              <w:bottom w:w="0" w:type="dxa"/>
              <w:right w:w="0" w:type="dxa"/>
            </w:tcMar>
            <w:vAlign w:val="center"/>
          </w:tcPr>
          <w:p>
            <w:pPr>
              <w:pStyle w:val="TableContents"/>
              <w:bidi w:val="0"/>
              <w:spacing w:lineRule="auto" w:line="288" w:before="0" w:after="0"/>
              <w:jc w:val="center"/>
              <w:rPr>
                <w:rFonts w:ascii="ITC Avant Garde Pro Bk;sans-serif" w:hAnsi="ITC Avant Garde Pro Bk;sans-serif"/>
                <w:b/>
                <w:color w:val="F78D2D"/>
                <w:sz w:val="36"/>
              </w:rPr>
            </w:pPr>
            <w:r>
              <w:rPr>
                <w:rFonts w:ascii="ITC Avant Garde Pro Bk;sans-serif" w:hAnsi="ITC Avant Garde Pro Bk;sans-serif"/>
                <w:b/>
                <w:color w:val="F78D2D"/>
                <w:sz w:val="36"/>
              </w:rPr>
              <w:t>18.6%</w:t>
            </w:r>
          </w:p>
          <w:p>
            <w:pPr>
              <w:pStyle w:val="TableContents"/>
              <w:bidi w:val="0"/>
              <w:spacing w:lineRule="auto" w:line="312" w:before="0" w:after="0"/>
              <w:jc w:val="center"/>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Free cash flow excluding interest income on funds held for clients margin*</w:t>
            </w:r>
          </w:p>
        </w:tc>
        <w:tc>
          <w:tcPr>
            <w:tcW w:w="376" w:type="dxa"/>
            <w:gridSpan w:val="3"/>
            <w:tcBorders>
              <w:right w:val="single" w:sz="8" w:space="0" w:color="F78D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78D2D"/>
              <w:bottom w:val="single" w:sz="8" w:space="0" w:color="F78D2D"/>
            </w:tcBorders>
            <w:tcMar>
              <w:top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bottom w:val="single" w:sz="8" w:space="0" w:color="F78D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3"/>
            <w:tcBorders>
              <w:bottom w:val="single" w:sz="8" w:space="0" w:color="F78D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F78D2D"/>
              <w:right w:val="single" w:sz="8" w:space="0" w:color="F78D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    Adjusted EBITDA, Adjusted EBITDA margin, Adjusted EBITDA excluding interest income on funds held for clients, Adjusted EBITDA excluding interest income on funds held for clients margin, free cash flow, free cash flow margin, free cash flow excluding interest income on funds held for clients and free cash flow excluding interest income on funds held for clients margin are non-GAAP financial measures. For information on these measures, including the reconciliation of these non-GAAP financial measures to their most direct comparable GAAP financial measures, please see "Appendix A: Non-GAAP Financial Measures."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further extended our platform beyond traditional HCM with additional finance and IT capabilities. We released Paylocity for Retirement and Elevate Solutions offerings and also introduced Ignite AI, with purpose-built agents in areas like pay, time, and recruiting to deliver greater automation, productivity, and insights across the platform. The launches of these solutions strengthened our ability to help organizations operate more efficiently while creating better experiences for HR teams, business leaders, and employees.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also expanded our sales force, referral channels, and brand presence throughout fiscal 2026. These initiatives resulted in a 7% increase in our client base, ending the year with 44,400 clients. We also maintained our revenue retention above 92%, reflecting the strength of our client relationships, service excellence, and the strategic value we provide to our clients.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28650"/>
                <wp:effectExtent l="0" t="0" r="0" b="0"/>
                <wp:wrapNone/>
                <wp:docPr id="95"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Fiscal 2026 Executive Compensation Highlights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key compensation actions were taken with respect to the named executive officers for fiscal 2026:</w:t>
      </w:r>
    </w:p>
    <w:p>
      <w:pPr>
        <w:pStyle w:val="TextBody"/>
        <w:bidi w:val="0"/>
        <w:spacing w:lineRule="auto" w:line="312" w:before="80" w:after="80"/>
        <w:ind w:left="0" w:right="0" w:hanging="216"/>
        <w:jc w:val="left"/>
        <w:rPr/>
      </w:pPr>
      <w:r>
        <w:rPr>
          <w:color w:val="EE2626"/>
        </w:rPr>
        <w:t>•</w:t>
      </w:r>
      <w:r>
        <w:rPr>
          <w:rFonts w:ascii="ITC Avant Garde Pro Bk;sans-serif" w:hAnsi="ITC Avant Garde Pro Bk;sans-serif"/>
          <w:b/>
          <w:color w:val="F58D2D"/>
          <w:sz w:val="17"/>
        </w:rPr>
        <w:t>Base Salaries:</w:t>
      </w:r>
      <w:r>
        <w:rPr>
          <w:color w:val="313E48"/>
        </w:rPr>
        <w:t xml:space="preserve"> </w:t>
      </w:r>
      <w:r>
        <w:rPr>
          <w:rFonts w:ascii="ITC Avant Garde Pro Md;sans-serif" w:hAnsi="ITC Avant Garde Pro Md;sans-serif"/>
          <w:b w:val="false"/>
          <w:color w:val="313E48"/>
          <w:sz w:val="17"/>
        </w:rPr>
        <w:t>We adjusted the base salaries of our named executive officers in order to appropriately compensate them given the competitive market and their role in achieving company performance.</w:t>
      </w:r>
    </w:p>
    <w:p>
      <w:pPr>
        <w:pStyle w:val="TextBody"/>
        <w:bidi w:val="0"/>
        <w:spacing w:lineRule="auto" w:line="312" w:before="80" w:after="80"/>
        <w:ind w:left="0" w:right="0" w:hanging="216"/>
        <w:jc w:val="left"/>
        <w:rPr/>
      </w:pPr>
      <w:r>
        <w:rPr>
          <w:color w:val="EE2724"/>
        </w:rPr>
        <w:t>•</w:t>
      </w:r>
      <w:r>
        <w:rPr>
          <w:rFonts w:ascii="ITC Avant Garde Pro Bk;sans-serif" w:hAnsi="ITC Avant Garde Pro Bk;sans-serif"/>
          <w:b/>
          <w:color w:val="F58D2D"/>
          <w:sz w:val="17"/>
        </w:rPr>
        <w:t>Annual Cash Bonuses:</w:t>
      </w:r>
      <w:r>
        <w:rPr>
          <w:color w:val="313E48"/>
        </w:rPr>
        <w:t xml:space="preserve"> </w:t>
      </w:r>
      <w:r>
        <w:rPr>
          <w:rFonts w:ascii="ITC Avant Garde Pro Md;sans-serif" w:hAnsi="ITC Avant Garde Pro Md;sans-serif"/>
          <w:b w:val="false"/>
          <w:color w:val="313E48"/>
          <w:sz w:val="17"/>
        </w:rPr>
        <w:t xml:space="preserve">The target bonus opportunities as a percentage of base salaries remained the same for our named executive officers as compared to the prior year. We paid annual cash bonuses to each of our named executive officers to encourage them to focus on the achievement of key short-term business objectives and reward achievement of the corporate performance objectives which were based on Recurring and other revenue and Adjusted EBITDA. </w:t>
      </w:r>
      <w:r>
        <w:rPr>
          <w:rFonts w:ascii="ITC Avant Garde Pro Md;sans-serif" w:hAnsi="ITC Avant Garde Pro Md;sans-serif"/>
          <w:b w:val="false"/>
          <w:color w:val="313D48"/>
          <w:sz w:val="17"/>
        </w:rPr>
        <w:t>Refer to the section titled "Variable Compensation Under Our Annual Bonus Plan" for further details regarding the bonus targets and performance achievement.</w:t>
      </w:r>
    </w:p>
    <w:p>
      <w:pPr>
        <w:pStyle w:val="TextBody"/>
        <w:bidi w:val="0"/>
        <w:spacing w:lineRule="auto" w:line="312" w:before="80" w:after="80"/>
        <w:ind w:left="0" w:right="0" w:hanging="216"/>
        <w:jc w:val="left"/>
        <w:rPr/>
      </w:pPr>
      <w:r>
        <w:rPr>
          <w:color w:val="EE2724"/>
        </w:rPr>
        <w:t>•</w:t>
      </w:r>
      <w:r>
        <w:rPr>
          <w:rFonts w:ascii="ITC Avant Garde Pro Bk;sans-serif" w:hAnsi="ITC Avant Garde Pro Bk;sans-serif"/>
          <w:b/>
          <w:color w:val="F58D2D"/>
          <w:sz w:val="17"/>
        </w:rPr>
        <w:t xml:space="preserve">Long-Term Equity Incentive Compensation: </w:t>
      </w:r>
      <w:r>
        <w:rPr>
          <w:rFonts w:ascii="ITC Avant Garde Pro Md;sans-serif" w:hAnsi="ITC Avant Garde Pro Md;sans-serif"/>
          <w:b w:val="false"/>
          <w:color w:val="313E48"/>
          <w:sz w:val="17"/>
        </w:rPr>
        <w:t xml:space="preserve">We granted time-based restricted stock units (“RSUs”), performance stock units ("PSUs") and market stock units (“MSUs”) in order to incentivize our named executive officers to focus on increases in stockholder value and achievement of corporate objectives. In fiscal 2026, the grants of RSUs to our CEO and CFO included both two-year vesting and four-year vesting RSUs. Refer to the section titled "Equity Compensation" for additional details about the two-year vesting RSUs, performance measures and actual achievements for PSUs and MSUs. </w:t>
      </w:r>
    </w:p>
    <w:p>
      <w:pPr>
        <w:pStyle w:val="TextBody"/>
        <w:bidi w:val="0"/>
        <w:spacing w:lineRule="auto" w:line="312" w:before="80" w:after="80"/>
        <w:ind w:left="0" w:right="0" w:hanging="216"/>
        <w:jc w:val="left"/>
        <w:rPr/>
      </w:pPr>
      <w:r>
        <w:rPr>
          <w:color w:val="EE2626"/>
        </w:rPr>
        <w:t>•</w:t>
      </w:r>
      <w:r>
        <w:rPr>
          <w:rFonts w:ascii="ITC Avant Garde Pro Bk;sans-serif" w:hAnsi="ITC Avant Garde Pro Bk;sans-serif"/>
          <w:b/>
          <w:color w:val="F58D2D"/>
          <w:sz w:val="17"/>
        </w:rPr>
        <w:t>Share Ownership Guidelines:</w:t>
      </w:r>
      <w:r>
        <w:rPr>
          <w:color w:val="313E48"/>
        </w:rPr>
        <w:t xml:space="preserve"> </w:t>
      </w:r>
      <w:r>
        <w:rPr>
          <w:rFonts w:ascii="ITC Avant Garde Pro Md;sans-serif" w:hAnsi="ITC Avant Garde Pro Md;sans-serif"/>
          <w:b w:val="false"/>
          <w:color w:val="313E48"/>
          <w:sz w:val="17"/>
        </w:rPr>
        <w:t>We maintain stock ownership guidelines for our named executive officers in order to promote the alignment of their long-term interests with our stockholders. In July 2025, our board of directors increased these guidelines for our CEO from four times to six times his base salary to further align the CEO's interests with those of our stockholders.</w:t>
      </w:r>
    </w:p>
    <w:p>
      <w:pPr>
        <w:pStyle w:val="TextBody"/>
        <w:bidi w:val="0"/>
        <w:spacing w:lineRule="auto" w:line="312" w:before="80" w:after="80"/>
        <w:ind w:left="0" w:right="0" w:hanging="216"/>
        <w:jc w:val="left"/>
        <w:rPr/>
      </w:pPr>
      <w:r>
        <w:rPr>
          <w:color w:val="EE2626"/>
        </w:rPr>
        <w:t>•</w:t>
      </w:r>
      <w:r>
        <w:rPr>
          <w:rFonts w:ascii="ITC Avant Garde Pro Bk;sans-serif" w:hAnsi="ITC Avant Garde Pro Bk;sans-serif"/>
          <w:b/>
          <w:color w:val="F58D2D"/>
          <w:sz w:val="17"/>
        </w:rPr>
        <w:t>Stockholder Feedback:</w:t>
      </w:r>
      <w:r>
        <w:rPr>
          <w:color w:val="313E48"/>
        </w:rPr>
        <w:t xml:space="preserve"> </w:t>
      </w:r>
      <w:r>
        <w:rPr>
          <w:rFonts w:ascii="ITC Avant Garde Pro Md;sans-serif" w:hAnsi="ITC Avant Garde Pro Md;sans-serif"/>
          <w:b w:val="false"/>
          <w:color w:val="313E48"/>
          <w:sz w:val="17"/>
        </w:rPr>
        <w:t xml:space="preserve">We hold annual non-binding advisory stockholder votes on the compensation program for our named executive officers commonly referred to as a “say on pay” vote. We received 93.1% of votes in favor of our say on pay proposal at the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7"/>
        </w:rPr>
        <w:t xml:space="preserve">Annual Meeting of Stockholders. The Committee has considered and will continue to consider the outcome of our say on pay votes and our stockholders’ views when making compensation decisions for our named executive officers, including the outcomes of </w:t>
      </w:r>
      <w:r>
        <w:rPr>
          <w:color w:val="313E48"/>
        </w:rPr>
        <w:t>“</w:t>
      </w:r>
      <w:r>
        <w:rPr>
          <w:rFonts w:ascii="ITC Avant Garde Pro Md;sans-serif" w:hAnsi="ITC Avant Garde Pro Md;sans-serif"/>
          <w:b w:val="false"/>
          <w:i/>
          <w:color w:val="313E48"/>
          <w:sz w:val="17"/>
        </w:rPr>
        <w:t>Proposal No. 3 Advisory Vote to Approve the Compensation of our Named Executive Officers”</w:t>
      </w:r>
      <w:r>
        <w:rPr>
          <w:color w:val="313E48"/>
        </w:rPr>
        <w:t xml:space="preserve"> </w:t>
      </w:r>
      <w:r>
        <w:rPr>
          <w:rFonts w:ascii="ITC Avant Garde Pro Md;sans-serif" w:hAnsi="ITC Avant Garde Pro Md;sans-serif"/>
          <w:b w:val="false"/>
          <w:color w:val="313E48"/>
          <w:sz w:val="17"/>
        </w:rPr>
        <w:t>at this Annual Meeting.</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Compensation Philosophy and Objectives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Paylocity’s commitment to attracting, retaining and aligning talent with our business objectives is reflected in the total compensation program for our named executive officers. We provide a talent value proposition that motivates our named executive officers to contribute to the creativity, growth, profitability and performance of the Company.</w:t>
      </w:r>
    </w:p>
    <w:tbl>
      <w:tblPr>
        <w:tblW w:w="10205" w:type="dxa"/>
        <w:jc w:val="left"/>
        <w:tblInd w:w="0" w:type="dxa"/>
        <w:tblLayout w:type="fixed"/>
        <w:tblCellMar>
          <w:top w:w="28" w:type="dxa"/>
          <w:left w:w="28" w:type="dxa"/>
          <w:bottom w:w="28" w:type="dxa"/>
          <w:right w:w="28" w:type="dxa"/>
        </w:tblCellMar>
      </w:tblPr>
      <w:tblGrid>
        <w:gridCol w:w="3265"/>
        <w:gridCol w:w="2866"/>
        <w:gridCol w:w="4074"/>
      </w:tblGrid>
      <w:tr>
        <w:trPr/>
        <w:tc>
          <w:tcPr>
            <w:tcW w:w="3265"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CFCAC4"/>
              <w:left w:val="single" w:sz="4" w:space="0" w:color="939598"/>
              <w:right w:val="single" w:sz="4" w:space="0" w:color="939598"/>
            </w:tcBorders>
            <w:shd w:fill="F2F1EB" w:val="clear"/>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4" w:space="0" w:color="939598"/>
              <w:right w:val="single" w:sz="4" w:space="0" w:color="939598"/>
            </w:tcBorders>
            <w:shd w:fill="F2F1EB" w:val="clear"/>
            <w:tcMar>
              <w:top w:w="0" w:type="dxa"/>
              <w:bottom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Our objective is to:</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attract and retain the talent needed to grow the Company’s business;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provide a strong incentive for executives and key employees to work toward the achievement of the Company’s goals, including long-term revenue growth and sustained value creation; and</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ensure that the interests of management and the Company’s stockholders are aligned.</w:t>
            </w:r>
          </w:p>
        </w:tc>
      </w:tr>
      <w:tr>
        <w:trPr/>
        <w:tc>
          <w:tcPr>
            <w:tcW w:w="10205" w:type="dxa"/>
            <w:gridSpan w:val="3"/>
            <w:tcBorders>
              <w:left w:val="single" w:sz="4" w:space="0" w:color="939598"/>
              <w:bottom w:val="single" w:sz="8" w:space="0" w:color="CFCAC4"/>
              <w:right w:val="single" w:sz="4" w:space="0" w:color="939598"/>
            </w:tcBorders>
            <w:shd w:fill="F2F1EB"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ITC Avant Garde Pro Md;sans-serif" w:hAnsi="ITC Avant Garde Pro Md;sans-serif"/>
          <w:b w:val="false"/>
          <w:color w:val="313D48"/>
          <w:sz w:val="17"/>
        </w:rPr>
        <w:t>We seek to achieve these objectives by providing compensation that is competitive with the practices of peer group technology companies and linking rewards to Company performance. Our</w:t>
      </w:r>
      <w:r>
        <w:rPr>
          <w:color w:val="344049"/>
        </w:rPr>
        <w:t xml:space="preserve"> </w:t>
      </w:r>
      <w:r>
        <w:rPr>
          <w:rFonts w:ascii="ITC Avant Garde Pro Md;sans-serif" w:hAnsi="ITC Avant Garde Pro Md;sans-serif"/>
          <w:b w:val="false"/>
          <w:color w:val="344049"/>
          <w:sz w:val="17"/>
        </w:rPr>
        <w:t>incentives are designed to motivate our named executive officers to increase long-term stockholder value in alignment with stockholders’ interests.</w:t>
      </w:r>
    </w:p>
    <w:p>
      <w:pPr>
        <w:pStyle w:val="TextBody"/>
        <w:bidi w:val="0"/>
        <w:spacing w:lineRule="auto" w:line="312" w:before="80" w:after="8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Within this framework, we observe the following principles:</w:t>
      </w:r>
    </w:p>
    <w:p>
      <w:pPr>
        <w:pStyle w:val="TextBody"/>
        <w:bidi w:val="0"/>
        <w:spacing w:lineRule="auto" w:line="312" w:before="80" w:after="80"/>
        <w:ind w:left="0" w:right="0" w:hanging="288"/>
        <w:jc w:val="left"/>
        <w:rPr/>
      </w:pPr>
      <w:r>
        <w:rPr>
          <w:rFonts w:ascii="ITC Avant Garde Pro Bk;sans-serif" w:hAnsi="ITC Avant Garde Pro Bk;sans-serif"/>
          <w:b/>
          <w:color w:val="ED2326"/>
          <w:sz w:val="17"/>
        </w:rPr>
        <w:t>1.</w:t>
      </w:r>
      <w:r>
        <w:rPr>
          <w:rFonts w:ascii="ITC Avant Garde Pro Bk;sans-serif" w:hAnsi="ITC Avant Garde Pro Bk;sans-serif"/>
          <w:b/>
          <w:color w:val="344049"/>
          <w:sz w:val="17"/>
        </w:rPr>
        <w:t xml:space="preserve">Attract, motivate and retain top-caliber talent: </w:t>
      </w:r>
      <w:r>
        <w:rPr>
          <w:rFonts w:ascii="ITC Avant Garde Pro Md;sans-serif" w:hAnsi="ITC Avant Garde Pro Md;sans-serif"/>
          <w:b w:val="false"/>
          <w:color w:val="344049"/>
          <w:sz w:val="17"/>
        </w:rPr>
        <w:t>Named executive officers should have market-competitive base salaries and employee benefits that permit us to hire and retain high-caliber individuals at all levels as we compete for talent nationally;</w:t>
      </w:r>
    </w:p>
    <w:p>
      <w:pPr>
        <w:pStyle w:val="TextBody"/>
        <w:bidi w:val="0"/>
        <w:spacing w:lineRule="auto" w:line="312" w:before="80" w:after="80"/>
        <w:ind w:left="0" w:right="0" w:hanging="288"/>
        <w:jc w:val="left"/>
        <w:rPr/>
      </w:pPr>
      <w:r>
        <w:rPr>
          <w:rFonts w:ascii="ITC Avant Garde Pro Bk;sans-serif" w:hAnsi="ITC Avant Garde Pro Bk;sans-serif"/>
          <w:b/>
          <w:color w:val="ED2326"/>
          <w:sz w:val="17"/>
        </w:rPr>
        <w:t>2.</w:t>
      </w:r>
      <w:r>
        <w:rPr>
          <w:rFonts w:ascii="ITC Avant Garde Pro Bk;sans-serif" w:hAnsi="ITC Avant Garde Pro Bk;sans-serif"/>
          <w:b/>
          <w:color w:val="344049"/>
          <w:sz w:val="17"/>
        </w:rPr>
        <w:t xml:space="preserve">Pay for performance: </w:t>
      </w:r>
      <w:r>
        <w:rPr>
          <w:rFonts w:ascii="ITC Avant Garde Pro Md;sans-serif" w:hAnsi="ITC Avant Garde Pro Md;sans-serif"/>
          <w:b w:val="false"/>
          <w:color w:val="344049"/>
          <w:sz w:val="17"/>
        </w:rPr>
        <w:t>A significant portion of the annual compensation of our named executive officers should depend on the level of achievement of performance-based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25170"/>
                <wp:effectExtent l="0" t="0" r="0" b="0"/>
                <wp:wrapNone/>
                <wp:docPr id="96" name="Frame3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12" w:before="80" w:after="80"/>
        <w:ind w:left="0" w:right="0" w:hanging="288"/>
        <w:jc w:val="left"/>
        <w:rPr/>
      </w:pPr>
      <w:r>
        <w:rPr>
          <w:rFonts w:ascii="ITC Avant Garde Pro Bk;sans-serif" w:hAnsi="ITC Avant Garde Pro Bk;sans-serif"/>
          <w:b/>
          <w:color w:val="ED2326"/>
          <w:sz w:val="17"/>
        </w:rPr>
        <w:t>3.</w:t>
      </w:r>
      <w:r>
        <w:rPr>
          <w:rFonts w:ascii="ITC Avant Garde Pro Bk;sans-serif" w:hAnsi="ITC Avant Garde Pro Bk;sans-serif"/>
          <w:b/>
          <w:color w:val="344049"/>
          <w:sz w:val="17"/>
        </w:rPr>
        <w:t>Reward long-term growth and sustained value creation:</w:t>
      </w:r>
      <w:r>
        <w:rPr>
          <w:color w:val="344049"/>
        </w:rPr>
        <w:t xml:space="preserve"> </w:t>
      </w:r>
      <w:r>
        <w:rPr>
          <w:rFonts w:ascii="ITC Avant Garde Pro Md;sans-serif" w:hAnsi="ITC Avant Garde Pro Md;sans-serif"/>
          <w:b w:val="false"/>
          <w:color w:val="344049"/>
          <w:sz w:val="17"/>
        </w:rPr>
        <w:t>Named executive officers should be rewarded for achieving long-term results, and such rewards should be aligned with the interests of our stockholders;</w:t>
      </w:r>
    </w:p>
    <w:p>
      <w:pPr>
        <w:pStyle w:val="TextBody"/>
        <w:bidi w:val="0"/>
        <w:spacing w:lineRule="auto" w:line="312" w:before="80" w:after="80"/>
        <w:ind w:left="0" w:right="0" w:hanging="288"/>
        <w:jc w:val="left"/>
        <w:rPr/>
      </w:pPr>
      <w:r>
        <w:rPr>
          <w:rFonts w:ascii="ITC Avant Garde Pro Bk;sans-serif" w:hAnsi="ITC Avant Garde Pro Bk;sans-serif"/>
          <w:b/>
          <w:color w:val="ED2326"/>
          <w:sz w:val="17"/>
        </w:rPr>
        <w:t>4.</w:t>
      </w:r>
      <w:r>
        <w:rPr>
          <w:rFonts w:ascii="ITC Avant Garde Pro Bk;sans-serif" w:hAnsi="ITC Avant Garde Pro Bk;sans-serif"/>
          <w:b/>
          <w:color w:val="344049"/>
          <w:sz w:val="17"/>
        </w:rPr>
        <w:t xml:space="preserve">Align compensation with stockholder interests: </w:t>
      </w:r>
      <w:r>
        <w:rPr>
          <w:rFonts w:ascii="ITC Avant Garde Pro Md;sans-serif" w:hAnsi="ITC Avant Garde Pro Md;sans-serif"/>
          <w:b w:val="false"/>
          <w:color w:val="344049"/>
          <w:sz w:val="17"/>
        </w:rPr>
        <w:t>The interests of our named executive officers should be linked with those of our stockholders through the risks and rewards of the ownership of our common stock; and</w:t>
      </w:r>
    </w:p>
    <w:p>
      <w:pPr>
        <w:pStyle w:val="TextBody"/>
        <w:bidi w:val="0"/>
        <w:spacing w:lineRule="auto" w:line="312" w:before="80" w:after="80"/>
        <w:ind w:left="0" w:right="0" w:hanging="288"/>
        <w:jc w:val="left"/>
        <w:rPr/>
      </w:pPr>
      <w:r>
        <w:rPr>
          <w:rFonts w:ascii="ITC Avant Garde Pro Bk;sans-serif" w:hAnsi="ITC Avant Garde Pro Bk;sans-serif"/>
          <w:b/>
          <w:color w:val="ED2326"/>
          <w:sz w:val="17"/>
        </w:rPr>
        <w:t>5.</w:t>
      </w:r>
      <w:r>
        <w:rPr>
          <w:rFonts w:ascii="ITC Avant Garde Pro Bk;sans-serif" w:hAnsi="ITC Avant Garde Pro Bk;sans-serif"/>
          <w:b/>
          <w:color w:val="344049"/>
          <w:sz w:val="17"/>
        </w:rPr>
        <w:t>Promote accountability; discourage excessive or inappropriate risk-taking:</w:t>
      </w:r>
      <w:r>
        <w:rPr>
          <w:color w:val="344049"/>
        </w:rPr>
        <w:t xml:space="preserve"> </w:t>
      </w:r>
      <w:r>
        <w:rPr>
          <w:rFonts w:ascii="ITC Avant Garde Pro Md;sans-serif" w:hAnsi="ITC Avant Garde Pro Md;sans-serif"/>
          <w:b w:val="false"/>
          <w:color w:val="344049"/>
          <w:sz w:val="17"/>
        </w:rPr>
        <w:t xml:space="preserve">Our compensation program discourages excessive risk-taking. The Company enforces this principle through the share-ownership requirements, as well as hedging and trading restrictions. The board of directors also adopted an executive compensation clawback policy that complies with Nasdaq Listing Rules and Rule 10D-1 under the Exchange Act. See </w:t>
      </w:r>
      <w:r>
        <w:rPr>
          <w:color w:val="344049"/>
        </w:rPr>
        <w:t>“</w:t>
      </w:r>
      <w:r>
        <w:rPr>
          <w:rFonts w:ascii="ITC Avant Garde Pro Md;sans-serif" w:hAnsi="ITC Avant Garde Pro Md;sans-serif"/>
          <w:b w:val="false"/>
          <w:i/>
          <w:color w:val="344049"/>
          <w:sz w:val="17"/>
        </w:rPr>
        <w:t>Compensation Discussion and Analysis – Other Compensation Policies – Compensation Recovery Policy”</w:t>
      </w:r>
      <w:r>
        <w:rPr>
          <w:color w:val="344049"/>
        </w:rPr>
        <w:t xml:space="preserve"> </w:t>
      </w:r>
      <w:r>
        <w:rPr>
          <w:rFonts w:ascii="ITC Avant Garde Pro Md;sans-serif" w:hAnsi="ITC Avant Garde Pro Md;sans-serif"/>
          <w:b w:val="false"/>
          <w:color w:val="344049"/>
          <w:sz w:val="17"/>
        </w:rPr>
        <w:t>for additional information about our clawback policy.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These principles are the foundation for a compensation framework that focuses management’s best efforts on achieving the Company’s goals and generating sustainable stockholder value.</w:t>
      </w:r>
    </w:p>
    <w:tbl>
      <w:tblPr>
        <w:tblW w:w="10205" w:type="dxa"/>
        <w:jc w:val="left"/>
        <w:tblInd w:w="0" w:type="dxa"/>
        <w:tblLayout w:type="fixed"/>
        <w:tblCellMar>
          <w:top w:w="28" w:type="dxa"/>
          <w:left w:w="28" w:type="dxa"/>
          <w:bottom w:w="28" w:type="dxa"/>
          <w:right w:w="28" w:type="dxa"/>
        </w:tblCellMar>
      </w:tblPr>
      <w:tblGrid>
        <w:gridCol w:w="523"/>
        <w:gridCol w:w="461"/>
        <w:gridCol w:w="465"/>
        <w:gridCol w:w="1482"/>
        <w:gridCol w:w="1304"/>
        <w:gridCol w:w="1308"/>
        <w:gridCol w:w="109"/>
        <w:gridCol w:w="109"/>
        <w:gridCol w:w="109"/>
        <w:gridCol w:w="282"/>
        <w:gridCol w:w="282"/>
        <w:gridCol w:w="285"/>
        <w:gridCol w:w="1018"/>
        <w:gridCol w:w="1018"/>
        <w:gridCol w:w="1450"/>
      </w:tblGrid>
      <w:tr>
        <w:trPr/>
        <w:tc>
          <w:tcPr>
            <w:tcW w:w="52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D22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D22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344049"/>
              <w:left w:val="single" w:sz="8" w:space="0" w:color="344049"/>
            </w:tcBorders>
            <w:shd w:fill="344049" w:val="clear"/>
            <w:tcMar>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op w:val="single" w:sz="8" w:space="0" w:color="344049"/>
            </w:tcBorders>
            <w:shd w:fill="3440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D2232A"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33375" cy="266700"/>
                  <wp:effectExtent l="0" t="0" r="0" b="0"/>
                  <wp:docPr id="9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5" descr=""/>
                          <pic:cNvPicPr>
                            <a:picLocks noChangeAspect="1" noChangeArrowheads="1"/>
                          </pic:cNvPicPr>
                        </pic:nvPicPr>
                        <pic:blipFill>
                          <a:blip r:embed="rId66"/>
                          <a:stretch>
                            <a:fillRect/>
                          </a:stretch>
                        </pic:blipFill>
                        <pic:spPr bwMode="auto">
                          <a:xfrm>
                            <a:off x="0" y="0"/>
                            <a:ext cx="333375" cy="266700"/>
                          </a:xfrm>
                          <a:prstGeom prst="rect">
                            <a:avLst/>
                          </a:prstGeom>
                        </pic:spPr>
                      </pic:pic>
                    </a:graphicData>
                  </a:graphic>
                </wp:inline>
              </w:drawing>
            </w:r>
            <w:bookmarkStart w:id="64" w:name="i-65"/>
            <w:bookmarkEnd w:id="64"/>
          </w:p>
        </w:tc>
        <w:tc>
          <w:tcPr>
            <w:tcW w:w="4094" w:type="dxa"/>
            <w:gridSpan w:val="3"/>
            <w:tcBorders/>
            <w:shd w:fill="D2232A" w:val="clear"/>
            <w:tcMar>
              <w:top w:w="0" w:type="dxa"/>
              <w:left w:w="0" w:type="dxa"/>
              <w:bottom w:w="0" w:type="dxa"/>
              <w:right w:w="0" w:type="dxa"/>
            </w:tcMar>
            <w:vAlign w:val="center"/>
          </w:tcPr>
          <w:p>
            <w:pPr>
              <w:pStyle w:val="TableContents"/>
              <w:bidi w:val="0"/>
              <w:spacing w:lineRule="auto" w:line="240" w:before="40" w:after="40"/>
              <w:jc w:val="left"/>
              <w:rPr>
                <w:rFonts w:ascii="ITC Avant Garde Pro Bk;sans-serif" w:hAnsi="ITC Avant Garde Pro Bk;sans-serif"/>
                <w:b/>
                <w:color w:val="FFFFFF"/>
                <w:sz w:val="28"/>
              </w:rPr>
            </w:pPr>
            <w:r>
              <w:rPr>
                <w:rFonts w:ascii="ITC Avant Garde Pro Bk;sans-serif" w:hAnsi="ITC Avant Garde Pro Bk;sans-serif"/>
                <w:b/>
                <w:color w:val="FFFFFF"/>
                <w:sz w:val="2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left w:val="single" w:sz="8" w:space="0" w:color="344049"/>
            </w:tcBorders>
            <w:shd w:fill="344049" w:val="clear"/>
            <w:tcMar>
              <w:top w:w="0" w:type="dxa"/>
              <w:bottom w:w="0" w:type="dxa"/>
              <w:right w:w="0" w:type="dxa"/>
            </w:tcMar>
            <w:vAlign w:val="center"/>
          </w:tcPr>
          <w:p>
            <w:pPr>
              <w:pStyle w:val="TableContents"/>
              <w:bidi w:val="0"/>
              <w:spacing w:before="0" w:after="0"/>
              <w:jc w:val="left"/>
              <w:rPr/>
            </w:pPr>
            <w:r>
              <w:rPr/>
              <w:drawing>
                <wp:inline distT="0" distB="0" distL="0" distR="0">
                  <wp:extent cx="266700" cy="276225"/>
                  <wp:effectExtent l="0" t="0" r="0" b="0"/>
                  <wp:docPr id="9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6" descr=""/>
                          <pic:cNvPicPr>
                            <a:picLocks noChangeAspect="1" noChangeArrowheads="1"/>
                          </pic:cNvPicPr>
                        </pic:nvPicPr>
                        <pic:blipFill>
                          <a:blip r:embed="rId67"/>
                          <a:stretch>
                            <a:fillRect/>
                          </a:stretch>
                        </pic:blipFill>
                        <pic:spPr bwMode="auto">
                          <a:xfrm>
                            <a:off x="0" y="0"/>
                            <a:ext cx="266700" cy="276225"/>
                          </a:xfrm>
                          <a:prstGeom prst="rect">
                            <a:avLst/>
                          </a:prstGeom>
                        </pic:spPr>
                      </pic:pic>
                    </a:graphicData>
                  </a:graphic>
                </wp:inline>
              </w:drawing>
            </w:r>
            <w:bookmarkStart w:id="65" w:name="i-66"/>
            <w:bookmarkEnd w:id="65"/>
          </w:p>
        </w:tc>
        <w:tc>
          <w:tcPr>
            <w:tcW w:w="3486" w:type="dxa"/>
            <w:gridSpan w:val="3"/>
            <w:tcBorders/>
            <w:shd w:fill="344049" w:val="clear"/>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FFFFF"/>
                <w:sz w:val="28"/>
              </w:rPr>
            </w:pPr>
            <w:r>
              <w:rPr>
                <w:rFonts w:ascii="ITC Avant Garde Pro Bk;sans-serif" w:hAnsi="ITC Avant Garde Pro Bk;sans-serif"/>
                <w:b/>
                <w:color w:val="FFFFFF"/>
                <w:sz w:val="28"/>
              </w:rPr>
              <w:t>What We Don’t Do</w:t>
            </w:r>
          </w:p>
        </w:tc>
      </w:tr>
      <w:tr>
        <w:trPr/>
        <w:tc>
          <w:tcPr>
            <w:tcW w:w="1449"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6"/>
            <w:vMerge w:val="restart"/>
            <w:tcBorders/>
            <w:shd w:fill="F2F1EB" w:val="clear"/>
            <w:tcMar>
              <w:top w:w="0" w:type="dxa"/>
              <w:left w:w="0" w:type="dxa"/>
              <w:bottom w:w="0" w:type="dxa"/>
              <w:right w:w="0" w:type="dxa"/>
            </w:tcMar>
            <w:vAlign w:val="center"/>
          </w:tcPr>
          <w:p>
            <w:pPr>
              <w:pStyle w:val="TableContents"/>
              <w:bidi w:val="0"/>
              <w:spacing w:lineRule="auto" w:line="312" w:before="80" w:after="80"/>
              <w:ind w:left="0" w:right="0" w:hanging="216"/>
              <w:jc w:val="left"/>
              <w:rPr/>
            </w:pPr>
            <w:r>
              <w:rPr/>
              <w:drawing>
                <wp:inline distT="0" distB="0" distL="0" distR="0">
                  <wp:extent cx="76200" cy="66675"/>
                  <wp:effectExtent l="0" t="0" r="0" b="0"/>
                  <wp:docPr id="9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7" descr=""/>
                          <pic:cNvPicPr>
                            <a:picLocks noChangeAspect="1" noChangeArrowheads="1"/>
                          </pic:cNvPicPr>
                        </pic:nvPicPr>
                        <pic:blipFill>
                          <a:blip r:embed="rId68"/>
                          <a:stretch>
                            <a:fillRect/>
                          </a:stretch>
                        </pic:blipFill>
                        <pic:spPr bwMode="auto">
                          <a:xfrm>
                            <a:off x="0" y="0"/>
                            <a:ext cx="76200" cy="66675"/>
                          </a:xfrm>
                          <a:prstGeom prst="rect">
                            <a:avLst/>
                          </a:prstGeom>
                        </pic:spPr>
                      </pic:pic>
                    </a:graphicData>
                  </a:graphic>
                </wp:inline>
              </w:drawing>
            </w:r>
            <w:bookmarkStart w:id="66" w:name="i-67"/>
            <w:bookmarkEnd w:id="66"/>
            <w:r>
              <w:rPr>
                <w:color w:val="344049"/>
              </w:rPr>
              <w:t>  </w:t>
            </w:r>
            <w:r>
              <w:rPr>
                <w:rFonts w:ascii="ITC Avant Garde Pro Bk;sans-serif" w:hAnsi="ITC Avant Garde Pro Bk;sans-serif"/>
                <w:b/>
                <w:color w:val="344049"/>
                <w:sz w:val="17"/>
              </w:rPr>
              <w:t>Pay for Performance</w:t>
            </w:r>
            <w:r>
              <w:rPr>
                <w:color w:val="344049"/>
              </w:rPr>
              <w:t xml:space="preserve"> – </w:t>
            </w:r>
            <w:r>
              <w:rPr>
                <w:rFonts w:ascii="ITC Avant Garde Pro Md;sans-serif" w:hAnsi="ITC Avant Garde Pro Md;sans-serif"/>
                <w:b w:val="false"/>
                <w:color w:val="344049"/>
                <w:sz w:val="17"/>
              </w:rPr>
              <w:t>a significant portion of our executive compensation program is not guaranteed and is dependent upon stock price appreciation and other variable, at-risk pay components that are disclosed to our stockholders</w:t>
            </w:r>
          </w:p>
          <w:p>
            <w:pPr>
              <w:pStyle w:val="TableContents"/>
              <w:bidi w:val="0"/>
              <w:spacing w:lineRule="auto" w:line="312" w:before="80" w:after="80"/>
              <w:ind w:left="0" w:right="0" w:hanging="216"/>
              <w:jc w:val="left"/>
              <w:rPr/>
            </w:pPr>
            <w:r>
              <w:rPr/>
              <w:drawing>
                <wp:inline distT="0" distB="0" distL="0" distR="0">
                  <wp:extent cx="76200" cy="66675"/>
                  <wp:effectExtent l="0" t="0" r="0" b="0"/>
                  <wp:docPr id="10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8" descr=""/>
                          <pic:cNvPicPr>
                            <a:picLocks noChangeAspect="1" noChangeArrowheads="1"/>
                          </pic:cNvPicPr>
                        </pic:nvPicPr>
                        <pic:blipFill>
                          <a:blip r:embed="rId69"/>
                          <a:stretch>
                            <a:fillRect/>
                          </a:stretch>
                        </pic:blipFill>
                        <pic:spPr bwMode="auto">
                          <a:xfrm>
                            <a:off x="0" y="0"/>
                            <a:ext cx="76200" cy="66675"/>
                          </a:xfrm>
                          <a:prstGeom prst="rect">
                            <a:avLst/>
                          </a:prstGeom>
                        </pic:spPr>
                      </pic:pic>
                    </a:graphicData>
                  </a:graphic>
                </wp:inline>
              </w:drawing>
            </w:r>
            <w:bookmarkStart w:id="67" w:name="i-68"/>
            <w:bookmarkEnd w:id="67"/>
            <w:r>
              <w:rPr>
                <w:color w:val="344049"/>
              </w:rPr>
              <w:t>  </w:t>
            </w:r>
            <w:r>
              <w:rPr>
                <w:rFonts w:ascii="ITC Avant Garde Pro Bk;sans-serif" w:hAnsi="ITC Avant Garde Pro Bk;sans-serif"/>
                <w:b/>
                <w:color w:val="344049"/>
                <w:sz w:val="17"/>
              </w:rPr>
              <w:t>Review Peer Compensation Data</w:t>
            </w:r>
            <w:r>
              <w:rPr>
                <w:color w:val="344049"/>
              </w:rPr>
              <w:t xml:space="preserve"> – </w:t>
            </w:r>
            <w:r>
              <w:rPr>
                <w:rFonts w:ascii="ITC Avant Garde Pro Md;sans-serif" w:hAnsi="ITC Avant Garde Pro Md;sans-serif"/>
                <w:b w:val="false"/>
                <w:color w:val="344049"/>
                <w:sz w:val="17"/>
              </w:rPr>
              <w:t>prior to making executive compensation decisions we review peer company compensation data</w:t>
            </w:r>
          </w:p>
          <w:p>
            <w:pPr>
              <w:pStyle w:val="TableContents"/>
              <w:bidi w:val="0"/>
              <w:spacing w:lineRule="auto" w:line="312" w:before="80" w:after="80"/>
              <w:ind w:left="0" w:right="0" w:hanging="216"/>
              <w:jc w:val="left"/>
              <w:rPr/>
            </w:pPr>
            <w:r>
              <w:rPr/>
              <w:drawing>
                <wp:inline distT="0" distB="0" distL="0" distR="0">
                  <wp:extent cx="76200" cy="66675"/>
                  <wp:effectExtent l="0" t="0" r="0" b="0"/>
                  <wp:docPr id="10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9" descr=""/>
                          <pic:cNvPicPr>
                            <a:picLocks noChangeAspect="1" noChangeArrowheads="1"/>
                          </pic:cNvPicPr>
                        </pic:nvPicPr>
                        <pic:blipFill>
                          <a:blip r:embed="rId70"/>
                          <a:stretch>
                            <a:fillRect/>
                          </a:stretch>
                        </pic:blipFill>
                        <pic:spPr bwMode="auto">
                          <a:xfrm>
                            <a:off x="0" y="0"/>
                            <a:ext cx="76200" cy="66675"/>
                          </a:xfrm>
                          <a:prstGeom prst="rect">
                            <a:avLst/>
                          </a:prstGeom>
                        </pic:spPr>
                      </pic:pic>
                    </a:graphicData>
                  </a:graphic>
                </wp:inline>
              </w:drawing>
            </w:r>
            <w:bookmarkStart w:id="68" w:name="i-69"/>
            <w:bookmarkEnd w:id="68"/>
            <w:r>
              <w:rPr>
                <w:color w:val="344049"/>
              </w:rPr>
              <w:t>  </w:t>
            </w:r>
            <w:r>
              <w:rPr>
                <w:rFonts w:ascii="ITC Avant Garde Pro Bk;sans-serif" w:hAnsi="ITC Avant Garde Pro Bk;sans-serif"/>
                <w:b/>
                <w:color w:val="344049"/>
                <w:sz w:val="17"/>
              </w:rPr>
              <w:t>Annual Stockholder “Say on Pay</w:t>
            </w:r>
            <w:r>
              <w:rPr>
                <w:color w:val="344049"/>
              </w:rPr>
              <w:t xml:space="preserve">” – </w:t>
            </w:r>
            <w:r>
              <w:rPr>
                <w:rFonts w:ascii="ITC Avant Garde Pro Md;sans-serif" w:hAnsi="ITC Avant Garde Pro Md;sans-serif"/>
                <w:b w:val="false"/>
                <w:color w:val="344049"/>
                <w:sz w:val="17"/>
              </w:rPr>
              <w:t>we seek an annual non-binding advisory vote from stockholders to approve executive compensation</w:t>
            </w:r>
          </w:p>
          <w:p>
            <w:pPr>
              <w:pStyle w:val="TableContents"/>
              <w:bidi w:val="0"/>
              <w:spacing w:lineRule="auto" w:line="312" w:before="80" w:after="80"/>
              <w:ind w:left="0" w:right="0" w:hanging="216"/>
              <w:jc w:val="left"/>
              <w:rPr/>
            </w:pPr>
            <w:r>
              <w:rPr/>
              <w:drawing>
                <wp:inline distT="0" distB="0" distL="0" distR="0">
                  <wp:extent cx="76200" cy="66675"/>
                  <wp:effectExtent l="0" t="0" r="0" b="0"/>
                  <wp:docPr id="10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0" descr=""/>
                          <pic:cNvPicPr>
                            <a:picLocks noChangeAspect="1" noChangeArrowheads="1"/>
                          </pic:cNvPicPr>
                        </pic:nvPicPr>
                        <pic:blipFill>
                          <a:blip r:embed="rId71"/>
                          <a:stretch>
                            <a:fillRect/>
                          </a:stretch>
                        </pic:blipFill>
                        <pic:spPr bwMode="auto">
                          <a:xfrm>
                            <a:off x="0" y="0"/>
                            <a:ext cx="76200" cy="66675"/>
                          </a:xfrm>
                          <a:prstGeom prst="rect">
                            <a:avLst/>
                          </a:prstGeom>
                        </pic:spPr>
                      </pic:pic>
                    </a:graphicData>
                  </a:graphic>
                </wp:inline>
              </w:drawing>
            </w:r>
            <w:bookmarkStart w:id="69" w:name="i-70"/>
            <w:bookmarkEnd w:id="69"/>
            <w:r>
              <w:rPr>
                <w:color w:val="344049"/>
              </w:rPr>
              <w:t>  </w:t>
            </w:r>
            <w:r>
              <w:rPr>
                <w:rFonts w:ascii="ITC Avant Garde Pro Bk;sans-serif" w:hAnsi="ITC Avant Garde Pro Bk;sans-serif"/>
                <w:b/>
                <w:color w:val="344049"/>
                <w:sz w:val="17"/>
              </w:rPr>
              <w:t>Post-Employment Covenants</w:t>
            </w:r>
            <w:r>
              <w:rPr>
                <w:color w:val="344049"/>
              </w:rPr>
              <w:t xml:space="preserve"> – </w:t>
            </w:r>
            <w:r>
              <w:rPr>
                <w:rFonts w:ascii="ITC Avant Garde Pro Md;sans-serif" w:hAnsi="ITC Avant Garde Pro Md;sans-serif"/>
                <w:b w:val="false"/>
                <w:color w:val="344049"/>
                <w:sz w:val="17"/>
              </w:rPr>
              <w:t>our executive employment agreements contain non-compete and non-solicitation provisions designed to protect the business</w:t>
            </w:r>
          </w:p>
          <w:p>
            <w:pPr>
              <w:pStyle w:val="TableContents"/>
              <w:bidi w:val="0"/>
              <w:spacing w:lineRule="auto" w:line="312" w:before="80" w:after="80"/>
              <w:ind w:left="0" w:right="0" w:hanging="216"/>
              <w:jc w:val="left"/>
              <w:rPr/>
            </w:pPr>
            <w:r>
              <w:rPr/>
              <w:drawing>
                <wp:inline distT="0" distB="0" distL="0" distR="0">
                  <wp:extent cx="76200" cy="66675"/>
                  <wp:effectExtent l="0" t="0" r="0" b="0"/>
                  <wp:docPr id="1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1" descr=""/>
                          <pic:cNvPicPr>
                            <a:picLocks noChangeAspect="1" noChangeArrowheads="1"/>
                          </pic:cNvPicPr>
                        </pic:nvPicPr>
                        <pic:blipFill>
                          <a:blip r:embed="rId72"/>
                          <a:stretch>
                            <a:fillRect/>
                          </a:stretch>
                        </pic:blipFill>
                        <pic:spPr bwMode="auto">
                          <a:xfrm>
                            <a:off x="0" y="0"/>
                            <a:ext cx="76200" cy="66675"/>
                          </a:xfrm>
                          <a:prstGeom prst="rect">
                            <a:avLst/>
                          </a:prstGeom>
                        </pic:spPr>
                      </pic:pic>
                    </a:graphicData>
                  </a:graphic>
                </wp:inline>
              </w:drawing>
            </w:r>
            <w:bookmarkStart w:id="70" w:name="i-71"/>
            <w:bookmarkEnd w:id="70"/>
            <w:r>
              <w:rPr>
                <w:color w:val="344049"/>
              </w:rPr>
              <w:t>  </w:t>
            </w:r>
            <w:r>
              <w:rPr>
                <w:rFonts w:ascii="ITC Avant Garde Pro Bk;sans-serif" w:hAnsi="ITC Avant Garde Pro Bk;sans-serif"/>
                <w:b/>
                <w:color w:val="344049"/>
                <w:sz w:val="17"/>
              </w:rPr>
              <w:t>Caps on Incentive Payouts</w:t>
            </w:r>
            <w:r>
              <w:rPr>
                <w:color w:val="344049"/>
              </w:rPr>
              <w:t xml:space="preserve"> – </w:t>
            </w:r>
            <w:r>
              <w:rPr>
                <w:rFonts w:ascii="ITC Avant Garde Pro Md;sans-serif" w:hAnsi="ITC Avant Garde Pro Md;sans-serif"/>
                <w:b w:val="false"/>
                <w:color w:val="344049"/>
                <w:sz w:val="17"/>
              </w:rPr>
              <w:t>we ensure that short-term incentives and our performance-based equity awards cap payouts</w:t>
            </w:r>
          </w:p>
          <w:p>
            <w:pPr>
              <w:pStyle w:val="TableContents"/>
              <w:bidi w:val="0"/>
              <w:spacing w:lineRule="auto" w:line="312" w:before="80" w:after="80"/>
              <w:ind w:left="0" w:right="0" w:hanging="216"/>
              <w:jc w:val="left"/>
              <w:rPr/>
            </w:pPr>
            <w:r>
              <w:rPr/>
              <w:drawing>
                <wp:inline distT="0" distB="0" distL="0" distR="0">
                  <wp:extent cx="76200" cy="66675"/>
                  <wp:effectExtent l="0" t="0" r="0" b="0"/>
                  <wp:docPr id="10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2" descr=""/>
                          <pic:cNvPicPr>
                            <a:picLocks noChangeAspect="1" noChangeArrowheads="1"/>
                          </pic:cNvPicPr>
                        </pic:nvPicPr>
                        <pic:blipFill>
                          <a:blip r:embed="rId73"/>
                          <a:stretch>
                            <a:fillRect/>
                          </a:stretch>
                        </pic:blipFill>
                        <pic:spPr bwMode="auto">
                          <a:xfrm>
                            <a:off x="0" y="0"/>
                            <a:ext cx="76200" cy="66675"/>
                          </a:xfrm>
                          <a:prstGeom prst="rect">
                            <a:avLst/>
                          </a:prstGeom>
                        </pic:spPr>
                      </pic:pic>
                    </a:graphicData>
                  </a:graphic>
                </wp:inline>
              </w:drawing>
            </w:r>
            <w:bookmarkStart w:id="71" w:name="i-72"/>
            <w:bookmarkEnd w:id="71"/>
            <w:r>
              <w:rPr>
                <w:color w:val="344049"/>
              </w:rPr>
              <w:t>  </w:t>
            </w:r>
            <w:r>
              <w:rPr>
                <w:rFonts w:ascii="ITC Avant Garde Pro Bk;sans-serif" w:hAnsi="ITC Avant Garde Pro Bk;sans-serif"/>
                <w:b/>
                <w:color w:val="344049"/>
                <w:sz w:val="17"/>
              </w:rPr>
              <w:t>Mitigate Undue Risk</w:t>
            </w:r>
            <w:r>
              <w:rPr>
                <w:color w:val="344049"/>
              </w:rPr>
              <w:t xml:space="preserve"> – </w:t>
            </w:r>
            <w:r>
              <w:rPr>
                <w:rFonts w:ascii="ITC Avant Garde Pro Md;sans-serif" w:hAnsi="ITC Avant Garde Pro Md;sans-serif"/>
                <w:b w:val="false"/>
                <w:color w:val="344049"/>
                <w:sz w:val="17"/>
              </w:rPr>
              <w:t>we maintain an executive compensation clawback policy that complies with Nasdaq Listing Rules and Rule 10D-1 under the Exchange Act, set multiple performance measures and targets under our incentive compensation plans, and maintain robust board and management processes to identify risks</w:t>
            </w:r>
          </w:p>
          <w:p>
            <w:pPr>
              <w:pStyle w:val="TableContents"/>
              <w:bidi w:val="0"/>
              <w:spacing w:lineRule="auto" w:line="312" w:before="80" w:after="80"/>
              <w:ind w:left="0" w:right="0" w:hanging="216"/>
              <w:jc w:val="left"/>
              <w:rPr/>
            </w:pPr>
            <w:r>
              <w:rPr/>
              <w:drawing>
                <wp:inline distT="0" distB="0" distL="0" distR="0">
                  <wp:extent cx="76200" cy="66675"/>
                  <wp:effectExtent l="0" t="0" r="0" b="0"/>
                  <wp:docPr id="10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3" descr=""/>
                          <pic:cNvPicPr>
                            <a:picLocks noChangeAspect="1" noChangeArrowheads="1"/>
                          </pic:cNvPicPr>
                        </pic:nvPicPr>
                        <pic:blipFill>
                          <a:blip r:embed="rId74"/>
                          <a:stretch>
                            <a:fillRect/>
                          </a:stretch>
                        </pic:blipFill>
                        <pic:spPr bwMode="auto">
                          <a:xfrm>
                            <a:off x="0" y="0"/>
                            <a:ext cx="76200" cy="66675"/>
                          </a:xfrm>
                          <a:prstGeom prst="rect">
                            <a:avLst/>
                          </a:prstGeom>
                        </pic:spPr>
                      </pic:pic>
                    </a:graphicData>
                  </a:graphic>
                </wp:inline>
              </w:drawing>
            </w:r>
            <w:bookmarkStart w:id="72" w:name="i-73"/>
            <w:bookmarkEnd w:id="72"/>
            <w:r>
              <w:rPr>
                <w:color w:val="344049"/>
              </w:rPr>
              <w:t>  </w:t>
            </w:r>
            <w:r>
              <w:rPr>
                <w:rFonts w:ascii="ITC Avant Garde Pro Bk;sans-serif" w:hAnsi="ITC Avant Garde Pro Bk;sans-serif"/>
                <w:b/>
                <w:color w:val="344049"/>
                <w:sz w:val="17"/>
              </w:rPr>
              <w:t>Robust Stock Ownership Guidelines</w:t>
            </w:r>
            <w:r>
              <w:rPr>
                <w:color w:val="344049"/>
              </w:rPr>
              <w:t xml:space="preserve"> – </w:t>
            </w:r>
            <w:r>
              <w:rPr>
                <w:rFonts w:ascii="ITC Avant Garde Pro Md;sans-serif" w:hAnsi="ITC Avant Garde Pro Md;sans-serif"/>
                <w:b w:val="false"/>
                <w:color w:val="344049"/>
                <w:sz w:val="17"/>
              </w:rPr>
              <w:t>we ensure management acts and thinks like stockholders through stock ownership</w:t>
            </w:r>
          </w:p>
          <w:p>
            <w:pPr>
              <w:pStyle w:val="TableContents"/>
              <w:bidi w:val="0"/>
              <w:spacing w:lineRule="auto" w:line="312" w:before="80" w:after="80"/>
              <w:ind w:left="0" w:right="0" w:hanging="216"/>
              <w:jc w:val="left"/>
              <w:rPr/>
            </w:pPr>
            <w:r>
              <w:rPr/>
              <w:drawing>
                <wp:inline distT="0" distB="0" distL="0" distR="0">
                  <wp:extent cx="76200" cy="66675"/>
                  <wp:effectExtent l="0" t="0" r="0" b="0"/>
                  <wp:docPr id="10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4" descr=""/>
                          <pic:cNvPicPr>
                            <a:picLocks noChangeAspect="1" noChangeArrowheads="1"/>
                          </pic:cNvPicPr>
                        </pic:nvPicPr>
                        <pic:blipFill>
                          <a:blip r:embed="rId75"/>
                          <a:stretch>
                            <a:fillRect/>
                          </a:stretch>
                        </pic:blipFill>
                        <pic:spPr bwMode="auto">
                          <a:xfrm>
                            <a:off x="0" y="0"/>
                            <a:ext cx="76200" cy="66675"/>
                          </a:xfrm>
                          <a:prstGeom prst="rect">
                            <a:avLst/>
                          </a:prstGeom>
                        </pic:spPr>
                      </pic:pic>
                    </a:graphicData>
                  </a:graphic>
                </wp:inline>
              </w:drawing>
            </w:r>
            <w:bookmarkStart w:id="73" w:name="i-74"/>
            <w:bookmarkEnd w:id="73"/>
            <w:r>
              <w:rPr>
                <w:color w:val="344049"/>
              </w:rPr>
              <w:t>  </w:t>
            </w:r>
            <w:r>
              <w:rPr>
                <w:rFonts w:ascii="ITC Avant Garde Pro Bk;sans-serif" w:hAnsi="ITC Avant Garde Pro Bk;sans-serif"/>
                <w:b/>
                <w:color w:val="344049"/>
                <w:sz w:val="17"/>
              </w:rPr>
              <w:t>Independent Compensation Consultant</w:t>
            </w:r>
            <w:r>
              <w:rPr>
                <w:color w:val="344049"/>
              </w:rPr>
              <w:t xml:space="preserve"> – </w:t>
            </w:r>
            <w:r>
              <w:rPr>
                <w:rFonts w:ascii="ITC Avant Garde Pro Md;sans-serif" w:hAnsi="ITC Avant Garde Pro Md;sans-serif"/>
                <w:b w:val="false"/>
                <w:color w:val="344049"/>
                <w:sz w:val="17"/>
              </w:rPr>
              <w:t>the Committee seeks third party executive compensation advice from an independent consulting firm that does not perform any other services for our Company</w:t>
            </w:r>
          </w:p>
        </w:tc>
        <w:tc>
          <w:tcPr>
            <w:tcW w:w="327" w:type="dxa"/>
            <w:gridSpan w:val="3"/>
            <w:tcBorders/>
            <w:tcMar>
              <w:top w:w="0" w:type="dxa"/>
              <w:left w:w="0" w:type="dxa"/>
              <w:bottom w:w="0" w:type="dxa"/>
              <w:right w:w="0" w:type="dxa"/>
            </w:tcMar>
            <w:vAlign w:val="center"/>
          </w:tcPr>
          <w:p>
            <w:pPr>
              <w:pStyle w:val="TableContents"/>
              <w:bidi w:val="0"/>
              <w:spacing w:before="80" w:after="80"/>
              <w:jc w:val="left"/>
              <w:rPr/>
            </w:pPr>
            <w:r>
              <w:rPr/>
            </w:r>
          </w:p>
        </w:tc>
        <w:tc>
          <w:tcPr>
            <w:tcW w:w="4335" w:type="dxa"/>
            <w:gridSpan w:val="6"/>
            <w:tcBorders/>
            <w:shd w:fill="F2F1EB" w:val="clear"/>
            <w:tcMar>
              <w:top w:w="0" w:type="dxa"/>
              <w:left w:w="0" w:type="dxa"/>
              <w:bottom w:w="0" w:type="dxa"/>
              <w:right w:w="0" w:type="dxa"/>
            </w:tcMar>
            <w:vAlign w:val="center"/>
          </w:tcPr>
          <w:p>
            <w:pPr>
              <w:pStyle w:val="TableContents"/>
              <w:bidi w:val="0"/>
              <w:spacing w:lineRule="auto" w:line="312" w:before="80" w:after="80"/>
              <w:ind w:left="0" w:right="0" w:hanging="194"/>
              <w:jc w:val="left"/>
              <w:rPr/>
            </w:pPr>
            <w:r>
              <w:rPr/>
              <w:drawing>
                <wp:inline distT="0" distB="0" distL="0" distR="0">
                  <wp:extent cx="57150" cy="57150"/>
                  <wp:effectExtent l="0" t="0" r="0" b="0"/>
                  <wp:docPr id="10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5" descr=""/>
                          <pic:cNvPicPr>
                            <a:picLocks noChangeAspect="1" noChangeArrowheads="1"/>
                          </pic:cNvPicPr>
                        </pic:nvPicPr>
                        <pic:blipFill>
                          <a:blip r:embed="rId76"/>
                          <a:stretch>
                            <a:fillRect/>
                          </a:stretch>
                        </pic:blipFill>
                        <pic:spPr bwMode="auto">
                          <a:xfrm>
                            <a:off x="0" y="0"/>
                            <a:ext cx="57150" cy="57150"/>
                          </a:xfrm>
                          <a:prstGeom prst="rect">
                            <a:avLst/>
                          </a:prstGeom>
                        </pic:spPr>
                      </pic:pic>
                    </a:graphicData>
                  </a:graphic>
                </wp:inline>
              </w:drawing>
            </w:r>
            <w:bookmarkStart w:id="74" w:name="i-75"/>
            <w:bookmarkEnd w:id="74"/>
            <w:r>
              <w:rPr>
                <w:color w:val="344049"/>
              </w:rPr>
              <w:t>  </w:t>
            </w:r>
            <w:r>
              <w:rPr>
                <w:rFonts w:ascii="ITC Avant Garde Pro Bk;sans-serif" w:hAnsi="ITC Avant Garde Pro Bk;sans-serif"/>
                <w:b/>
                <w:color w:val="344049"/>
                <w:sz w:val="17"/>
              </w:rPr>
              <w:t>No Excise Tax Gross-Ups upon Change in Control</w:t>
            </w:r>
            <w:r>
              <w:rPr>
                <w:color w:val="344049"/>
              </w:rPr>
              <w:t xml:space="preserve"> – </w:t>
            </w:r>
            <w:r>
              <w:rPr>
                <w:rFonts w:ascii="ITC Avant Garde Pro Md;sans-serif" w:hAnsi="ITC Avant Garde Pro Md;sans-serif"/>
                <w:b w:val="false"/>
                <w:color w:val="344049"/>
                <w:sz w:val="17"/>
              </w:rPr>
              <w:t>we do not provide tax gross-ups related to change in control</w:t>
            </w:r>
          </w:p>
          <w:p>
            <w:pPr>
              <w:pStyle w:val="TableContents"/>
              <w:bidi w:val="0"/>
              <w:spacing w:lineRule="auto" w:line="312" w:before="80" w:after="80"/>
              <w:ind w:left="0" w:right="0" w:hanging="194"/>
              <w:jc w:val="left"/>
              <w:rPr/>
            </w:pPr>
            <w:r>
              <w:rPr/>
              <w:drawing>
                <wp:inline distT="0" distB="0" distL="0" distR="0">
                  <wp:extent cx="57150" cy="57150"/>
                  <wp:effectExtent l="0" t="0" r="0" b="0"/>
                  <wp:docPr id="10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6" descr=""/>
                          <pic:cNvPicPr>
                            <a:picLocks noChangeAspect="1" noChangeArrowheads="1"/>
                          </pic:cNvPicPr>
                        </pic:nvPicPr>
                        <pic:blipFill>
                          <a:blip r:embed="rId77"/>
                          <a:stretch>
                            <a:fillRect/>
                          </a:stretch>
                        </pic:blipFill>
                        <pic:spPr bwMode="auto">
                          <a:xfrm>
                            <a:off x="0" y="0"/>
                            <a:ext cx="57150" cy="57150"/>
                          </a:xfrm>
                          <a:prstGeom prst="rect">
                            <a:avLst/>
                          </a:prstGeom>
                        </pic:spPr>
                      </pic:pic>
                    </a:graphicData>
                  </a:graphic>
                </wp:inline>
              </w:drawing>
            </w:r>
            <w:bookmarkStart w:id="75" w:name="i-76"/>
            <w:bookmarkEnd w:id="75"/>
            <w:r>
              <w:rPr>
                <w:color w:val="344049"/>
              </w:rPr>
              <w:t>  </w:t>
            </w:r>
            <w:r>
              <w:rPr>
                <w:rFonts w:ascii="ITC Avant Garde Pro Bk;sans-serif" w:hAnsi="ITC Avant Garde Pro Bk;sans-serif"/>
                <w:b/>
                <w:color w:val="344049"/>
                <w:sz w:val="17"/>
              </w:rPr>
              <w:t>No Pledging Shares of Company Stock Received as Compensation</w:t>
            </w:r>
            <w:r>
              <w:rPr>
                <w:color w:val="344049"/>
              </w:rPr>
              <w:t xml:space="preserve"> – </w:t>
            </w:r>
            <w:r>
              <w:rPr>
                <w:rFonts w:ascii="ITC Avant Garde Pro Md;sans-serif" w:hAnsi="ITC Avant Garde Pro Md;sans-serif"/>
                <w:b w:val="false"/>
                <w:color w:val="344049"/>
                <w:sz w:val="17"/>
              </w:rPr>
              <w:t>named executive officers may not directly or indirectly pledge Paylocity common stock as collateral for any obligation</w:t>
            </w:r>
          </w:p>
          <w:p>
            <w:pPr>
              <w:pStyle w:val="TableContents"/>
              <w:bidi w:val="0"/>
              <w:spacing w:lineRule="auto" w:line="312" w:before="80" w:after="80"/>
              <w:ind w:left="0" w:right="0" w:hanging="194"/>
              <w:jc w:val="left"/>
              <w:rPr/>
            </w:pPr>
            <w:r>
              <w:rPr/>
              <w:drawing>
                <wp:inline distT="0" distB="0" distL="0" distR="0">
                  <wp:extent cx="57150" cy="57150"/>
                  <wp:effectExtent l="0" t="0" r="0" b="0"/>
                  <wp:docPr id="10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7" descr=""/>
                          <pic:cNvPicPr>
                            <a:picLocks noChangeAspect="1" noChangeArrowheads="1"/>
                          </pic:cNvPicPr>
                        </pic:nvPicPr>
                        <pic:blipFill>
                          <a:blip r:embed="rId78"/>
                          <a:stretch>
                            <a:fillRect/>
                          </a:stretch>
                        </pic:blipFill>
                        <pic:spPr bwMode="auto">
                          <a:xfrm>
                            <a:off x="0" y="0"/>
                            <a:ext cx="57150" cy="57150"/>
                          </a:xfrm>
                          <a:prstGeom prst="rect">
                            <a:avLst/>
                          </a:prstGeom>
                        </pic:spPr>
                      </pic:pic>
                    </a:graphicData>
                  </a:graphic>
                </wp:inline>
              </w:drawing>
            </w:r>
            <w:bookmarkStart w:id="76" w:name="i-77"/>
            <w:bookmarkEnd w:id="76"/>
            <w:r>
              <w:rPr>
                <w:color w:val="344049"/>
              </w:rPr>
              <w:t>  </w:t>
            </w:r>
            <w:r>
              <w:rPr>
                <w:rFonts w:ascii="ITC Avant Garde Pro Bk;sans-serif" w:hAnsi="ITC Avant Garde Pro Bk;sans-serif"/>
                <w:b/>
                <w:color w:val="344049"/>
                <w:sz w:val="17"/>
              </w:rPr>
              <w:t xml:space="preserve">No Hedging Shares of Company Stock Received as Compensation </w:t>
            </w:r>
            <w:r>
              <w:rPr>
                <w:color w:val="344049"/>
              </w:rPr>
              <w:t xml:space="preserve">– </w:t>
            </w:r>
            <w:r>
              <w:rPr>
                <w:rFonts w:ascii="ITC Avant Garde Pro Md;sans-serif" w:hAnsi="ITC Avant Garde Pro Md;sans-serif"/>
                <w:b w:val="false"/>
                <w:color w:val="344049"/>
                <w:sz w:val="17"/>
              </w:rPr>
              <w:t>named executive officers may not directly or indirectly engage in transactions intended to hedge or offset the market value of Paylocity common stock owned by them</w:t>
            </w:r>
          </w:p>
          <w:p>
            <w:pPr>
              <w:pStyle w:val="TableContents"/>
              <w:bidi w:val="0"/>
              <w:spacing w:lineRule="auto" w:line="312" w:before="80" w:after="80"/>
              <w:ind w:left="0" w:right="0" w:hanging="194"/>
              <w:jc w:val="left"/>
              <w:rPr/>
            </w:pPr>
            <w:r>
              <w:rPr/>
              <w:drawing>
                <wp:inline distT="0" distB="0" distL="0" distR="0">
                  <wp:extent cx="57150" cy="57150"/>
                  <wp:effectExtent l="0" t="0" r="0" b="0"/>
                  <wp:docPr id="11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8" descr=""/>
                          <pic:cNvPicPr>
                            <a:picLocks noChangeAspect="1" noChangeArrowheads="1"/>
                          </pic:cNvPicPr>
                        </pic:nvPicPr>
                        <pic:blipFill>
                          <a:blip r:embed="rId79"/>
                          <a:stretch>
                            <a:fillRect/>
                          </a:stretch>
                        </pic:blipFill>
                        <pic:spPr bwMode="auto">
                          <a:xfrm>
                            <a:off x="0" y="0"/>
                            <a:ext cx="57150" cy="57150"/>
                          </a:xfrm>
                          <a:prstGeom prst="rect">
                            <a:avLst/>
                          </a:prstGeom>
                        </pic:spPr>
                      </pic:pic>
                    </a:graphicData>
                  </a:graphic>
                </wp:inline>
              </w:drawing>
            </w:r>
            <w:bookmarkStart w:id="77" w:name="i-78"/>
            <w:bookmarkEnd w:id="77"/>
            <w:r>
              <w:rPr>
                <w:color w:val="344049"/>
              </w:rPr>
              <w:t>  </w:t>
            </w:r>
            <w:r>
              <w:rPr>
                <w:rFonts w:ascii="ITC Avant Garde Pro Bk;sans-serif" w:hAnsi="ITC Avant Garde Pro Bk;sans-serif"/>
                <w:b/>
                <w:color w:val="344049"/>
                <w:sz w:val="17"/>
              </w:rPr>
              <w:t>No Guaranteed Incentive Payouts</w:t>
            </w:r>
            <w:r>
              <w:rPr>
                <w:color w:val="344049"/>
              </w:rPr>
              <w:t xml:space="preserve"> – </w:t>
            </w:r>
            <w:r>
              <w:rPr>
                <w:rFonts w:ascii="ITC Avant Garde Pro Md;sans-serif" w:hAnsi="ITC Avant Garde Pro Md;sans-serif"/>
                <w:b w:val="false"/>
                <w:color w:val="344049"/>
                <w:sz w:val="17"/>
              </w:rPr>
              <w:t>we do not provide guaranteed minimum bonuses</w:t>
            </w:r>
          </w:p>
          <w:p>
            <w:pPr>
              <w:pStyle w:val="TableContents"/>
              <w:bidi w:val="0"/>
              <w:spacing w:lineRule="auto" w:line="312" w:before="80" w:after="80"/>
              <w:ind w:left="0" w:right="0" w:hanging="194"/>
              <w:jc w:val="left"/>
              <w:rPr/>
            </w:pPr>
            <w:r>
              <w:rPr/>
              <w:drawing>
                <wp:inline distT="0" distB="0" distL="0" distR="0">
                  <wp:extent cx="47625" cy="47625"/>
                  <wp:effectExtent l="0" t="0" r="0" b="0"/>
                  <wp:docPr id="11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9" descr=""/>
                          <pic:cNvPicPr>
                            <a:picLocks noChangeAspect="1" noChangeArrowheads="1"/>
                          </pic:cNvPicPr>
                        </pic:nvPicPr>
                        <pic:blipFill>
                          <a:blip r:embed="rId80"/>
                          <a:stretch>
                            <a:fillRect/>
                          </a:stretch>
                        </pic:blipFill>
                        <pic:spPr bwMode="auto">
                          <a:xfrm>
                            <a:off x="0" y="0"/>
                            <a:ext cx="47625" cy="47625"/>
                          </a:xfrm>
                          <a:prstGeom prst="rect">
                            <a:avLst/>
                          </a:prstGeom>
                        </pic:spPr>
                      </pic:pic>
                    </a:graphicData>
                  </a:graphic>
                </wp:inline>
              </w:drawing>
            </w:r>
            <w:bookmarkStart w:id="78" w:name="i-79"/>
            <w:bookmarkEnd w:id="78"/>
            <w:r>
              <w:rPr>
                <w:color w:val="344049"/>
              </w:rPr>
              <w:t>  </w:t>
            </w:r>
            <w:r>
              <w:rPr>
                <w:rFonts w:ascii="ITC Avant Garde Pro Bk;sans-serif" w:hAnsi="ITC Avant Garde Pro Bk;sans-serif"/>
                <w:b/>
                <w:color w:val="344049"/>
                <w:sz w:val="17"/>
              </w:rPr>
              <w:t>No Excessive Perquisites</w:t>
            </w:r>
            <w:r>
              <w:rPr>
                <w:color w:val="344049"/>
              </w:rPr>
              <w:t xml:space="preserve"> – </w:t>
            </w:r>
            <w:r>
              <w:rPr>
                <w:rFonts w:ascii="ITC Avant Garde Pro Md;sans-serif" w:hAnsi="ITC Avant Garde Pro Md;sans-serif"/>
                <w:b w:val="false"/>
                <w:color w:val="344049"/>
                <w:sz w:val="17"/>
              </w:rPr>
              <w:t>we do not provide excessive perquisites</w:t>
            </w:r>
          </w:p>
        </w:tc>
      </w:tr>
      <w:tr>
        <w:trPr/>
        <w:tc>
          <w:tcPr>
            <w:tcW w:w="5543" w:type="dxa"/>
            <w:gridSpan w:val="6"/>
            <w:vMerge w:val="continue"/>
            <w:tcBorders/>
            <w:shd w:fill="F2F1EB"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80" w:after="80"/>
              <w:jc w:val="left"/>
              <w:rPr/>
            </w:pPr>
            <w:r>
              <w:rPr/>
            </w:r>
          </w:p>
        </w:tc>
        <w:tc>
          <w:tcPr>
            <w:tcW w:w="4335" w:type="dxa"/>
            <w:gridSpan w:val="6"/>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6"/>
            <w:vMerge w:val="continue"/>
            <w:tcBorders/>
            <w:shd w:fill="F2F1EB"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6"/>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8650"/>
                <wp:effectExtent l="0" t="0" r="0" b="0"/>
                <wp:wrapNone/>
                <wp:docPr id="112"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The Role of the Committee and its Consultants and Advisors</w:t>
      </w:r>
    </w:p>
    <w:p>
      <w:pPr>
        <w:pStyle w:val="TextBody"/>
        <w:bidi w:val="0"/>
        <w:spacing w:lineRule="auto" w:line="312" w:before="120" w:after="120"/>
        <w:jc w:val="left"/>
        <w:rPr/>
      </w:pPr>
      <w:r>
        <w:rPr>
          <w:rFonts w:ascii="ITC Avant Garde Pro Md;sans-serif" w:hAnsi="ITC Avant Garde Pro Md;sans-serif"/>
          <w:b w:val="false"/>
          <w:color w:val="344049"/>
          <w:sz w:val="17"/>
        </w:rPr>
        <w:t xml:space="preserve">The Committee’s primary duties are to regularly review and advise our board of directors on the Company’s overall compensation philosophy, policies and plans, including a review of both regional and industry compensation practices and trends. The Committee is responsible for taking action with respect to compensation designed to attract and retain the highest quality executives, that clearly articulates the relationship of corporate performance to executive compensation and that will reward executives for the Company’s progress towards its performance goals. For a more complete description of the duties and responsibilities of the Committee, see the charter for the Committee posted on our website at: </w:t>
      </w:r>
      <w:r>
        <w:rPr>
          <w:rFonts w:ascii="ITC Avant Garde Pro Md;sans-serif" w:hAnsi="ITC Avant Garde Pro Md;sans-serif"/>
          <w:b w:val="false"/>
          <w:color w:val="F58D2D"/>
          <w:sz w:val="17"/>
        </w:rPr>
        <w:t>http://investors.paylocity.com</w:t>
      </w:r>
      <w:r>
        <w:rPr>
          <w:rFonts w:ascii="ITC Avant Garde Pro Md;sans-serif" w:hAnsi="ITC Avant Garde Pro Md;sans-serif"/>
          <w:b w:val="false"/>
          <w:color w:val="313D48"/>
          <w:sz w:val="17"/>
        </w:rPr>
        <w:t>.</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has engaged Compensia, an outside independent executive compensation consultant, to assist the Committee with executive compensation matters by providing market research and advisory support for base salary, bonus and equity compensation matters and to assist the Committee with assessing the appropriateness of the Company’s peer group. Compensia annually develops a peer group study and an executive and non-employee director compensation review that is specific to the Company. Compensia does not provide other services to the Company. The Committee also uses the services of the Company’s human resources department and the Company’s outside counsel in making compensation-related decisions involving our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Role of Named Executive Officers in Compensation Decisions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compensation of our named executive officers is determined by the Committee. Our CEO typically provides an agenda and recommendations to the Committee. Our CEO attends the Committee meetings and discusses with the Committee the compensation and performance of all named executive officers, other than his own. Our CEO bases his recommendations in part upon his review of the performance of our named executive officers. The Committee may exercise its discretion in modifying any recommended compensation adjustments or awards to such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Components of Executive Compensation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offer our named executive officers compensation in the following forms:</w:t>
      </w:r>
    </w:p>
    <w:p>
      <w:pPr>
        <w:pStyle w:val="TextBody"/>
        <w:bidi w:val="0"/>
        <w:spacing w:lineRule="auto" w:line="312" w:before="80" w:after="80"/>
        <w:ind w:left="0" w:right="0" w:hanging="216"/>
        <w:jc w:val="left"/>
        <w:rPr/>
      </w:pPr>
      <w:r>
        <w:rPr>
          <w:color w:val="EE2626"/>
        </w:rPr>
        <w:t>•</w:t>
      </w:r>
      <w:r>
        <w:rPr>
          <w:rFonts w:ascii="ITC Avant Garde Pro Bk;sans-serif" w:hAnsi="ITC Avant Garde Pro Bk;sans-serif"/>
          <w:b/>
          <w:color w:val="F58D2D"/>
          <w:sz w:val="17"/>
        </w:rPr>
        <w:t>Base salaries</w:t>
      </w:r>
      <w:r>
        <w:rPr>
          <w:color w:val="313E48"/>
        </w:rPr>
        <w:t xml:space="preserve"> </w:t>
      </w:r>
      <w:r>
        <w:rPr>
          <w:rFonts w:ascii="ITC Avant Garde Pro Md;sans-serif" w:hAnsi="ITC Avant Garde Pro Md;sans-serif"/>
          <w:b w:val="false"/>
          <w:color w:val="313E48"/>
          <w:sz w:val="17"/>
        </w:rPr>
        <w:t>to compensate individuals for their day-to-day responsibilities;</w:t>
      </w:r>
    </w:p>
    <w:p>
      <w:pPr>
        <w:pStyle w:val="TextBody"/>
        <w:bidi w:val="0"/>
        <w:spacing w:lineRule="auto" w:line="312" w:before="80" w:after="80"/>
        <w:ind w:left="0" w:right="0" w:hanging="216"/>
        <w:jc w:val="left"/>
        <w:rPr/>
      </w:pPr>
      <w:r>
        <w:rPr>
          <w:color w:val="EE2626"/>
        </w:rPr>
        <w:t>•</w:t>
      </w:r>
      <w:r>
        <w:rPr>
          <w:rFonts w:ascii="ITC Avant Garde Pro Bk;sans-serif" w:hAnsi="ITC Avant Garde Pro Bk;sans-serif"/>
          <w:b/>
          <w:color w:val="F58D2D"/>
          <w:sz w:val="17"/>
        </w:rPr>
        <w:t>Variable compensation</w:t>
      </w:r>
      <w:r>
        <w:rPr>
          <w:color w:val="313E48"/>
        </w:rPr>
        <w:t xml:space="preserve"> </w:t>
      </w:r>
      <w:r>
        <w:rPr>
          <w:rFonts w:ascii="ITC Avant Garde Pro Md;sans-serif" w:hAnsi="ITC Avant Garde Pro Md;sans-serif"/>
          <w:b w:val="false"/>
          <w:color w:val="313E48"/>
          <w:sz w:val="17"/>
        </w:rPr>
        <w:t>in the form of performance-based bonuses that are directed to drive targeted corporate business goals and annual objectives; and</w:t>
      </w:r>
    </w:p>
    <w:p>
      <w:pPr>
        <w:pStyle w:val="TextBody"/>
        <w:bidi w:val="0"/>
        <w:spacing w:lineRule="auto" w:line="312" w:before="80" w:after="80"/>
        <w:ind w:left="0" w:right="0" w:hanging="216"/>
        <w:jc w:val="left"/>
        <w:rPr/>
      </w:pPr>
      <w:r>
        <w:rPr>
          <w:color w:val="EE2626"/>
        </w:rPr>
        <w:t>•</w:t>
      </w:r>
      <w:r>
        <w:rPr>
          <w:rFonts w:ascii="ITC Avant Garde Pro Bk;sans-serif" w:hAnsi="ITC Avant Garde Pro Bk;sans-serif"/>
          <w:b/>
          <w:color w:val="F58D2D"/>
          <w:sz w:val="17"/>
        </w:rPr>
        <w:t>Equity compensation</w:t>
      </w:r>
      <w:r>
        <w:rPr>
          <w:color w:val="313E48"/>
        </w:rPr>
        <w:t xml:space="preserve"> </w:t>
      </w:r>
      <w:r>
        <w:rPr>
          <w:rFonts w:ascii="ITC Avant Garde Pro Md;sans-serif" w:hAnsi="ITC Avant Garde Pro Md;sans-serif"/>
          <w:b w:val="false"/>
          <w:color w:val="313E48"/>
          <w:sz w:val="17"/>
        </w:rPr>
        <w:t>in the form of RSUs, PSUs and MSUs in order to foster focus by our named executive officers on long-term objectives.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equity compensation program is structured to align the long-term pay of our named executive officers with stockholder interests. We believe that equity awards are a significant compensation-related motivator in attracting and retaining executive-level employees, and our executive compensation program aims to appropriately balance the goals of motivating and rewarding our named executive officers, thereby promoting stability in our leadership.</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To promote alignment of our named executive officers’ interests with those of our stockholders and to focus our executives on achievement of certain annual performance-based metrics that the Committee considers critical to the Company’s future success, we also have an annual cash bonus program that varies above or below target levels commensurate with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25170"/>
                <wp:effectExtent l="0" t="0" r="0" b="0"/>
                <wp:wrapNone/>
                <wp:docPr id="113" name="Frame3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We do not view perquisites or other personal benefits as a significant component of our executive compensation program. Therefore, we generally do not provide perquisites or other personal benefits to our named executive officers except in situations where we believe it is appropriate to assist an individual in the performance of his or her duties, to make our named executive officers more efficient and effective, and for recruitment and retention purposes. During fiscal 2026, other than the perquisites or other benefits detailed under </w:t>
      </w:r>
      <w:r>
        <w:rPr>
          <w:rFonts w:ascii="ITC Avant Garde Pro Md;sans-serif" w:hAnsi="ITC Avant Garde Pro Md;sans-serif"/>
          <w:b w:val="false"/>
          <w:i/>
          <w:color w:val="313D48"/>
          <w:sz w:val="17"/>
        </w:rPr>
        <w:t xml:space="preserve">"Compensation of Named Executive Officers—Summary Compensation Table", </w:t>
      </w:r>
      <w:r>
        <w:rPr>
          <w:rFonts w:ascii="ITC Avant Garde Pro Md;sans-serif" w:hAnsi="ITC Avant Garde Pro Md;sans-serif"/>
          <w:b w:val="false"/>
          <w:color w:val="313D48"/>
          <w:sz w:val="17"/>
        </w:rPr>
        <w:t>none of the named executive officers received perquisites or other personal benefits that were, in the aggregate, $10,000 or more for each individual. In addition, we do not provide our named executive officers retirement plan benefits or health and welfare plan benefits, other than executive health and wellness screenings and stipends, that deviate from what is generally offered to employees of the Company.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Although the Committee reviews the total compensation for our named executive officers, it generally considers each component of compensation separately because the Committee does not believe that significant compensation derived from one component should necessarily negate or reduce compensation from other components. The Committee instead believes that each component of compensation is intended to reward different goals, as well as skills, responsibilities and duties of the executive. As a result, the appropriate level for each compensation component is based on our recruiting and retention goals, our view of internal equity and consistency, peer group survey data and other considerations we deem relevant, such as rewarding extraordinary performance, for such component of compensation.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 determining named executive officer compensation, the Committee considers the following factors:</w:t>
      </w:r>
    </w:p>
    <w:tbl>
      <w:tblPr>
        <w:tblW w:w="10205" w:type="dxa"/>
        <w:jc w:val="left"/>
        <w:tblInd w:w="0" w:type="dxa"/>
        <w:tblLayout w:type="fixed"/>
        <w:tblCellMar>
          <w:top w:w="28" w:type="dxa"/>
          <w:left w:w="28" w:type="dxa"/>
          <w:bottom w:w="28" w:type="dxa"/>
          <w:right w:w="28" w:type="dxa"/>
        </w:tblCellMar>
      </w:tblPr>
      <w:tblGrid>
        <w:gridCol w:w="3263"/>
        <w:gridCol w:w="2868"/>
        <w:gridCol w:w="4074"/>
      </w:tblGrid>
      <w:tr>
        <w:trPr/>
        <w:tc>
          <w:tcPr>
            <w:tcW w:w="326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CFCAC4"/>
              <w:left w:val="single" w:sz="8" w:space="0" w:color="CEC8C2"/>
              <w:right w:val="single" w:sz="8" w:space="0" w:color="CEC8C2"/>
            </w:tcBorders>
            <w:shd w:fill="F2F1EB" w:val="clear"/>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CEC8C2"/>
              <w:right w:val="single" w:sz="8" w:space="0" w:color="CEC8C2"/>
            </w:tcBorders>
            <w:shd w:fill="F2F1EB" w:val="clear"/>
            <w:tcMar>
              <w:top w:w="0" w:type="dxa"/>
              <w:bottom w:w="0" w:type="dxa"/>
            </w:tcMar>
            <w:vAlign w:val="center"/>
          </w:tcPr>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the Company’s performance in the previous fiscal year;</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the Company’s growth from the previous fiscal year;</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long-term retention value of equity compensation;</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the Company’s outlook and operating plan for the upcoming fiscal year;</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advice from the Committee’s advisors and consultants, as described under “</w:t>
            </w:r>
            <w:r>
              <w:rPr>
                <w:rFonts w:ascii="ITC Avant Garde Pro Md;sans-serif" w:hAnsi="ITC Avant Garde Pro Md;sans-serif"/>
                <w:b w:val="false"/>
                <w:i/>
                <w:color w:val="313E48"/>
                <w:sz w:val="17"/>
              </w:rPr>
              <w:t>The Role of the Committee and its Consultants and Advisors</w:t>
            </w:r>
            <w:r>
              <w:rPr>
                <w:color w:val="313E48"/>
              </w:rPr>
              <w:t>”</w:t>
            </w:r>
            <w:r>
              <w:rPr>
                <w:rFonts w:ascii="ITC Avant Garde Pro Md;sans-serif" w:hAnsi="ITC Avant Garde Pro Md;sans-serif"/>
                <w:b w:val="false"/>
                <w:color w:val="313E48"/>
                <w:sz w:val="17"/>
              </w:rPr>
              <w:t>, including the compensation analysis prepared by Compensia;</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the named executive officer’s role;</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an evaluation of the named executive officer’s individual performance and overall impact on the Company;</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the size of the aggregate equity pool available for awards for the year and the relative allocation of such pool among the named executive officers and other participants;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overall equity burn rates and equity overhang levels;</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the value of, and expense associated with, proposed and outstanding equity grants; and</w:t>
            </w:r>
          </w:p>
          <w:p>
            <w:pPr>
              <w:pStyle w:val="TableContents"/>
              <w:bidi w:val="0"/>
              <w:spacing w:lineRule="auto" w:line="312" w:before="80" w:after="80"/>
              <w:ind w:left="0" w:right="0" w:hanging="216"/>
              <w:jc w:val="left"/>
              <w:rPr/>
            </w:pPr>
            <w:r>
              <w:rPr>
                <w:color w:val="EE2626"/>
              </w:rPr>
              <w:t>•</w:t>
            </w:r>
            <w:r>
              <w:rPr>
                <w:rFonts w:ascii="ITC Avant Garde Pro Md;sans-serif" w:hAnsi="ITC Avant Garde Pro Md;sans-serif"/>
                <w:b w:val="false"/>
                <w:color w:val="313E48"/>
                <w:sz w:val="17"/>
              </w:rPr>
              <w:t>compensation trends and competitive factors in the market for talent in which the Company competes.</w:t>
            </w:r>
          </w:p>
        </w:tc>
      </w:tr>
      <w:tr>
        <w:trPr/>
        <w:tc>
          <w:tcPr>
            <w:tcW w:w="10205" w:type="dxa"/>
            <w:gridSpan w:val="3"/>
            <w:tcBorders>
              <w:left w:val="single" w:sz="8" w:space="0" w:color="CEC8C2"/>
              <w:bottom w:val="single" w:sz="8" w:space="0" w:color="CFCAC4"/>
              <w:right w:val="single" w:sz="8" w:space="0" w:color="CEC8C2"/>
            </w:tcBorders>
            <w:shd w:fill="F2F1EB"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performs an annual strategic review of compensation for our named executive officers and the Company’s peer group to determine the competitiveness of the compensation we provide and whether we sufficiently motivate our named executive officers. To this end, the Committee reviews survey data and compensation data of peer companies annually when it reviews named executive officer compensation.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For fiscal 2026, the Committee, based on an analysis provided by Compensia, developed the Company’s peer group for purposes of advising the Committee on its assessment of base salary, equity compensation and variable cash bonus opportunities for our named executive officers. After input from Company management, the Committee reviewed the peer group assessment criteria, including peer group company location, industry, direct peers, revenue ranges, market capitalization, and revenue growth rate. The peer group was selected from companies that provide systems software or internet software and services, or enterprise software applications that are headquartered in the United States. Additionally, we focused on peers that generally have revenue growth of 10% or more, that are approximately 0.5 to 2.0 times our trailing 12-month revenue and/or have a market capitalization of 0.3 to 3.0 times that of our own 30 trading day average market capitalization. None of the criteria are fixed and the Committee retains the discretion to determine the Company’s peer group for compensation purposes. Paycor HCM and Smartsheet were removed from the peer group as compared to the prior year as these companies were acquired in 2025 and are no longer publicly traded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28650"/>
                <wp:effectExtent l="0" t="0" r="0" b="0"/>
                <wp:wrapNone/>
                <wp:docPr id="114"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For fiscal 2026, our peer group as determined by the Committee consisted of the following:</w:t>
      </w:r>
    </w:p>
    <w:tbl>
      <w:tblPr>
        <w:tblW w:w="6673" w:type="dxa"/>
        <w:jc w:val="left"/>
        <w:tblInd w:w="0" w:type="dxa"/>
        <w:tblLayout w:type="fixed"/>
        <w:tblCellMar>
          <w:top w:w="28" w:type="dxa"/>
          <w:left w:w="28" w:type="dxa"/>
          <w:bottom w:w="28" w:type="dxa"/>
          <w:right w:w="28" w:type="dxa"/>
        </w:tblCellMar>
      </w:tblPr>
      <w:tblGrid>
        <w:gridCol w:w="553"/>
        <w:gridCol w:w="487"/>
        <w:gridCol w:w="489"/>
        <w:gridCol w:w="584"/>
        <w:gridCol w:w="584"/>
        <w:gridCol w:w="587"/>
        <w:gridCol w:w="644"/>
        <w:gridCol w:w="644"/>
        <w:gridCol w:w="646"/>
        <w:gridCol w:w="426"/>
        <w:gridCol w:w="426"/>
        <w:gridCol w:w="60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op w:val="single" w:sz="8" w:space="0" w:color="CFCAC4"/>
              <w:left w:val="single" w:sz="8" w:space="0" w:color="CEC8C2"/>
            </w:tcBorders>
            <w:shd w:fill="F2F1EB"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CFCAC4"/>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CFCAC4"/>
            </w:tcBorders>
            <w:shd w:fill="F2F1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CFCAC4"/>
              <w:right w:val="single" w:sz="8" w:space="0" w:color="CFCAC4"/>
            </w:tcBorders>
            <w:shd w:fill="F2F1EB"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left w:val="single" w:sz="8" w:space="0" w:color="CEC8C2"/>
            </w:tcBorders>
            <w:shd w:fill="F2F1EB" w:val="clear"/>
            <w:tcMar>
              <w:top w:w="0" w:type="dxa"/>
              <w:left w:w="164"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Bentley Systems</w:t>
            </w:r>
          </w:p>
        </w:tc>
        <w:tc>
          <w:tcPr>
            <w:tcW w:w="1755"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Dynatrace</w:t>
            </w:r>
          </w:p>
        </w:tc>
        <w:tc>
          <w:tcPr>
            <w:tcW w:w="1934"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Manhattan Associates</w:t>
            </w:r>
          </w:p>
        </w:tc>
        <w:tc>
          <w:tcPr>
            <w:tcW w:w="1455" w:type="dxa"/>
            <w:gridSpan w:val="3"/>
            <w:tcBorders>
              <w:right w:val="single" w:sz="8" w:space="0" w:color="CFCAC4"/>
            </w:tcBorders>
            <w:shd w:fill="F2F1EB" w:val="clear"/>
            <w:tcMar>
              <w:top w:w="0" w:type="dxa"/>
              <w:left w:w="0" w:type="dxa"/>
              <w:bottom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RingCentral</w:t>
            </w:r>
          </w:p>
        </w:tc>
      </w:tr>
      <w:tr>
        <w:trPr/>
        <w:tc>
          <w:tcPr>
            <w:tcW w:w="1529" w:type="dxa"/>
            <w:gridSpan w:val="3"/>
            <w:tcBorders>
              <w:left w:val="single" w:sz="8" w:space="0" w:color="CEC8C2"/>
            </w:tcBorders>
            <w:shd w:fill="F2F1EB" w:val="clear"/>
            <w:tcMar>
              <w:top w:w="0" w:type="dxa"/>
              <w:left w:w="164"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Bill Holdings</w:t>
            </w:r>
          </w:p>
        </w:tc>
        <w:tc>
          <w:tcPr>
            <w:tcW w:w="1755"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Elastic N.V.</w:t>
            </w:r>
          </w:p>
        </w:tc>
        <w:tc>
          <w:tcPr>
            <w:tcW w:w="1934"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Okta</w:t>
            </w:r>
          </w:p>
        </w:tc>
        <w:tc>
          <w:tcPr>
            <w:tcW w:w="1455" w:type="dxa"/>
            <w:gridSpan w:val="3"/>
            <w:tcBorders>
              <w:right w:val="single" w:sz="8" w:space="0" w:color="CFCAC4"/>
            </w:tcBorders>
            <w:shd w:fill="F2F1EB" w:val="clear"/>
            <w:tcMar>
              <w:top w:w="0" w:type="dxa"/>
              <w:left w:w="0" w:type="dxa"/>
              <w:bottom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The Trade Desk</w:t>
            </w:r>
          </w:p>
        </w:tc>
      </w:tr>
      <w:tr>
        <w:trPr/>
        <w:tc>
          <w:tcPr>
            <w:tcW w:w="1529" w:type="dxa"/>
            <w:gridSpan w:val="3"/>
            <w:tcBorders>
              <w:left w:val="single" w:sz="8" w:space="0" w:color="CEC8C2"/>
            </w:tcBorders>
            <w:shd w:fill="F2F1EB" w:val="clear"/>
            <w:tcMar>
              <w:top w:w="0" w:type="dxa"/>
              <w:left w:w="164"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BlackLine</w:t>
            </w:r>
          </w:p>
        </w:tc>
        <w:tc>
          <w:tcPr>
            <w:tcW w:w="1755"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Guidewire Software</w:t>
            </w:r>
          </w:p>
        </w:tc>
        <w:tc>
          <w:tcPr>
            <w:tcW w:w="1934"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Paycom Software</w:t>
            </w:r>
          </w:p>
        </w:tc>
        <w:tc>
          <w:tcPr>
            <w:tcW w:w="1455" w:type="dxa"/>
            <w:gridSpan w:val="3"/>
            <w:tcBorders>
              <w:right w:val="single" w:sz="8" w:space="0" w:color="CFCAC4"/>
            </w:tcBorders>
            <w:shd w:fill="F2F1E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left w:val="single" w:sz="8" w:space="0" w:color="CEC8C2"/>
            </w:tcBorders>
            <w:shd w:fill="F2F1EB" w:val="clear"/>
            <w:tcMar>
              <w:top w:w="0" w:type="dxa"/>
              <w:left w:w="164"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Dayforce</w:t>
            </w:r>
          </w:p>
        </w:tc>
        <w:tc>
          <w:tcPr>
            <w:tcW w:w="1755"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HubSpot</w:t>
            </w:r>
          </w:p>
        </w:tc>
        <w:tc>
          <w:tcPr>
            <w:tcW w:w="1934"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Procore Technologies</w:t>
            </w:r>
          </w:p>
        </w:tc>
        <w:tc>
          <w:tcPr>
            <w:tcW w:w="1455" w:type="dxa"/>
            <w:gridSpan w:val="3"/>
            <w:tcBorders>
              <w:right w:val="single" w:sz="8" w:space="0" w:color="CFCAC4"/>
            </w:tcBorders>
            <w:shd w:fill="F2F1E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left w:val="single" w:sz="8" w:space="0" w:color="CEC8C2"/>
            </w:tcBorders>
            <w:shd w:fill="F2F1EB" w:val="clear"/>
            <w:tcMar>
              <w:top w:w="0" w:type="dxa"/>
              <w:left w:w="164"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DocuSign</w:t>
            </w:r>
          </w:p>
        </w:tc>
        <w:tc>
          <w:tcPr>
            <w:tcW w:w="1755"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Informatica</w:t>
            </w:r>
          </w:p>
        </w:tc>
        <w:tc>
          <w:tcPr>
            <w:tcW w:w="1934" w:type="dxa"/>
            <w:gridSpan w:val="3"/>
            <w:tcBorders/>
            <w:shd w:fill="F2F1EB" w:val="clear"/>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PTC</w:t>
            </w:r>
          </w:p>
        </w:tc>
        <w:tc>
          <w:tcPr>
            <w:tcW w:w="1455" w:type="dxa"/>
            <w:gridSpan w:val="3"/>
            <w:tcBorders>
              <w:right w:val="single" w:sz="8" w:space="0" w:color="CFCAC4"/>
            </w:tcBorders>
            <w:shd w:fill="F2F1E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84" w:type="dxa"/>
            <w:gridSpan w:val="6"/>
            <w:tcBorders>
              <w:left w:val="single" w:sz="8" w:space="0" w:color="CEC8C2"/>
              <w:bottom w:val="single" w:sz="8" w:space="0" w:color="CFCAC4"/>
            </w:tcBorders>
            <w:shd w:fill="F2F1EB" w:val="clear"/>
            <w:tcMar>
              <w:top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bottom w:val="single" w:sz="8" w:space="0" w:color="CFCAC4"/>
            </w:tcBorders>
            <w:shd w:fill="F2F1E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CFCAC4"/>
              <w:right w:val="single" w:sz="8" w:space="0" w:color="CFCAC4"/>
            </w:tcBorders>
            <w:shd w:fill="F2F1EB"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Notwithstanding the use of a peer group analysis to assess named executive officer compensation, the Committee does not benchmark individual components of compensation or the total compensation paid to our named executive officers. The Committee makes decisions on named executive officer compensation for each component thereof based on a variety of factors described above.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Base Compensation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reviews and reassesses the base salaries of our named executive officers following the completion of each fiscal year. We do not choose to consider other elements of pay in setting base salaries for our named executive officers because of our philosophy that base salary should be measured by market practices and individual performance. Our Committee may periodically conduct a review of our named executive officers’ base salaries and determine adjustments as warranted, if any.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In fiscal 2026, we increased the base salaries of each of our named executive officers in order to appropriately compensate them given their contributions to the Company's performance and changes in the competitive market conditions.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annual base compensation for our named executive officers as approved by the Committee for fiscal years 2026 and 2025 was as follows:</w:t>
      </w:r>
    </w:p>
    <w:tbl>
      <w:tblPr>
        <w:tblW w:w="5361"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211"/>
        <w:gridCol w:w="826"/>
        <w:gridCol w:w="109"/>
        <w:gridCol w:w="109"/>
        <w:gridCol w:w="109"/>
        <w:gridCol w:w="109"/>
        <w:gridCol w:w="211"/>
        <w:gridCol w:w="82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Named Executive Officer</w:t>
            </w:r>
          </w:p>
        </w:tc>
        <w:tc>
          <w:tcPr>
            <w:tcW w:w="1473"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 2026</w:t>
              <w:br/>
              <w:t>Base Salary</w:t>
            </w:r>
          </w:p>
        </w:tc>
        <w:tc>
          <w:tcPr>
            <w:tcW w:w="151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 2025</w:t>
              <w:br/>
              <w:t>Base Salary</w:t>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744,630 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689,472 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489,032 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432,772 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488,385 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465,129 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446,250 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425,000 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432,000 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400,000 </w:t>
            </w:r>
          </w:p>
        </w:tc>
        <w:tc>
          <w:tcPr>
            <w:tcW w:w="15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Variable Compensation Under Our Annual Bonus Plan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maintain a variable compensation plan in the form of an annual cash bonus plan to reward the performance of our named executive officers in achieving our corporate goals and to primarily align this element of pay for our named executive officers with corporate performance.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For fiscal 2026, our Committee established the following corporate performance measures based 60% upon Recurring and other revenue and 40% upon Adjusted EBITDA targets to assess the cash bonus opportunity for each named executive officer:</w:t>
      </w:r>
    </w:p>
    <w:tbl>
      <w:tblPr>
        <w:tblW w:w="6880" w:type="dxa"/>
        <w:jc w:val="left"/>
        <w:tblInd w:w="0" w:type="dxa"/>
        <w:tblLayout w:type="fixed"/>
        <w:tblCellMar>
          <w:top w:w="28" w:type="dxa"/>
          <w:left w:w="28" w:type="dxa"/>
          <w:bottom w:w="28" w:type="dxa"/>
          <w:right w:w="28" w:type="dxa"/>
        </w:tblCellMar>
      </w:tblPr>
      <w:tblGrid>
        <w:gridCol w:w="673"/>
        <w:gridCol w:w="593"/>
        <w:gridCol w:w="594"/>
        <w:gridCol w:w="211"/>
        <w:gridCol w:w="1336"/>
        <w:gridCol w:w="109"/>
        <w:gridCol w:w="109"/>
        <w:gridCol w:w="109"/>
        <w:gridCol w:w="109"/>
        <w:gridCol w:w="211"/>
        <w:gridCol w:w="1186"/>
        <w:gridCol w:w="109"/>
        <w:gridCol w:w="448"/>
        <w:gridCol w:w="448"/>
        <w:gridCol w:w="635"/>
      </w:tblGrid>
      <w:tr>
        <w:trPr/>
        <w:tc>
          <w:tcPr>
            <w:tcW w:w="6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Achievement Level</w:t>
            </w:r>
          </w:p>
        </w:tc>
        <w:tc>
          <w:tcPr>
            <w:tcW w:w="165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Recurring and</w:t>
              <w:br/>
              <w:t>Other Revenue</w:t>
            </w:r>
          </w:p>
        </w:tc>
        <w:tc>
          <w:tcPr>
            <w:tcW w:w="1833"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Adjusted EBITDA</w:t>
            </w:r>
          </w:p>
        </w:tc>
        <w:tc>
          <w:tcPr>
            <w:tcW w:w="153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Corresponding</w:t>
              <w:br/>
              <w:t>Payout as %</w:t>
              <w:br/>
              <w:t>of Target (for</w:t>
              <w:br/>
              <w:t>each metric)</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Maximum</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1,656,908,000 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642,301,000 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150%</w:t>
            </w:r>
          </w:p>
        </w:tc>
      </w:tr>
      <w:tr>
        <w:trPr/>
        <w:tc>
          <w:tcPr>
            <w:tcW w:w="186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Target</w:t>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33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1,621,908,000 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8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622,301,000 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w:t>
            </w:r>
          </w:p>
        </w:tc>
      </w:tr>
      <w:tr>
        <w:trPr/>
        <w:tc>
          <w:tcPr>
            <w:tcW w:w="186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Threshold</w:t>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33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1,586,908,000 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8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602,301,000 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25170"/>
                <wp:effectExtent l="0" t="0" r="0" b="0"/>
                <wp:wrapNone/>
                <wp:docPr id="115" name="Frame3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focused on these factors in our annual cash bonus plan for fiscal 2026 to drive strong revenue growth while increasing profitability. The Committee set performance measures at challenging levels that would require exceptional efforts, excellent leadership, effective leveraging of our competencies and a strong focus on driving results. For example, target achievement levels required Recurring and other revenue growth of greater than $150 million, or 10%, and a nearly $40 million, or 7%, increase in Adjusted EBITDA as compared to the Company's fiscal 2025 performance.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Based on actual performance for fiscal 2026, our named executive officers exceeded the Recurring and other revenue target payout and achieved the maximum payout for Adjusted EBITDA, resulting in a total payout of 144% of target. Accordingly, the Committee determined that our named executive officers had earned and would be paid the following cash bonuses under our annual cash bonus plan for fiscal 2026, which were paid in fiscal 2027:</w:t>
      </w:r>
    </w:p>
    <w:tbl>
      <w:tblPr>
        <w:tblW w:w="10205" w:type="dxa"/>
        <w:jc w:val="left"/>
        <w:tblInd w:w="0" w:type="dxa"/>
        <w:tblLayout w:type="fixed"/>
        <w:tblCellMar>
          <w:top w:w="28" w:type="dxa"/>
          <w:left w:w="28" w:type="dxa"/>
          <w:bottom w:w="28" w:type="dxa"/>
          <w:right w:w="28" w:type="dxa"/>
        </w:tblCellMar>
      </w:tblPr>
      <w:tblGrid>
        <w:gridCol w:w="765"/>
        <w:gridCol w:w="664"/>
        <w:gridCol w:w="666"/>
        <w:gridCol w:w="396"/>
        <w:gridCol w:w="396"/>
        <w:gridCol w:w="933"/>
        <w:gridCol w:w="109"/>
        <w:gridCol w:w="109"/>
        <w:gridCol w:w="109"/>
        <w:gridCol w:w="211"/>
        <w:gridCol w:w="826"/>
        <w:gridCol w:w="109"/>
        <w:gridCol w:w="389"/>
        <w:gridCol w:w="389"/>
        <w:gridCol w:w="918"/>
        <w:gridCol w:w="109"/>
        <w:gridCol w:w="109"/>
        <w:gridCol w:w="109"/>
        <w:gridCol w:w="211"/>
        <w:gridCol w:w="976"/>
        <w:gridCol w:w="109"/>
        <w:gridCol w:w="333"/>
        <w:gridCol w:w="333"/>
        <w:gridCol w:w="927"/>
      </w:tblGrid>
      <w:tr>
        <w:trPr/>
        <w:tc>
          <w:tcPr>
            <w:tcW w:w="76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Named Executive Officer</w:t>
            </w:r>
          </w:p>
        </w:tc>
        <w:tc>
          <w:tcPr>
            <w:tcW w:w="1725"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 2026 Target</w:t>
            </w:r>
          </w:p>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Cash Bonus</w:t>
            </w:r>
          </w:p>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Opportunity (as a</w:t>
            </w:r>
          </w:p>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percentage of</w:t>
            </w:r>
          </w:p>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Base Salary)</w:t>
            </w:r>
          </w:p>
        </w:tc>
        <w:tc>
          <w:tcPr>
            <w:tcW w:w="1473"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 2026</w:t>
              <w:br/>
              <w:t>Target Cash</w:t>
              <w:br/>
              <w:t>Bonus</w:t>
              <w:br/>
              <w:t>Opportunity</w:t>
            </w:r>
          </w:p>
        </w:tc>
        <w:tc>
          <w:tcPr>
            <w:tcW w:w="16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 2026 Bonus</w:t>
              <w:br/>
              <w:t>Payment Paid in</w:t>
              <w:br/>
              <w:t>Fiscal 2027 (as a</w:t>
              <w:br/>
              <w:t>percentage of</w:t>
              <w:br/>
              <w:t>Base Salary)</w:t>
            </w:r>
          </w:p>
        </w:tc>
        <w:tc>
          <w:tcPr>
            <w:tcW w:w="1623"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 2026</w:t>
              <w:br/>
              <w:t>Bonus Payment</w:t>
              <w:br/>
              <w:t>Paid in</w:t>
              <w:br/>
              <w:t>Fiscal 2027</w:t>
            </w:r>
          </w:p>
        </w:tc>
        <w:tc>
          <w:tcPr>
            <w:tcW w:w="15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 2026</w:t>
              <w:br/>
              <w:t>Bonus Payment</w:t>
              <w:br/>
              <w:t>(as a percentage</w:t>
              <w:br/>
              <w:t>of target)</w:t>
            </w:r>
          </w:p>
        </w:tc>
      </w:tr>
      <w:tr>
        <w:trPr/>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7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744,630 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18"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1,072,267 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27"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r>
      <w:tr>
        <w:trPr/>
        <w:tc>
          <w:tcPr>
            <w:tcW w:w="209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79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w:t>
            </w:r>
          </w:p>
        </w:tc>
        <w:tc>
          <w:tcPr>
            <w:tcW w:w="933"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489,032 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18"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704,206 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27"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r>
      <w:tr>
        <w:trPr/>
        <w:tc>
          <w:tcPr>
            <w:tcW w:w="209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79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w:t>
            </w:r>
          </w:p>
        </w:tc>
        <w:tc>
          <w:tcPr>
            <w:tcW w:w="933"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488,385 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18"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703,275 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27"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r>
      <w:tr>
        <w:trPr/>
        <w:tc>
          <w:tcPr>
            <w:tcW w:w="209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79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75</w:t>
            </w:r>
          </w:p>
        </w:tc>
        <w:tc>
          <w:tcPr>
            <w:tcW w:w="933"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334,688 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108</w:t>
            </w:r>
          </w:p>
        </w:tc>
        <w:tc>
          <w:tcPr>
            <w:tcW w:w="918"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481,950 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27"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r>
      <w:tr>
        <w:trPr/>
        <w:tc>
          <w:tcPr>
            <w:tcW w:w="2095"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792"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w:t>
            </w:r>
          </w:p>
        </w:tc>
        <w:tc>
          <w:tcPr>
            <w:tcW w:w="933"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432,000 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18"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622,080 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w:t>
            </w:r>
          </w:p>
        </w:tc>
        <w:tc>
          <w:tcPr>
            <w:tcW w:w="927"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r>
    </w:tbl>
    <w:p>
      <w:pPr>
        <w:pStyle w:val="TextBody"/>
        <w:bidi w:val="0"/>
        <w:spacing w:lineRule="auto" w:line="288" w:before="360" w:after="200"/>
        <w:ind w:left="0" w:right="0" w:hanging="288"/>
        <w:jc w:val="left"/>
        <w:rPr>
          <w:rFonts w:ascii="ITC Avant Garde Pro Bk;sans-serif" w:hAnsi="ITC Avant Garde Pro Bk;sans-serif"/>
          <w:b/>
          <w:color w:val="F78D2D"/>
          <w:sz w:val="36"/>
        </w:rPr>
      </w:pPr>
      <w:r>
        <w:rPr>
          <w:rFonts w:ascii="ITC Avant Garde Pro Bk;sans-serif" w:hAnsi="ITC Avant Garde Pro Bk;sans-serif"/>
          <w:b/>
          <w:color w:val="F78D2D"/>
          <w:sz w:val="36"/>
        </w:rPr>
        <w:t>Equity Compensation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For fiscal 2026, the equity compensation for our named executive officers consisted of RSUs, PSUs and MSUs, which were each granted on August 15, 2025, as a part of our annual award cycle. The amount and type of equity awards granted to our named executive officers reflects the Committee’s desire to remain competitive with the Company’s peer group while taking into consideration the overall goals of our equity compensation, including retention, the ability to reward achievement and aligning executives' interests with our stockholders.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RSUs, PSUs and MSUs representing the right to receive shares of our common stock upon settlement retain value even in the absence of stock price appreciation, although the value ultimately realized from PSUs and MSUs remains subject to the achievement of applicable performance goals. As a result, the Committee believes these awards enable us to incent and retain our named executive officers using fewer shares of our common stock, thereby reducing dilution and allowing us to use our equity compensation resources more efficiently. These awards also align the long-term interests of our named executive officers with those of our stockholders because their value generally increases as the value of the underlying shares increases, while PSUs and MSUs further promote the achievement of key performance objectives. In addition, the multi-year vesting requirements, which are generally four years for RSUs and three years for PSUs and MSUs, support our retention objectives by requiring continued employment through the applicable vesting dates to fully earn the awards.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28650"/>
                <wp:effectExtent l="0" t="0" r="0" b="0"/>
                <wp:wrapNone/>
                <wp:docPr id="116"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12"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target grant values and number of shares subject to the awards granted are summarized below:</w:t>
      </w:r>
    </w:p>
    <w:tbl>
      <w:tblPr>
        <w:tblW w:w="10205" w:type="dxa"/>
        <w:jc w:val="left"/>
        <w:tblInd w:w="0" w:type="dxa"/>
        <w:tblLayout w:type="fixed"/>
        <w:tblCellMar>
          <w:top w:w="28" w:type="dxa"/>
          <w:left w:w="28" w:type="dxa"/>
          <w:bottom w:w="28" w:type="dxa"/>
          <w:right w:w="28" w:type="dxa"/>
        </w:tblCellMar>
      </w:tblPr>
      <w:tblGrid>
        <w:gridCol w:w="580"/>
        <w:gridCol w:w="484"/>
        <w:gridCol w:w="486"/>
        <w:gridCol w:w="244"/>
        <w:gridCol w:w="1134"/>
        <w:gridCol w:w="126"/>
        <w:gridCol w:w="309"/>
        <w:gridCol w:w="309"/>
        <w:gridCol w:w="310"/>
        <w:gridCol w:w="109"/>
        <w:gridCol w:w="109"/>
        <w:gridCol w:w="109"/>
        <w:gridCol w:w="176"/>
        <w:gridCol w:w="151"/>
        <w:gridCol w:w="147"/>
        <w:gridCol w:w="540"/>
        <w:gridCol w:w="541"/>
        <w:gridCol w:w="147"/>
        <w:gridCol w:w="360"/>
        <w:gridCol w:w="361"/>
        <w:gridCol w:w="310"/>
        <w:gridCol w:w="109"/>
        <w:gridCol w:w="109"/>
        <w:gridCol w:w="109"/>
        <w:gridCol w:w="177"/>
        <w:gridCol w:w="149"/>
        <w:gridCol w:w="147"/>
        <w:gridCol w:w="540"/>
        <w:gridCol w:w="541"/>
        <w:gridCol w:w="147"/>
        <w:gridCol w:w="360"/>
        <w:gridCol w:w="361"/>
        <w:gridCol w:w="414"/>
      </w:tblGrid>
      <w:tr>
        <w:trPr/>
        <w:tc>
          <w:tcPr>
            <w:tcW w:w="5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D48"/>
                <w:sz w:val="16"/>
              </w:rPr>
            </w:pPr>
            <w:r>
              <w:rPr>
                <w:rFonts w:ascii="ITC Avant Garde Pro Bk;sans-serif" w:hAnsi="ITC Avant Garde Pro Bk;sans-serif"/>
                <w:b/>
                <w:color w:val="313D48"/>
                <w:sz w:val="16"/>
              </w:rPr>
              <w:t>RSU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rFonts w:ascii="ITC Avant Garde Pro Bk;sans-serif" w:hAnsi="ITC Avant Garde Pro Bk;sans-serif"/>
                <w:b/>
                <w:color w:val="313D48"/>
                <w:sz w:val="16"/>
              </w:rPr>
              <w:t>PSU Awards</w:t>
            </w:r>
            <w:r>
              <w:rPr>
                <w:rFonts w:ascii="ITC Avant Garde Pro Bk;sans-serif" w:hAnsi="ITC Avant Garde Pro Bk;sans-serif"/>
                <w:b/>
                <w:color w:val="313D48"/>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rFonts w:ascii="ITC Avant Garde Pro Bk;sans-serif" w:hAnsi="ITC Avant Garde Pro Bk;sans-serif"/>
                <w:b/>
                <w:color w:val="313D48"/>
                <w:sz w:val="16"/>
              </w:rPr>
              <w:t>MSU Awards</w:t>
            </w:r>
            <w:r>
              <w:rPr>
                <w:rFonts w:ascii="ITC Avant Garde Pro Bk;sans-serif" w:hAnsi="ITC Avant Garde Pro Bk;sans-serif"/>
                <w:b/>
                <w:color w:val="313D48"/>
                <w:sz w:val="10"/>
              </w:rPr>
              <w:t>(2)</w:t>
            </w:r>
          </w:p>
        </w:tc>
      </w:tr>
      <w:tr>
        <w:trPr/>
        <w:tc>
          <w:tcPr>
            <w:tcW w:w="155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Named Executive Officer</w:t>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Target Grant Value</w:t>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Number of</w:t>
              <w:br/>
              <w:t>Shares</w:t>
              <w:br/>
              <w:t>Subject to</w:t>
              <w:br/>
              <w:t>Equity</w:t>
              <w:br/>
              <w:t>Awards</w:t>
            </w:r>
            <w:r>
              <w:rPr>
                <w:rFonts w:ascii="ITC Avant Garde Pro Bk;sans-serif" w:hAnsi="ITC Avant Garde Pro Bk;sans-serif"/>
                <w:b/>
                <w:color w:val="313D48"/>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Target Grant</w:t>
              <w:br/>
              <w:t>Value</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Number of</w:t>
              <w:br/>
              <w:t>Shares</w:t>
              <w:br/>
              <w:t>Subject to</w:t>
              <w:br/>
              <w:t>Equity</w:t>
              <w:br/>
              <w:t>Awards</w:t>
            </w:r>
            <w:r>
              <w:rPr>
                <w:rFonts w:ascii="ITC Avant Garde Pro Bk;sans-serif" w:hAnsi="ITC Avant Garde Pro Bk;sans-serif"/>
                <w:b/>
                <w:color w:val="313D48"/>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Target Grant</w:t>
              <w:br/>
              <w:t>Value</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Number of</w:t>
              <w:br/>
              <w:t>Shares</w:t>
              <w:br/>
              <w:t>Subject to</w:t>
              <w:br/>
              <w:t>Equity</w:t>
              <w:br/>
              <w:t>Awards</w:t>
            </w:r>
            <w:r>
              <w:rPr>
                <w:rFonts w:ascii="ITC Avant Garde Pro Bk;sans-serif" w:hAnsi="ITC Avant Garde Pro Bk;sans-serif"/>
                <w:b/>
                <w:color w:val="313D48"/>
                <w:sz w:val="10"/>
              </w:rPr>
              <w:t>(3)</w:t>
            </w:r>
          </w:p>
        </w:tc>
      </w:tr>
      <w:tr>
        <w:trPr/>
        <w:tc>
          <w:tcPr>
            <w:tcW w:w="15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34"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8,500,000 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D48"/>
                <w:sz w:val="17"/>
              </w:rPr>
              <w:t>46,576</w:t>
            </w:r>
            <w:r>
              <w:rPr>
                <w:rFonts w:ascii="ITC Avant Garde Pro Md;sans-serif" w:hAnsi="ITC Avant Garde Pro Md;sans-serif"/>
                <w:b w:val="false"/>
                <w:color w:val="313D48"/>
                <w:sz w:val="11"/>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$5,610,000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30,740 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$2,890,000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15,836 </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4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3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5,000,000 </w:t>
            </w:r>
          </w:p>
        </w:tc>
        <w:tc>
          <w:tcPr>
            <w:tcW w:w="12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D48"/>
                <w:sz w:val="17"/>
              </w:rPr>
              <w:t>27,398</w:t>
            </w:r>
            <w:r>
              <w:rPr>
                <w:rFonts w:ascii="ITC Avant Garde Pro Md;sans-serif" w:hAnsi="ITC Avant Garde Pro Md;sans-serif"/>
                <w:b w:val="false"/>
                <w:color w:val="313D48"/>
                <w:sz w:val="11"/>
              </w:rPr>
              <w:t>(5)</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31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1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vMerge w:val="restart"/>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3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5,425,000 </w:t>
            </w:r>
          </w:p>
        </w:tc>
        <w:tc>
          <w:tcPr>
            <w:tcW w:w="12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D48"/>
                <w:sz w:val="17"/>
              </w:rPr>
              <w:t>29,727</w:t>
            </w:r>
            <w:r>
              <w:rPr>
                <w:rFonts w:ascii="ITC Avant Garde Pro Md;sans-serif" w:hAnsi="ITC Avant Garde Pro Md;sans-serif"/>
                <w:b w:val="false"/>
                <w:color w:val="313D48"/>
                <w:sz w:val="11"/>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$1,550,000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8,494 </w:t>
            </w:r>
          </w:p>
        </w:tc>
        <w:tc>
          <w:tcPr>
            <w:tcW w:w="31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$775,000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4,247 </w:t>
            </w:r>
          </w:p>
        </w:tc>
        <w:tc>
          <w:tcPr>
            <w:tcW w:w="41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vMerge w:val="continue"/>
            <w:tcBorders>
              <w:top w:val="single" w:sz="4" w:space="0" w:color="939598"/>
            </w:tcBorders>
            <w:tcMar>
              <w:top w:w="30" w:type="dxa"/>
              <w:left w:w="0" w:type="dxa"/>
              <w:bottom w:w="0" w:type="dxa"/>
              <w:right w:w="0" w:type="dxa"/>
            </w:tcMar>
            <w:vAlign w:val="center"/>
          </w:tcPr>
          <w:p>
            <w:pPr>
              <w:pStyle w:val="Normal"/>
              <w:bidi w:val="0"/>
              <w:jc w:val="left"/>
              <w:rPr/>
            </w:pPr>
            <w:r>
              <w:rPr/>
            </w:r>
          </w:p>
        </w:tc>
        <w:tc>
          <w:tcPr>
            <w:tcW w:w="24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3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750,000 </w:t>
            </w:r>
          </w:p>
        </w:tc>
        <w:tc>
          <w:tcPr>
            <w:tcW w:w="12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D48"/>
                <w:sz w:val="17"/>
              </w:rPr>
              <w:t>4,110</w:t>
            </w:r>
            <w:r>
              <w:rPr>
                <w:rFonts w:ascii="ITC Avant Garde Pro Md;sans-serif" w:hAnsi="ITC Avant Garde Pro Md;sans-serif"/>
                <w:b w:val="false"/>
                <w:color w:val="313D48"/>
                <w:sz w:val="11"/>
              </w:rPr>
              <w:t>(5)</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31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1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3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3,168,000 </w:t>
            </w:r>
          </w:p>
        </w:tc>
        <w:tc>
          <w:tcPr>
            <w:tcW w:w="12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D48"/>
                <w:sz w:val="17"/>
              </w:rPr>
              <w:t>17,357</w:t>
            </w:r>
            <w:r>
              <w:rPr>
                <w:rFonts w:ascii="ITC Avant Garde Pro Md;sans-serif" w:hAnsi="ITC Avant Garde Pro Md;sans-serif"/>
                <w:b w:val="false"/>
                <w:color w:val="313D48"/>
                <w:sz w:val="11"/>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$905,000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4,959 </w:t>
            </w:r>
          </w:p>
        </w:tc>
        <w:tc>
          <w:tcPr>
            <w:tcW w:w="31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$453,000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2,480 </w:t>
            </w:r>
          </w:p>
        </w:tc>
        <w:tc>
          <w:tcPr>
            <w:tcW w:w="41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34"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2,450,000 </w:t>
            </w:r>
          </w:p>
        </w:tc>
        <w:tc>
          <w:tcPr>
            <w:tcW w:w="12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D48"/>
                <w:sz w:val="17"/>
              </w:rPr>
              <w:t>13,425</w:t>
            </w:r>
            <w:r>
              <w:rPr>
                <w:rFonts w:ascii="ITC Avant Garde Pro Md;sans-serif" w:hAnsi="ITC Avant Garde Pro Md;sans-serif"/>
                <w:b w:val="false"/>
                <w:color w:val="313D48"/>
                <w:sz w:val="11"/>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$700,000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3,836 </w:t>
            </w:r>
          </w:p>
        </w:tc>
        <w:tc>
          <w:tcPr>
            <w:tcW w:w="31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$350,000 </w:t>
            </w:r>
          </w:p>
        </w:tc>
        <w:tc>
          <w:tcPr>
            <w:tcW w:w="14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1,918 </w:t>
            </w:r>
          </w:p>
        </w:tc>
        <w:tc>
          <w:tcPr>
            <w:tcW w:w="41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24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3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1,985,000 </w:t>
            </w:r>
          </w:p>
        </w:tc>
        <w:tc>
          <w:tcPr>
            <w:tcW w:w="12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D48"/>
                <w:sz w:val="17"/>
              </w:rPr>
              <w:t>10,874</w:t>
            </w:r>
            <w:r>
              <w:rPr>
                <w:rFonts w:ascii="ITC Avant Garde Pro Md;sans-serif" w:hAnsi="ITC Avant Garde Pro Md;sans-serif"/>
                <w:b w:val="false"/>
                <w:color w:val="313D48"/>
                <w:sz w:val="11"/>
              </w:rPr>
              <w:t>(4)</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$567,000 </w:t>
            </w:r>
          </w:p>
        </w:tc>
        <w:tc>
          <w:tcPr>
            <w:tcW w:w="147"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3,107 </w:t>
            </w:r>
          </w:p>
        </w:tc>
        <w:tc>
          <w:tcPr>
            <w:tcW w:w="310"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$284,000 </w:t>
            </w:r>
          </w:p>
        </w:tc>
        <w:tc>
          <w:tcPr>
            <w:tcW w:w="147"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1,554 </w:t>
            </w:r>
          </w:p>
        </w:tc>
        <w:tc>
          <w:tcPr>
            <w:tcW w:w="41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 xml:space="preserve">Vest 50%, 25% and 25% on the first, second and third anniversaries, respectively, of the date of grant based on certain Recurring and other revenue performance targets achieved during a one-year performance period ending on June 30, 2026, subject to continued service through each applicable vesting date.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Vest 25% based on certain TSR percentile rank performance targets achieved during four separate performance periods that each start on August 31, 2025 and end on November 30, 2027, February 29, 2028, May 31, 2028 and August 31, 2028, respectively.</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(3)</w:t>
      </w:r>
      <w:r>
        <w:rPr>
          <w:rFonts w:ascii="ITC Avant Garde Pro Md;sans-serif" w:hAnsi="ITC Avant Garde Pro Md;sans-serif"/>
          <w:b w:val="false"/>
          <w:color w:val="313D48"/>
          <w:sz w:val="16"/>
        </w:rPr>
        <w:t xml:space="preserve">The number of shares subject to the equity awards granted was determined by dividing the target grant value by the average closing sales price of our common stock for the 30 calendar days preceding the grant date, and therefore, the corresponding target grant values do not correspond exactly with the grant date fair values reported in our Summary Compensation Table or Grants of Plan-Based Awards in Fiscal 2026.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(4)</w:t>
      </w:r>
      <w:r>
        <w:rPr>
          <w:rFonts w:ascii="ITC Avant Garde Pro Md;sans-serif" w:hAnsi="ITC Avant Garde Pro Md;sans-serif"/>
          <w:b w:val="false"/>
          <w:color w:val="313D48"/>
          <w:sz w:val="17"/>
        </w:rPr>
        <w:t>Vest</w:t>
      </w:r>
      <w:r>
        <w:rPr>
          <w:color w:val="313D48"/>
        </w:rPr>
        <w:t xml:space="preserve"> </w:t>
      </w:r>
      <w:r>
        <w:rPr>
          <w:rFonts w:ascii="ITC Avant Garde Pro Md;sans-serif" w:hAnsi="ITC Avant Garde Pro Md;sans-serif"/>
          <w:b w:val="false"/>
          <w:color w:val="313D48"/>
          <w:sz w:val="16"/>
        </w:rPr>
        <w:t>6.25% on each three-month anniversary of the date of grant, subject to continued service through each applicable vesting date.</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(5)</w:t>
      </w:r>
      <w:r>
        <w:rPr>
          <w:rFonts w:ascii="ITC Avant Garde Pro Md;sans-serif" w:hAnsi="ITC Avant Garde Pro Md;sans-serif"/>
          <w:b w:val="false"/>
          <w:color w:val="313D48"/>
          <w:sz w:val="16"/>
        </w:rPr>
        <w:t>Vest 12.5% on each three-month anniversary of the date of grant, subject to continued service through each applicable vesting date.</w:t>
      </w:r>
    </w:p>
    <w:p>
      <w:pPr>
        <w:pStyle w:val="TextBody"/>
        <w:bidi w:val="0"/>
        <w:spacing w:lineRule="auto" w:line="288" w:before="200" w:after="160"/>
        <w:jc w:val="left"/>
        <w:rPr>
          <w:rFonts w:ascii="ITC Avant Garde Pro Bk;sans-serif" w:hAnsi="ITC Avant Garde Pro Bk;sans-serif"/>
          <w:b/>
          <w:color w:val="313D48"/>
          <w:sz w:val="28"/>
        </w:rPr>
      </w:pPr>
      <w:r>
        <w:rPr>
          <w:rFonts w:ascii="ITC Avant Garde Pro Bk;sans-serif" w:hAnsi="ITC Avant Garde Pro Bk;sans-serif"/>
          <w:b/>
          <w:color w:val="313D48"/>
          <w:sz w:val="28"/>
        </w:rPr>
        <w:t>RSU Awards</w:t>
      </w:r>
    </w:p>
    <w:p>
      <w:pPr>
        <w:pStyle w:val="TextBody"/>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For fiscal 2026, the Committee granted RSUs that vest quarterly over a four-year period to each of the named executive officers. In addition, the Committee allocated a portion of the total target long-term incentive value for Mr. Williams and Mr. Glenn to RSUs that vest quarterly over a two-year period. These awards had target values of $5.0 million and $750,000 for Mr. Williams and Mr. Glenn, respectively. The use of the two-year vesting RSU awards for Mr. Williams and Mr. Glenn was intended to strengthen near-term retention, reinforce leadership continuity, and encourage sustained operating performance and long-term shareholder value creation. </w:t>
      </w:r>
    </w:p>
    <w:p>
      <w:pPr>
        <w:pStyle w:val="TextBody"/>
        <w:bidi w:val="0"/>
        <w:spacing w:before="0" w:after="0"/>
        <w:jc w:val="left"/>
        <w:rPr/>
      </w:pPr>
      <w:r>
        <w:rPr/>
      </w:r>
    </w:p>
    <w:p>
      <w:pPr>
        <w:pStyle w:val="TextBody"/>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approved these grants in recognition of each executive's contributions since their respective promotions to CEO and CFO in March 2022, noting the promotion grants awarded in March 2022 were lower than the grant levels typically provided to newly hired executives in comparable roles. Despite ongoing software industry and macroeconomic challenges, the Company achieved a compound annual growth rate of approximately 23% in total revenue, combined with increasing profitability, including a 25% compound annual growth rate in Adjusted EBITDA excluding interest income on funds held for clients, over the three-year period ended fiscal 2025, reflecting the Company's strong performance during their tenure. In determining the grant value of the awards, the Committee also considered the value of each executive's unvested equity holdings, and the highly competitive market for software executive talent, and concluded that those holdings provided limited retention value. Based on these considerations, the Committee concluded that the long-term incentive program for our CEO and CFO appropriately supported the retention and motivational objectives of our compensation philosophy and maintained compensation at competitive levels relative to our peer group.</w:t>
      </w:r>
    </w:p>
    <w:p>
      <w:pPr>
        <w:pStyle w:val="TextBody"/>
        <w:bidi w:val="0"/>
        <w:spacing w:lineRule="auto" w:line="288" w:before="200" w:after="160"/>
        <w:jc w:val="left"/>
        <w:rPr>
          <w:rFonts w:ascii="ITC Avant Garde Pro Bk;sans-serif" w:hAnsi="ITC Avant Garde Pro Bk;sans-serif"/>
          <w:b/>
          <w:color w:val="313D48"/>
          <w:sz w:val="28"/>
        </w:rPr>
      </w:pPr>
      <w:r>
        <w:rPr>
          <w:rFonts w:ascii="ITC Avant Garde Pro Bk;sans-serif" w:hAnsi="ITC Avant Garde Pro Bk;sans-serif"/>
          <w:b/>
          <w:color w:val="313D48"/>
          <w:sz w:val="28"/>
        </w:rPr>
        <w:t>PSU Awards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The fiscal 2026 PSUs have performance-based vesting criteria tied to our fiscal 2026 Recurring and other revenue goals. The Company’s named executive officers will have the opportunity to earn 50% of the target shares by achieving a threshold level of performance and an opportunity to earn up to 200% of the target shares for superior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25170"/>
                <wp:effectExtent l="0" t="0" r="0" b="0"/>
                <wp:wrapNone/>
                <wp:docPr id="117" name="Frame38"/>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performance. To the extent earned based on the applicable performance level attained, the PSUs vest 50% after the first year and 25% in each of the following two years. The Committee believes that these Recurring and other revenue performance goals combined with multi-year service conditions will further align our executives' potential equity award payouts with our overall performance while promoting long-term retention.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set performance measures at challenging levels that would require exceptional efforts, excellent leadership, effective leveraging of our competencies and a strong focus on driving results. For fiscal 2026, our Committee established the following corporate performance measures based upon Recurring and other revenue to assess the PSU performance achievement for each named executive officer:</w:t>
      </w:r>
    </w:p>
    <w:tbl>
      <w:tblPr>
        <w:tblW w:w="5047" w:type="dxa"/>
        <w:jc w:val="left"/>
        <w:tblInd w:w="0" w:type="dxa"/>
        <w:tblLayout w:type="fixed"/>
        <w:tblCellMar>
          <w:top w:w="28" w:type="dxa"/>
          <w:left w:w="28" w:type="dxa"/>
          <w:bottom w:w="28" w:type="dxa"/>
          <w:right w:w="28" w:type="dxa"/>
        </w:tblCellMar>
      </w:tblPr>
      <w:tblGrid>
        <w:gridCol w:w="673"/>
        <w:gridCol w:w="593"/>
        <w:gridCol w:w="594"/>
        <w:gridCol w:w="211"/>
        <w:gridCol w:w="1336"/>
        <w:gridCol w:w="109"/>
        <w:gridCol w:w="448"/>
        <w:gridCol w:w="448"/>
        <w:gridCol w:w="635"/>
      </w:tblGrid>
      <w:tr>
        <w:trPr/>
        <w:tc>
          <w:tcPr>
            <w:tcW w:w="6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Achievement Level</w:t>
            </w:r>
          </w:p>
        </w:tc>
        <w:tc>
          <w:tcPr>
            <w:tcW w:w="165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Recurring and</w:t>
              <w:br/>
              <w:t>Other Revenue</w:t>
            </w:r>
          </w:p>
        </w:tc>
        <w:tc>
          <w:tcPr>
            <w:tcW w:w="153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Corresponding</w:t>
            </w:r>
          </w:p>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Payout as %</w:t>
              <w:br/>
              <w:t>of Target (for</w:t>
            </w:r>
          </w:p>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each metric)</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Maximum</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1,691,908,000 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200%</w:t>
            </w:r>
          </w:p>
        </w:tc>
      </w:tr>
      <w:tr>
        <w:trPr/>
        <w:tc>
          <w:tcPr>
            <w:tcW w:w="186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Target</w:t>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33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1,621,908,000 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w:t>
            </w:r>
          </w:p>
        </w:tc>
      </w:tr>
      <w:tr>
        <w:trPr/>
        <w:tc>
          <w:tcPr>
            <w:tcW w:w="186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Threshold</w:t>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33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1,586,908,000 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w:t>
            </w:r>
          </w:p>
        </w:tc>
      </w:tr>
    </w:tbl>
    <w:p>
      <w:pPr>
        <w:pStyle w:val="TextBody"/>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Based on actual performance for fiscal 2026, our named executive officers exceeded the Recurring and other revenue target achievement, which resulted in the named executive officers earning 140% of the fiscal 2026 PSUs. Of the earned PSUs, 50% vested in August 2026, on the first anniversary of the date of grant, and the remaining unvested earned PSUs will vest in equal increments on the second and third anniversaries of the date of grant, subject to the executive’s continued employment through the vesting date.</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MSU Awards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also granted MSUs that are tied to our stock price performance as compared to the broader stock market for fiscal 2026. The performance conditions for the awards granted in fiscal 2026 are based on total stockholder return (“TSR”) as compared to the Russell 3000 Index for four separate performance periods each starting on August 31, 2025 and ending on November 30, 2027, February 29, 2028, May 31, 2028 and August 31, 2028, respectively. The shares subject to the MSU awards granted may vest 25% based on TSR achievement through each of the aforementioned dates. The MSUs provide the opportunity to earn 25% of the target number of shares by the Company achieving a threshold level of performance and an opportunity to earn up to 200% of the target shares for superior performance. The Committee believes that these TSR performance conditions will further align the interests of our named executive officers with the interests of our stockholders and provide incentives that will encourage behaviors that will maximize stockholder value.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If our relative TSR percentile over each of the performance periods equals the 60th percentile, then the target number of units will be earned. If our TSR over the performance period is negative, then no more than the target number of units will be earned. The Company’s relative TSR percentile is determined by ranking the group of benchmark companies (other than the Company) from the highest to the lowest according to their respective TSR for the performance period, then calculating the TSR percentile ranking of the Company relative to other companies in the group of benchmark companies. If our relative TSR percentile is less than the 25th percentile, no payout is earned. If our relative TSR percentile is equal to or greater than the 25th percentile, award payouts may range from 25% up to 200% of target scaled to the relative TSR percentile, as shown in the TSR Percentile Payout Table below:</w:t>
      </w:r>
    </w:p>
    <w:tbl>
      <w:tblPr>
        <w:tblW w:w="3765" w:type="dxa"/>
        <w:jc w:val="left"/>
        <w:tblInd w:w="0" w:type="dxa"/>
        <w:tblLayout w:type="fixed"/>
        <w:tblCellMar>
          <w:top w:w="28" w:type="dxa"/>
          <w:left w:w="28" w:type="dxa"/>
          <w:bottom w:w="28" w:type="dxa"/>
          <w:right w:w="28" w:type="dxa"/>
        </w:tblCellMar>
      </w:tblPr>
      <w:tblGrid>
        <w:gridCol w:w="821"/>
        <w:gridCol w:w="720"/>
        <w:gridCol w:w="724"/>
        <w:gridCol w:w="439"/>
        <w:gridCol w:w="439"/>
        <w:gridCol w:w="622"/>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Relative TSR Percentile</w:t>
            </w:r>
          </w:p>
        </w:tc>
        <w:tc>
          <w:tcPr>
            <w:tcW w:w="1500"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Payout % of</w:t>
              <w:br/>
              <w:t>Target MSUs</w:t>
            </w:r>
            <w:r>
              <w:rPr>
                <w:rFonts w:ascii="ITC Avant Garde Pro Bk;sans-serif" w:hAnsi="ITC Avant Garde Pro Bk;sans-serif"/>
                <w:b/>
                <w:color w:val="313D48"/>
                <w:sz w:val="10"/>
              </w:rPr>
              <w:t>(1)</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80th Percentile or Above</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200%</w:t>
            </w:r>
          </w:p>
        </w:tc>
      </w:tr>
      <w:tr>
        <w:trPr/>
        <w:tc>
          <w:tcPr>
            <w:tcW w:w="226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60th Percentile</w:t>
            </w:r>
          </w:p>
        </w:tc>
        <w:tc>
          <w:tcPr>
            <w:tcW w:w="150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w:t>
            </w:r>
          </w:p>
        </w:tc>
      </w:tr>
      <w:tr>
        <w:trPr/>
        <w:tc>
          <w:tcPr>
            <w:tcW w:w="226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35th Percentile</w:t>
            </w:r>
          </w:p>
        </w:tc>
        <w:tc>
          <w:tcPr>
            <w:tcW w:w="150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w:t>
            </w:r>
          </w:p>
        </w:tc>
      </w:tr>
      <w:tr>
        <w:trPr/>
        <w:tc>
          <w:tcPr>
            <w:tcW w:w="226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25th Percentile</w:t>
            </w:r>
          </w:p>
        </w:tc>
        <w:tc>
          <w:tcPr>
            <w:tcW w:w="150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w:t>
            </w:r>
          </w:p>
        </w:tc>
      </w:tr>
      <w:tr>
        <w:trPr/>
        <w:tc>
          <w:tcPr>
            <w:tcW w:w="2265"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Below 25th Percentile</w:t>
            </w:r>
          </w:p>
        </w:tc>
        <w:tc>
          <w:tcPr>
            <w:tcW w:w="150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0%</w:t>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To the extent relative TSR falls between two discrete points in the chart above, linear interpolation shall be used to determine the Payout % of Target MSUs corresponding to the Relative TSR Percentile as set forth in the award agreement.</w:t>
      </w:r>
    </w:p>
    <w:p>
      <w:pPr>
        <w:pStyle w:val="TextBody"/>
        <w:bidi w:val="0"/>
        <w:spacing w:before="80" w:after="80"/>
        <w:jc w:val="left"/>
        <w:rPr/>
      </w:pPr>
      <w:r>
        <w:rPr/>
      </w:r>
    </w:p>
    <w:p>
      <w:pPr>
        <w:pStyle w:val="TextBody"/>
        <w:bidi w:val="0"/>
        <w:spacing w:before="20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28650"/>
                <wp:effectExtent l="0" t="0" r="0" b="0"/>
                <wp:wrapNone/>
                <wp:docPr id="118"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Fiscal 2023 MSU Award Performance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MSUs granted in fiscal 2023 were subject to the performance conditions described above, with a three-year performance period from August 31, 2022 through August 31, 2025. Our relative TSR for the performance period was at the 30th percentile, resulting in our named executive officers earning 35% of the target number of shares subject to the fiscal 2023 MSUs.</w:t>
      </w:r>
    </w:p>
    <w:p>
      <w:pPr>
        <w:pStyle w:val="TextBody"/>
        <w:bidi w:val="0"/>
        <w:spacing w:lineRule="auto" w:line="288" w:before="320" w:after="160"/>
        <w:jc w:val="left"/>
        <w:rPr>
          <w:rFonts w:ascii="ITC Avant Garde Pro Bk;sans-serif" w:hAnsi="ITC Avant Garde Pro Bk;sans-serif"/>
          <w:b/>
          <w:color w:val="F78D2D"/>
          <w:sz w:val="36"/>
        </w:rPr>
      </w:pPr>
      <w:r>
        <w:rPr>
          <w:rFonts w:ascii="ITC Avant Garde Pro Bk;sans-serif" w:hAnsi="ITC Avant Garde Pro Bk;sans-serif"/>
          <w:b/>
          <w:color w:val="F78D2D"/>
          <w:sz w:val="36"/>
        </w:rPr>
        <w:t>Severance and Change in Control Payments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 connection with the hiring of certain named executive officers, we have provided for certain severance and change in control benefits under specified circumstances in their employment agreement. We believe these severance and change in control benefits are consistent with those provided by our peer group and are an essential element of our overall executive compensation package due to the competitive market for executive talent in our industry. The Compensation Committee believes that the severance and change in control benefits are an important element of the named executive officers’ retention and motivation and that the benefits of such agreements, including generally requiring a release of claims against us as a condition to receiving any severance benefits, are in our best interests. Equity vesting acceleration benefits provided in connection with a change in control are intended to eliminate, or at least reduce, the reluctance of our executive officers to diligently consider and pursue potential change in control transactions that may be in the best interests of our stockholders.</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For quantification of any additional information regarding the severance and change in control benefits, please see the discussion under </w:t>
      </w:r>
      <w:r>
        <w:rPr>
          <w:color w:val="313D48"/>
        </w:rPr>
        <w:t>“</w:t>
      </w:r>
      <w:r>
        <w:rPr>
          <w:rFonts w:ascii="ITC Avant Garde Pro Md;sans-serif" w:hAnsi="ITC Avant Garde Pro Md;sans-serif"/>
          <w:b w:val="false"/>
          <w:i/>
          <w:color w:val="313D48"/>
          <w:sz w:val="17"/>
        </w:rPr>
        <w:t xml:space="preserve">Compensation of Named Executive Officers—Employment Agreements and Arrangements” </w:t>
      </w:r>
      <w:r>
        <w:rPr>
          <w:rFonts w:ascii="ITC Avant Garde Pro Md;sans-serif" w:hAnsi="ITC Avant Garde Pro Md;sans-serif"/>
          <w:b w:val="false"/>
          <w:color w:val="313D48"/>
          <w:sz w:val="17"/>
        </w:rPr>
        <w:t xml:space="preserve">and </w:t>
      </w:r>
      <w:r>
        <w:rPr>
          <w:color w:val="313D48"/>
        </w:rPr>
        <w:t>“</w:t>
      </w:r>
      <w:r>
        <w:rPr>
          <w:rFonts w:ascii="ITC Avant Garde Pro Md;sans-serif" w:hAnsi="ITC Avant Garde Pro Md;sans-serif"/>
          <w:b w:val="false"/>
          <w:i/>
          <w:color w:val="313D48"/>
          <w:sz w:val="17"/>
        </w:rPr>
        <w:t>Compensation of Named Executive Officers Potential Payments Upon Termination or Change in Control.”</w:t>
      </w:r>
    </w:p>
    <w:p>
      <w:pPr>
        <w:pStyle w:val="TextBody"/>
        <w:bidi w:val="0"/>
        <w:spacing w:lineRule="auto" w:line="288" w:before="320" w:after="160"/>
        <w:jc w:val="left"/>
        <w:rPr>
          <w:rFonts w:ascii="ITC Avant Garde Pro Bk;sans-serif" w:hAnsi="ITC Avant Garde Pro Bk;sans-serif"/>
          <w:b/>
          <w:color w:val="F78D2D"/>
          <w:sz w:val="36"/>
        </w:rPr>
      </w:pPr>
      <w:r>
        <w:rPr>
          <w:rFonts w:ascii="ITC Avant Garde Pro Bk;sans-serif" w:hAnsi="ITC Avant Garde Pro Bk;sans-serif"/>
          <w:b/>
          <w:color w:val="F78D2D"/>
          <w:sz w:val="36"/>
        </w:rPr>
        <w:t>Retirement, Welfare and Other Benefits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have established a tax-qualified employee savings and retirement plan for all employees who satisfy certain eligibility requirements, including requirements relating to age and length of service. Our named executive officers are eligible to participate in our 401(k) plan. Under our 401(k) plan, employees may elect to have us contribute amounts of their compensation, up to the statutory limits, to the 401(k) plan. During fiscal 2026, we matched up to 50% of employee contributions, but not exceeding 8% of eligible pay.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In addition, we provide welfare benefits to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believe that we provide affordable and competitive employee benefits programs in relation to the market in which we compete for talent. We adjust our employee benefits programs as needed based upon regular monitoring of applicable laws and practices and the competitive market.</w:t>
      </w:r>
    </w:p>
    <w:p>
      <w:pPr>
        <w:pStyle w:val="TextBody"/>
        <w:bidi w:val="0"/>
        <w:spacing w:lineRule="auto" w:line="268" w:before="0" w:after="0"/>
        <w:jc w:val="left"/>
        <w:rPr/>
      </w:pPr>
      <w:r>
        <w:rPr>
          <w:rFonts w:ascii="ITC Avant Garde Pro Md;sans-serif" w:hAnsi="ITC Avant Garde Pro Md;sans-serif"/>
          <w:b w:val="false"/>
          <w:color w:val="313D48"/>
          <w:sz w:val="17"/>
        </w:rPr>
        <w:t>Other than the perquisites detailed under</w:t>
      </w:r>
      <w:r>
        <w:rPr>
          <w:color w:val="313D48"/>
        </w:rPr>
        <w:t xml:space="preserve"> </w:t>
      </w:r>
      <w:r>
        <w:rPr>
          <w:rFonts w:ascii="ITC Avant Garde Pro Md;sans-serif" w:hAnsi="ITC Avant Garde Pro Md;sans-serif"/>
          <w:b w:val="false"/>
          <w:i/>
          <w:color w:val="313D48"/>
          <w:sz w:val="17"/>
        </w:rPr>
        <w:t>"Compensation of Named Executive Officers—Summary Compensation Table"</w:t>
      </w:r>
      <w:r>
        <w:rPr>
          <w:rFonts w:ascii="ITC Avant Garde Pro Md;sans-serif" w:hAnsi="ITC Avant Garde Pro Md;sans-serif"/>
          <w:b w:val="false"/>
          <w:color w:val="313D48"/>
          <w:sz w:val="17"/>
        </w:rPr>
        <w:t xml:space="preserve">, we do not provide additional perquisites to our named executive officers. For fiscal 2026, these perquisites included optional executive health and wellness screening services and an associated stipend for our executives in addition to our general employee welfare benefits described above in order to encourage our executives to focus on their own personal health and wellness. We also provided spousal travel benefits to Messrs. Scutt and Glenn and associated tax gross-ups for such benefits to permit their spouses to attend our annual President's Club event, which aligns with the benefits offered to all attendees of that event. We provided Mr. Scutt with an annual car allowance, which we provide to all eligible employees in our direct sales force and sales management function. Additionally, we provided Mr. Cappotelli with relocation expense and housing allowance benefits and associated tax gross-ups as he relocated upon the Company's request for strategic purposes. Commencing in fiscal 2026, we provided home security installation and monitoring services for Mr. Cappotelli based on considerations related to his safety and security.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provide these executive perquisites because we believe the cost is relatively low in relation to the perceived value to our executives and the competitive market for executive talent. In the future, we may provide additional perquisites or other personal benefits in limited circumstances, such as when we believe it is appropriate to assist an individual named executive officer in the performance of his or her duties, to make our named executive officers more efficient and effective, or for recruitment, motivation, security or retention purposes. All future practices with respect to perquisites or other personal benefits will be subject to required approval and review by the Committee.</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25170"/>
                <wp:effectExtent l="0" t="0" r="0" b="0"/>
                <wp:wrapNone/>
                <wp:docPr id="119" name="Frame40"/>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38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Other Compensation Policies</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Stock Ownership Guidelines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maintain stock ownership guidelines for our non-employee directors, chief executive officer and other named executive officers. In July 2025, the board of directors increased the guidelines for our non-employee directors and chief executive officer. These individuals are required to own shares of our common stock with a value equal to at least the following:</w:t>
      </w:r>
    </w:p>
    <w:tbl>
      <w:tblPr>
        <w:tblW w:w="7885" w:type="dxa"/>
        <w:jc w:val="left"/>
        <w:tblInd w:w="0" w:type="dxa"/>
        <w:tblLayout w:type="fixed"/>
        <w:tblCellMar>
          <w:top w:w="28" w:type="dxa"/>
          <w:left w:w="28" w:type="dxa"/>
          <w:bottom w:w="28" w:type="dxa"/>
          <w:right w:w="28" w:type="dxa"/>
        </w:tblCellMar>
      </w:tblPr>
      <w:tblGrid>
        <w:gridCol w:w="1019"/>
        <w:gridCol w:w="897"/>
        <w:gridCol w:w="904"/>
        <w:gridCol w:w="922"/>
        <w:gridCol w:w="922"/>
        <w:gridCol w:w="776"/>
        <w:gridCol w:w="160"/>
        <w:gridCol w:w="160"/>
        <w:gridCol w:w="161"/>
        <w:gridCol w:w="575"/>
        <w:gridCol w:w="575"/>
        <w:gridCol w:w="814"/>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Position</w:t>
            </w:r>
          </w:p>
        </w:tc>
        <w:tc>
          <w:tcPr>
            <w:tcW w:w="26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Ownership Requirement</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Non-Employee Directors</w:t>
            </w:r>
          </w:p>
        </w:tc>
        <w:tc>
          <w:tcPr>
            <w:tcW w:w="2620"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238250" cy="238125"/>
                  <wp:effectExtent l="0" t="0" r="0" b="0"/>
                  <wp:docPr id="12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0" descr=""/>
                          <pic:cNvPicPr>
                            <a:picLocks noChangeAspect="1" noChangeArrowheads="1"/>
                          </pic:cNvPicPr>
                        </pic:nvPicPr>
                        <pic:blipFill>
                          <a:blip r:embed="rId81"/>
                          <a:stretch>
                            <a:fillRect/>
                          </a:stretch>
                        </pic:blipFill>
                        <pic:spPr bwMode="auto">
                          <a:xfrm>
                            <a:off x="0" y="0"/>
                            <a:ext cx="1238250" cy="238125"/>
                          </a:xfrm>
                          <a:prstGeom prst="rect">
                            <a:avLst/>
                          </a:prstGeom>
                        </pic:spPr>
                      </pic:pic>
                    </a:graphicData>
                  </a:graphic>
                </wp:inline>
              </w:drawing>
            </w:r>
            <w:bookmarkStart w:id="79" w:name="i-80"/>
            <w:bookmarkEnd w:id="79"/>
          </w:p>
        </w:tc>
        <w:tc>
          <w:tcPr>
            <w:tcW w:w="48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EE2626"/>
                <w:sz w:val="28"/>
              </w:rPr>
            </w:pPr>
            <w:r>
              <w:rPr>
                <w:rFonts w:ascii="ITC Avant Garde Pro Bk;sans-serif" w:hAnsi="ITC Avant Garde Pro Bk;sans-serif"/>
                <w:b/>
                <w:color w:val="EE2626"/>
                <w:sz w:val="28"/>
              </w:rPr>
              <w:t>5x</w:t>
            </w:r>
          </w:p>
        </w:tc>
        <w:tc>
          <w:tcPr>
            <w:tcW w:w="19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annual cash retainer*</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Chief Executive Officer</w:t>
            </w:r>
          </w:p>
        </w:tc>
        <w:tc>
          <w:tcPr>
            <w:tcW w:w="2620"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485900" cy="238125"/>
                  <wp:effectExtent l="0" t="0" r="0" b="0"/>
                  <wp:docPr id="12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1" descr=""/>
                          <pic:cNvPicPr>
                            <a:picLocks noChangeAspect="1" noChangeArrowheads="1"/>
                          </pic:cNvPicPr>
                        </pic:nvPicPr>
                        <pic:blipFill>
                          <a:blip r:embed="rId82"/>
                          <a:stretch>
                            <a:fillRect/>
                          </a:stretch>
                        </pic:blipFill>
                        <pic:spPr bwMode="auto">
                          <a:xfrm>
                            <a:off x="0" y="0"/>
                            <a:ext cx="1485900" cy="238125"/>
                          </a:xfrm>
                          <a:prstGeom prst="rect">
                            <a:avLst/>
                          </a:prstGeom>
                        </pic:spPr>
                      </pic:pic>
                    </a:graphicData>
                  </a:graphic>
                </wp:inline>
              </w:drawing>
            </w:r>
            <w:bookmarkStart w:id="80" w:name="i-81"/>
            <w:bookmarkEnd w:id="80"/>
          </w:p>
        </w:tc>
        <w:tc>
          <w:tcPr>
            <w:tcW w:w="48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EE2626"/>
                <w:sz w:val="28"/>
              </w:rPr>
            </w:pPr>
            <w:r>
              <w:rPr>
                <w:rFonts w:ascii="ITC Avant Garde Pro Bk;sans-serif" w:hAnsi="ITC Avant Garde Pro Bk;sans-serif"/>
                <w:b/>
                <w:color w:val="EE2626"/>
                <w:sz w:val="28"/>
              </w:rPr>
              <w:t>6x</w:t>
            </w:r>
          </w:p>
        </w:tc>
        <w:tc>
          <w:tcPr>
            <w:tcW w:w="19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base salary**</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Other Named Executive Officers</w:t>
            </w:r>
          </w:p>
        </w:tc>
        <w:tc>
          <w:tcPr>
            <w:tcW w:w="2620"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95300" cy="238125"/>
                  <wp:effectExtent l="0" t="0" r="0" b="0"/>
                  <wp:docPr id="12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2" descr=""/>
                          <pic:cNvPicPr>
                            <a:picLocks noChangeAspect="1" noChangeArrowheads="1"/>
                          </pic:cNvPicPr>
                        </pic:nvPicPr>
                        <pic:blipFill>
                          <a:blip r:embed="rId83"/>
                          <a:stretch>
                            <a:fillRect/>
                          </a:stretch>
                        </pic:blipFill>
                        <pic:spPr bwMode="auto">
                          <a:xfrm>
                            <a:off x="0" y="0"/>
                            <a:ext cx="495300" cy="238125"/>
                          </a:xfrm>
                          <a:prstGeom prst="rect">
                            <a:avLst/>
                          </a:prstGeom>
                        </pic:spPr>
                      </pic:pic>
                    </a:graphicData>
                  </a:graphic>
                </wp:inline>
              </w:drawing>
            </w:r>
            <w:bookmarkStart w:id="81" w:name="i-82"/>
            <w:bookmarkEnd w:id="81"/>
          </w:p>
        </w:tc>
        <w:tc>
          <w:tcPr>
            <w:tcW w:w="48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EE2626"/>
                <w:sz w:val="28"/>
              </w:rPr>
            </w:pPr>
            <w:r>
              <w:rPr>
                <w:rFonts w:ascii="ITC Avant Garde Pro Bk;sans-serif" w:hAnsi="ITC Avant Garde Pro Bk;sans-serif"/>
                <w:b/>
                <w:color w:val="EE2626"/>
                <w:sz w:val="28"/>
              </w:rPr>
              <w:t>2x</w:t>
            </w:r>
          </w:p>
        </w:tc>
        <w:tc>
          <w:tcPr>
            <w:tcW w:w="19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base salary</w:t>
            </w:r>
          </w:p>
        </w:tc>
      </w:tr>
      <w:tr>
        <w:trPr/>
        <w:tc>
          <w:tcPr>
            <w:tcW w:w="28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    Annual cash retainer excludes any fees for serving as Lead Independent Director, chairing a committee or serving on a committee. Prior to July 2025, our non-employee directors had an ownership requirement of 4x their annual cash retainers.</w:t>
      </w:r>
    </w:p>
    <w:p>
      <w:pPr>
        <w:pStyle w:val="TextBody"/>
        <w:bidi w:val="0"/>
        <w:spacing w:lineRule="auto" w:line="312" w:before="80" w:after="80"/>
        <w:ind w:left="0" w:right="0" w:hanging="288"/>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    Prior to July 2025, our CEO had an ownership requirement of 4x his base salary.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Each individual has five years from the date of appointment as a director or executive officer to achieve the required ownership levels. We believe that these guidelines promote the alignment of the long-term interests of our named executive officers and members of our board of directors with our stockholders. Under our stock ownership guidelines, only shares owned outright count toward the satisfaction of the ownership guidelines. Subject to the phase in periods, the non-employee directors, chief executive officer and other named executive officers are currently compliant with the stock ownership guidelines.</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Holding Period for Chief Executive Officer Share Appreciation Awards</w:t>
      </w:r>
    </w:p>
    <w:p>
      <w:pPr>
        <w:pStyle w:val="TextBody"/>
        <w:bidi w:val="0"/>
        <w:spacing w:lineRule="auto" w:line="304"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Our Chief Executive Officer must hold 100% of the shares issued pursuant to any stock option, stock appreciation right or other share appreciation award for a minimum period of one year following the date of exercise or settlement of the shares subject to such share appreciation award to the Chief Executive Officer. </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Compensation Recovery Policy</w:t>
      </w:r>
    </w:p>
    <w:p>
      <w:pPr>
        <w:pStyle w:val="TextBody"/>
        <w:bidi w:val="0"/>
        <w:spacing w:lineRule="auto" w:line="307"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 October 2023, we adopted a clawback policy that complies with the Nasdaq Listing Rules and Rule 10D-1 under the Exchange Act. The policy provides for the mandatory recoupment of erroneously awarded cash and equity-based incentive compensation received by current or former executive officers in the event we are required to prepare an accounting restatement due to material non-compliance with financial reporting requirements under the federal securities laws. Our Amended and Restated 2023 Equity Incentive Plan provides that all awards granted under such plan will be subject to recoupment in accordance with any policies we may adopt to the extent applicable and permissible under applicable law.</w:t>
      </w:r>
    </w:p>
    <w:p>
      <w:pPr>
        <w:pStyle w:val="TextBody"/>
        <w:bidi w:val="0"/>
        <w:spacing w:lineRule="auto" w:line="304"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2014 Equity Incentive Plan also provides that if the Company is required to prepare an accounting restatement due to the material noncompliance of the Company, as a result of misconduct of our CEO or CFO who knowingly or through gross negligence engaged in the misconduct, the CEO or CFO must reimburse the Company for any payment in settlement of an equity award issued under that plan and received during the twelve-month period following the filing of the financial document and any profits realized from the sale of securities during such twelve-month period.</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Insider Trading Policies</w:t>
      </w:r>
    </w:p>
    <w:p>
      <w:pPr>
        <w:pStyle w:val="TextBody"/>
        <w:bidi w:val="0"/>
        <w:spacing w:lineRule="auto" w:line="304"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maintain an insider trading policy governing the purchase, sale and other dispositions of our securities by directors, officers (including named executive officers), employees and consultants that is reasonably designed to promote compliance with insider trading laws, rules and regulations, as well as the Nasdaq Listing Rules. The insider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28650"/>
                <wp:effectExtent l="0" t="0" r="0" b="0"/>
                <wp:wrapNone/>
                <wp:docPr id="123"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04"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trading policy generally defines what constitutes illegal insider trading under the federal securities laws, provides guidance on what may be considered "material nonpublic information," and specifies certain transactions that are prohibited pursuant to the policy. The policy also establishes trading windows and blackout periods for when individuals subject to the policy are prohibited from trading, as well as specifying procedures for seeking clearance to trade by certain individuals and providing for the consequences of violating the policy or the federal securities laws. The insider trading policy has been filed as an exhibit to the Annual Report on Form 10-K for the year ended June 30, 2024.</w:t>
      </w:r>
    </w:p>
    <w:p>
      <w:pPr>
        <w:pStyle w:val="TextBody"/>
        <w:bidi w:val="0"/>
        <w:spacing w:lineRule="auto" w:line="288" w:before="200" w:after="120"/>
        <w:jc w:val="left"/>
        <w:rPr>
          <w:rFonts w:ascii="ITC Avant Garde Pro Bk;sans-serif" w:hAnsi="ITC Avant Garde Pro Bk;sans-serif"/>
          <w:b/>
          <w:color w:val="313D48"/>
          <w:sz w:val="28"/>
        </w:rPr>
      </w:pPr>
      <w:r>
        <w:rPr>
          <w:rFonts w:ascii="ITC Avant Garde Pro Bk;sans-serif" w:hAnsi="ITC Avant Garde Pro Bk;sans-serif"/>
          <w:b/>
          <w:color w:val="313D48"/>
          <w:sz w:val="28"/>
        </w:rPr>
        <w:t>Policy on Hedging and Pledging</w:t>
      </w:r>
    </w:p>
    <w:p>
      <w:pPr>
        <w:pStyle w:val="TextBody"/>
        <w:bidi w:val="0"/>
        <w:spacing w:lineRule="auto" w:line="304"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insider trading policy provides that certain types of transactions are prohibited by any person subject to the policy. Specifically, short sales, puts, calls or other derivative transactions involving our securities, hedging or monetization transactions involving our securities, and pledges of our securities as collateral for a loan, or holding our securities in a margin account are prohibited under the policy.</w:t>
      </w:r>
    </w:p>
    <w:p>
      <w:pPr>
        <w:pStyle w:val="TextBody"/>
        <w:bidi w:val="0"/>
        <w:spacing w:lineRule="auto" w:line="288" w:before="200" w:after="120"/>
        <w:jc w:val="left"/>
        <w:rPr>
          <w:rFonts w:ascii="ITC Avant Garde Pro Bk;sans-serif" w:hAnsi="ITC Avant Garde Pro Bk;sans-serif"/>
          <w:b/>
          <w:color w:val="313D48"/>
          <w:sz w:val="28"/>
        </w:rPr>
      </w:pPr>
      <w:r>
        <w:rPr>
          <w:rFonts w:ascii="ITC Avant Garde Pro Bk;sans-serif" w:hAnsi="ITC Avant Garde Pro Bk;sans-serif"/>
          <w:b/>
          <w:color w:val="313D48"/>
          <w:sz w:val="28"/>
        </w:rPr>
        <w:t>Policy Regarding the Pricing and Timing of Equity Awards</w:t>
      </w:r>
    </w:p>
    <w:p>
      <w:pPr>
        <w:pStyle w:val="TextBody"/>
        <w:bidi w:val="0"/>
        <w:spacing w:lineRule="auto" w:line="304"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While we have not adopted a formal policy regarding the timing of equity awards, it is the Committee's practice to make annual equity award grants to our named executive officers in August, during the first quarter of the fiscal year, at the same time equity awards are granted to our eligible general employee base. This timing allows the Committee to have the benefit of considering our year-end financial and operational results prior to setting any performance goals applicable to equity grants and is not scheduled in a manner that intentionally benefits our named executive officers or employees. The Committee neither grants equity awards in anticipation of the release of material nonpublic information, nor is the timing of disclosures of material nonpublic information based on equity award grant dates. Additionally, stock options have an exercise price not less than the fair value of the underlying stock on the date of grant.</w:t>
      </w:r>
    </w:p>
    <w:p>
      <w:pPr>
        <w:pStyle w:val="TextBody"/>
        <w:bidi w:val="0"/>
        <w:spacing w:lineRule="auto" w:line="304"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All outstanding equity awards to our named executive officers have been granted and reflected in our consolidated financial statements, based upon the applicable accounting guidance.</w:t>
      </w:r>
    </w:p>
    <w:p>
      <w:pPr>
        <w:pStyle w:val="TextBody"/>
        <w:bidi w:val="0"/>
        <w:spacing w:lineRule="auto" w:line="288" w:before="200" w:after="120"/>
        <w:jc w:val="left"/>
        <w:rPr>
          <w:rFonts w:ascii="ITC Avant Garde Pro Bk;sans-serif" w:hAnsi="ITC Avant Garde Pro Bk;sans-serif"/>
          <w:b/>
          <w:color w:val="313D48"/>
          <w:sz w:val="28"/>
        </w:rPr>
      </w:pPr>
      <w:r>
        <w:rPr>
          <w:rFonts w:ascii="ITC Avant Garde Pro Bk;sans-serif" w:hAnsi="ITC Avant Garde Pro Bk;sans-serif"/>
          <w:b/>
          <w:color w:val="313D48"/>
          <w:sz w:val="28"/>
        </w:rPr>
        <w:t>Risk Considerations</w:t>
      </w:r>
    </w:p>
    <w:p>
      <w:pPr>
        <w:pStyle w:val="TextBody"/>
        <w:bidi w:val="0"/>
        <w:spacing w:lineRule="auto" w:line="304"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has assessed whether the compensation paid to our named executive officers encourages risk-taking behavior, and the Committee does not believe that the compensation programs for our named executive officers are likely to lead to taking on more risks than are appropriate from a sound business judgment perspective. The Committee’s approach to compensation beyond base salary focuses heavily on company-wide and long-term performance. For instance, for fiscal 2026, incentives underlying annual cash bonuses and PSU achievement were tied to Company performance measures. Since these metrics have a Company-wide focus, the Committee does not believe they generally incentivize high-risk behavior by our named executive officers compared to annual bonuses based upon narrowly focused individual performance. The Company’s equity awards may consist of stock options, restricted stock units, performance stock units, market share units and other performance-based stock awards. The value, if any, received by a named executive officer from equity awards generally reflects the overall market performance of the Company’s stock over a long period of time. The Committee does not believe that this structure of equity awards incentivizes high-risk behavior. Our compensation schemes are designed to be in place over several years, and the Committee believes they are designed to reward sustained long-term profitable growth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25170"/>
                <wp:effectExtent l="0" t="0" r="0" b="0"/>
                <wp:wrapNone/>
                <wp:docPr id="124" name="Frame4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Discussion and Analysis</w:t>
      </w:r>
    </w:p>
    <w:p>
      <w:pPr>
        <w:pStyle w:val="TextBody"/>
        <w:bidi w:val="0"/>
        <w:spacing w:lineRule="auto" w:line="300"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Tax Considerations</w:t>
      </w:r>
    </w:p>
    <w:p>
      <w:pPr>
        <w:pStyle w:val="TextBody"/>
        <w:bidi w:val="0"/>
        <w:spacing w:lineRule="auto" w:line="288" w:before="200" w:after="120"/>
        <w:jc w:val="left"/>
        <w:rPr>
          <w:rFonts w:ascii="ITC Avant Garde Pro Bk;sans-serif" w:hAnsi="ITC Avant Garde Pro Bk;sans-serif"/>
          <w:b/>
          <w:color w:val="313D48"/>
          <w:sz w:val="28"/>
        </w:rPr>
      </w:pPr>
      <w:r>
        <w:rPr>
          <w:rFonts w:ascii="ITC Avant Garde Pro Bk;sans-serif" w:hAnsi="ITC Avant Garde Pro Bk;sans-serif"/>
          <w:b/>
          <w:color w:val="313D48"/>
          <w:sz w:val="28"/>
        </w:rPr>
        <w:t>Deductibility of Executive Compensation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Internal Revenue Code Section 162(m) generally disallows publicly-held corporations from taking a tax deduction for federal income tax purposes for remuneration paid in excess of $1 million in any taxable year to named executive officers that qualify as covered employees under Section 162(m). The Committee may, in its judgment, authorize compensation payments that may be in excess of the limits set forth in Internal Revenue Code Section 162(m) when it believes that such payments are appropriate to attract and retain executive talent.</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No Reimbursement for “Golden Parachute” Taxes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Internal Revenue Code Sections 280G and 4999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and are not otherwise obligated to provide any named executive officer with a reimbursement or “gross-up” payment for any tax liability that the executive might owe as a result of the application of Internal Revenue Code Section 4999.</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Response to the 2026 Advisory Vote on Executive Compensation and Future Advisory Vote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At the 2026 annual meeting, the stockholders of the Company had the opportunity, pursuant to SEC regulations, to have an advisory vote to approve the compensation paid to the named executive officers. The results of the vote were as follows:</w:t>
      </w:r>
    </w:p>
    <w:tbl>
      <w:tblPr>
        <w:tblW w:w="10205" w:type="dxa"/>
        <w:jc w:val="left"/>
        <w:tblInd w:w="0" w:type="dxa"/>
        <w:tblLayout w:type="fixed"/>
        <w:tblCellMar>
          <w:top w:w="28" w:type="dxa"/>
          <w:left w:w="28" w:type="dxa"/>
          <w:bottom w:w="28" w:type="dxa"/>
          <w:right w:w="28" w:type="dxa"/>
        </w:tblCellMar>
      </w:tblPr>
      <w:tblGrid>
        <w:gridCol w:w="1099"/>
        <w:gridCol w:w="965"/>
        <w:gridCol w:w="968"/>
        <w:gridCol w:w="950"/>
        <w:gridCol w:w="950"/>
        <w:gridCol w:w="952"/>
        <w:gridCol w:w="540"/>
        <w:gridCol w:w="540"/>
        <w:gridCol w:w="541"/>
        <w:gridCol w:w="109"/>
        <w:gridCol w:w="109"/>
        <w:gridCol w:w="109"/>
        <w:gridCol w:w="109"/>
        <w:gridCol w:w="109"/>
        <w:gridCol w:w="109"/>
        <w:gridCol w:w="556"/>
        <w:gridCol w:w="556"/>
        <w:gridCol w:w="557"/>
        <w:gridCol w:w="109"/>
        <w:gridCol w:w="109"/>
        <w:gridCol w:w="159"/>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left w:val="single" w:sz="4" w:space="0" w:color="95959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left w:val="single" w:sz="4" w:space="0" w:color="95959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vMerge w:val="restart"/>
            <w:tcBorders>
              <w:right w:val="single" w:sz="4" w:space="0" w:color="959595"/>
            </w:tcBorders>
            <w:tcMar>
              <w:top w:w="0" w:type="dxa"/>
              <w:left w:w="0" w:type="dxa"/>
              <w:bottom w:w="0" w:type="dxa"/>
            </w:tcMar>
            <w:vAlign w:val="center"/>
          </w:tcPr>
          <w:p>
            <w:pPr>
              <w:pStyle w:val="TableContents"/>
              <w:bidi w:val="0"/>
              <w:spacing w:lineRule="auto" w:line="312" w:before="0" w:after="0"/>
              <w:jc w:val="left"/>
              <w:rPr>
                <w:rFonts w:ascii="ITC Avant Garde Pro Bk;sans-serif" w:hAnsi="ITC Avant Garde Pro Bk;sans-serif"/>
                <w:b/>
                <w:color w:val="313E48"/>
                <w:sz w:val="36"/>
              </w:rPr>
            </w:pPr>
            <w:r>
              <w:rPr>
                <w:rFonts w:ascii="ITC Avant Garde Pro Bk;sans-serif" w:hAnsi="ITC Avant Garde Pro Bk;sans-serif"/>
                <w:b/>
                <w:color w:val="313E48"/>
                <w:sz w:val="36"/>
              </w:rPr>
              <w:t>41,242,588</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votes were “For” the compensation paid to our named executive officers;</w:t>
            </w:r>
          </w:p>
        </w:tc>
        <w:tc>
          <w:tcPr>
            <w:tcW w:w="2852" w:type="dxa"/>
            <w:gridSpan w:val="3"/>
            <w:vMerge w:val="restart"/>
            <w:tcBorders>
              <w:left w:val="single" w:sz="4" w:space="0" w:color="959595"/>
              <w:right w:val="single" w:sz="4" w:space="0" w:color="959595"/>
            </w:tcBorders>
            <w:tcMar>
              <w:top w:w="0" w:type="dxa"/>
              <w:bottom w:w="0" w:type="dxa"/>
            </w:tcMar>
            <w:vAlign w:val="center"/>
          </w:tcPr>
          <w:p>
            <w:pPr>
              <w:pStyle w:val="TableContents"/>
              <w:bidi w:val="0"/>
              <w:spacing w:lineRule="auto" w:line="312" w:before="0" w:after="0"/>
              <w:jc w:val="left"/>
              <w:rPr>
                <w:rFonts w:ascii="ITC Avant Garde Pro Bk;sans-serif" w:hAnsi="ITC Avant Garde Pro Bk;sans-serif"/>
                <w:b/>
                <w:color w:val="313E48"/>
                <w:sz w:val="36"/>
              </w:rPr>
            </w:pPr>
            <w:r>
              <w:rPr>
                <w:rFonts w:ascii="ITC Avant Garde Pro Bk;sans-serif" w:hAnsi="ITC Avant Garde Pro Bk;sans-serif"/>
                <w:b/>
                <w:color w:val="313E48"/>
                <w:sz w:val="36"/>
              </w:rPr>
              <w:t>2,979,270</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votes were “Against” the compensation paid to our named executive officers; and</w:t>
            </w:r>
          </w:p>
        </w:tc>
        <w:tc>
          <w:tcPr>
            <w:tcW w:w="1621" w:type="dxa"/>
            <w:gridSpan w:val="3"/>
            <w:vMerge w:val="restart"/>
            <w:tcBorders>
              <w:left w:val="single" w:sz="4" w:space="0" w:color="959595"/>
            </w:tcBorders>
            <w:tcMar>
              <w:top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313E48"/>
                <w:sz w:val="36"/>
              </w:rPr>
            </w:pPr>
            <w:r>
              <w:rPr>
                <w:rFonts w:ascii="ITC Avant Garde Pro Bk;sans-serif" w:hAnsi="ITC Avant Garde Pro Bk;sans-serif"/>
                <w:b/>
                <w:color w:val="313E48"/>
                <w:sz w:val="36"/>
              </w:rPr>
              <w:t>90,454</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votes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vMerge w:val="continue"/>
            <w:tcBorders>
              <w:right w:val="single" w:sz="4" w:space="0" w:color="959595"/>
            </w:tcBorders>
            <w:tcMar>
              <w:top w:w="0" w:type="dxa"/>
              <w:left w:w="0" w:type="dxa"/>
              <w:bottom w:w="0" w:type="dxa"/>
            </w:tcMar>
            <w:vAlign w:val="center"/>
          </w:tcPr>
          <w:p>
            <w:pPr>
              <w:pStyle w:val="Normal"/>
              <w:bidi w:val="0"/>
              <w:jc w:val="left"/>
              <w:rPr/>
            </w:pPr>
            <w:r>
              <w:rPr/>
            </w:r>
          </w:p>
        </w:tc>
        <w:tc>
          <w:tcPr>
            <w:tcW w:w="2852" w:type="dxa"/>
            <w:gridSpan w:val="3"/>
            <w:vMerge w:val="continue"/>
            <w:tcBorders>
              <w:left w:val="single" w:sz="4" w:space="0" w:color="959595"/>
              <w:right w:val="single" w:sz="4" w:space="0" w:color="959595"/>
            </w:tcBorders>
            <w:tcMar>
              <w:top w:w="0" w:type="dxa"/>
              <w:bottom w:w="0" w:type="dxa"/>
            </w:tcMar>
            <w:vAlign w:val="center"/>
          </w:tcPr>
          <w:p>
            <w:pPr>
              <w:pStyle w:val="Normal"/>
              <w:bidi w:val="0"/>
              <w:jc w:val="left"/>
              <w:rPr/>
            </w:pPr>
            <w:r>
              <w:rPr/>
            </w:r>
          </w:p>
        </w:tc>
        <w:tc>
          <w:tcPr>
            <w:tcW w:w="1621" w:type="dxa"/>
            <w:gridSpan w:val="3"/>
            <w:vMerge w:val="continue"/>
            <w:tcBorders>
              <w:left w:val="single" w:sz="4" w:space="0" w:color="959595"/>
            </w:tcBorders>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restart"/>
            <w:tcBorders/>
            <w:shd w:fill="ED3628" w:val="clear"/>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FFFFFF"/>
                <w:sz w:val="17"/>
              </w:rPr>
            </w:pPr>
            <w:r>
              <w:rPr>
                <w:rFonts w:ascii="ITC Avant Garde Pro Md;sans-serif" w:hAnsi="ITC Avant Garde Pro Md;sans-serif"/>
                <w:b w:val="false"/>
                <w:color w:val="FFFFFF"/>
                <w:sz w:val="17"/>
              </w:rPr>
              <w:t>approximately</w:t>
            </w:r>
          </w:p>
          <w:p>
            <w:pPr>
              <w:pStyle w:val="TableContents"/>
              <w:bidi w:val="0"/>
              <w:spacing w:lineRule="auto" w:line="312" w:before="0" w:after="0"/>
              <w:jc w:val="left"/>
              <w:rPr>
                <w:rFonts w:ascii="ITC Avant Garde Pro Bk;sans-serif" w:hAnsi="ITC Avant Garde Pro Bk;sans-serif"/>
                <w:b/>
                <w:color w:val="FFFFFF"/>
                <w:sz w:val="36"/>
              </w:rPr>
            </w:pPr>
            <w:r>
              <w:rPr>
                <w:rFonts w:ascii="ITC Avant Garde Pro Bk;sans-serif" w:hAnsi="ITC Avant Garde Pro Bk;sans-serif"/>
                <w:b/>
                <w:color w:val="FFFFFF"/>
                <w:sz w:val="36"/>
              </w:rPr>
              <w:t>93.1%</w:t>
            </w:r>
          </w:p>
          <w:p>
            <w:pPr>
              <w:pStyle w:val="TableContents"/>
              <w:bidi w:val="0"/>
              <w:spacing w:lineRule="auto" w:line="312" w:before="0" w:after="120"/>
              <w:jc w:val="left"/>
              <w:rPr>
                <w:rFonts w:ascii="ITC Avant Garde Pro Md;sans-serif" w:hAnsi="ITC Avant Garde Pro Md;sans-serif"/>
                <w:b w:val="false"/>
                <w:color w:val="FFFFFF"/>
                <w:sz w:val="17"/>
              </w:rPr>
            </w:pPr>
            <w:r>
              <w:rPr>
                <w:rFonts w:ascii="ITC Avant Garde Pro Md;sans-serif" w:hAnsi="ITC Avant Garde Pro Md;sans-serif"/>
                <w:b w:val="false"/>
                <w:color w:val="FFFFFF"/>
                <w:sz w:val="17"/>
              </w:rPr>
              <w:t>of votes cast at the 2026 annual meeting supported the compensation paid to our named executive officers</w:t>
            </w:r>
          </w:p>
        </w:tc>
        <w:tc>
          <w:tcPr>
            <w:tcW w:w="37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continue"/>
            <w:tcBorders/>
            <w:shd w:fill="ED3628" w:val="clear"/>
            <w:tcMar>
              <w:top w:w="0" w:type="dxa"/>
              <w:left w:w="0" w:type="dxa"/>
              <w:bottom w:w="0" w:type="dxa"/>
              <w:right w:w="0" w:type="dxa"/>
            </w:tcMar>
            <w:vAlign w:val="center"/>
          </w:tcPr>
          <w:p>
            <w:pPr>
              <w:pStyle w:val="Normal"/>
              <w:bidi w:val="0"/>
              <w:jc w:val="left"/>
              <w:rPr/>
            </w:pPr>
            <w:r>
              <w:rPr/>
            </w:r>
          </w:p>
        </w:tc>
        <w:tc>
          <w:tcPr>
            <w:tcW w:w="37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9"/>
            <w:vMerge w:val="restart"/>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Based on the above results, approximately 93.1% of votes cast at the 2026 annual meeting supported the compensation paid to our named executive officers. Our Committee considered these results in light of the Company’s corporate structure and determined that no significant changes were required to the Company’s compensation program as a result of the vote.</w:t>
            </w:r>
          </w:p>
          <w:p>
            <w:pPr>
              <w:pStyle w:val="TableContents"/>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board of directors adopted a policy to conduct future stockholder non-binding advisory votes regarding the compensation to be paid by the Company to its named executive officers each year. This policy will remain in effect until the occurrence of the next advisory vote on the frequency of the say-on-pay vote or until the board of directors determines that a different frequency for such advisory vote is in the best interest of the Company’s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vMerge w:val="continue"/>
            <w:tcBorders/>
            <w:shd w:fill="ED3628" w:val="clear"/>
            <w:tcMar>
              <w:top w:w="0" w:type="dxa"/>
              <w:left w:w="0" w:type="dxa"/>
              <w:bottom w:w="0" w:type="dxa"/>
              <w:right w:w="0" w:type="dxa"/>
            </w:tcMar>
            <w:vAlign w:val="center"/>
          </w:tcPr>
          <w:p>
            <w:pPr>
              <w:pStyle w:val="Normal"/>
              <w:bidi w:val="0"/>
              <w:jc w:val="left"/>
              <w:rPr/>
            </w:pPr>
            <w:r>
              <w:rPr/>
            </w:r>
          </w:p>
        </w:tc>
        <w:tc>
          <w:tcPr>
            <w:tcW w:w="37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36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28650"/>
                <wp:effectExtent l="0" t="0" r="0" b="0"/>
                <wp:wrapNone/>
                <wp:docPr id="125"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Report of the Compensation Committee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has reviewed and discussed the Compensation Discussion and Analysis set forth above with our management. Based on its review and discussions, the Committee recommended to our board of directors that the Compensation Discussion and Analysis be included in this Proxy Statement.</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Submitted by the compensation committee of the Board of Directors,</w:t>
      </w:r>
    </w:p>
    <w:p>
      <w:pPr>
        <w:pStyle w:val="TextBody"/>
        <w:bidi w:val="0"/>
        <w:spacing w:lineRule="auto" w:line="312" w:before="120" w:after="120"/>
        <w:jc w:val="left"/>
        <w:rPr/>
      </w:pPr>
      <w:r>
        <w:rPr>
          <w:rFonts w:ascii="ITC Avant Garde Pro Bk;sans-serif" w:hAnsi="ITC Avant Garde Pro Bk;sans-serif"/>
          <w:b/>
          <w:color w:val="313D48"/>
          <w:sz w:val="17"/>
        </w:rPr>
        <w:t xml:space="preserve">Robin L. Pederson, </w:t>
      </w:r>
      <w:r>
        <w:rPr>
          <w:rFonts w:ascii="ITC Avant Garde Pro Bk;sans-serif" w:hAnsi="ITC Avant Garde Pro Bk;sans-serif"/>
          <w:b w:val="false"/>
          <w:color w:val="313D48"/>
          <w:sz w:val="17"/>
        </w:rPr>
        <w:t>Chair</w:t>
      </w:r>
      <w:r>
        <w:rPr>
          <w:rFonts w:ascii="ITC Avant Garde Pro Bk;sans-serif" w:hAnsi="ITC Avant Garde Pro Bk;sans-serif"/>
          <w:b/>
          <w:color w:val="313D48"/>
          <w:sz w:val="17"/>
        </w:rPr>
        <w:br/>
        <w:t>Andres D. Reiner</w:t>
        <w:br/>
        <w:t>Ronald V. Waters III</w:t>
        <w:br/>
        <w:t>Craig A. Conway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information contained in the foregoing report of Paylocity’s compensation committee is not considered to be “soliciting material,” “filed” or incorporated by reference in any past or future filing by Paylocity under the Exchange Act or the Securities Act unless and only to the extent that Paylocity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25170"/>
                <wp:effectExtent l="0" t="0" r="0" b="0"/>
                <wp:wrapNone/>
                <wp:docPr id="126" name="Frame4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Compensation of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Summary Compensation Table</w:t>
      </w:r>
    </w:p>
    <w:p>
      <w:pPr>
        <w:pStyle w:val="TextBody"/>
        <w:bidi w:val="0"/>
        <w:spacing w:lineRule="auto" w:line="312" w:before="0" w:after="0"/>
        <w:jc w:val="left"/>
        <w:rPr/>
      </w:pPr>
      <w:r>
        <w:rPr>
          <w:rFonts w:ascii="ITC Avant Garde Pro Md;sans-serif" w:hAnsi="ITC Avant Garde Pro Md;sans-serif"/>
          <w:b w:val="false"/>
          <w:color w:val="313D48"/>
          <w:sz w:val="17"/>
        </w:rPr>
        <w:t xml:space="preserve">The </w:t>
      </w:r>
      <w:r>
        <w:rPr>
          <w:rFonts w:ascii="ITC Avant Garde Pro Md;sans-serif" w:hAnsi="ITC Avant Garde Pro Md;sans-serif"/>
          <w:b w:val="false"/>
          <w:color w:val="313E48"/>
          <w:sz w:val="17"/>
        </w:rPr>
        <w:t>following</w:t>
      </w:r>
      <w:r>
        <w:rPr>
          <w:color w:val="313D48"/>
        </w:rPr>
        <w:t xml:space="preserve"> </w:t>
      </w:r>
      <w:r>
        <w:rPr>
          <w:rFonts w:ascii="ITC Avant Garde Pro Md;sans-serif" w:hAnsi="ITC Avant Garde Pro Md;sans-serif"/>
          <w:b w:val="false"/>
          <w:color w:val="313D48"/>
          <w:sz w:val="17"/>
        </w:rPr>
        <w:t xml:space="preserve">table </w:t>
      </w:r>
      <w:r>
        <w:rPr>
          <w:rFonts w:ascii="ITC Avant Garde Pro Md;sans-serif" w:hAnsi="ITC Avant Garde Pro Md;sans-serif"/>
          <w:b w:val="false"/>
          <w:color w:val="314049"/>
          <w:sz w:val="17"/>
        </w:rPr>
        <w:t>presents</w:t>
      </w:r>
      <w:r>
        <w:rPr>
          <w:color w:val="313D48"/>
        </w:rPr>
        <w:t xml:space="preserve"> </w:t>
      </w:r>
      <w:r>
        <w:rPr>
          <w:rFonts w:ascii="ITC Avant Garde Pro Md;sans-serif" w:hAnsi="ITC Avant Garde Pro Md;sans-serif"/>
          <w:b w:val="false"/>
          <w:color w:val="313D48"/>
          <w:sz w:val="17"/>
        </w:rPr>
        <w:t>compensation information for the fiscal years ended June 30, 2026, 2025 and 2024 paid to, or earned by, our principal executive officers, principal financial officer and our three other most highly compensated executive officers as of June 30, 2026. We refer to these executive officers as our “named executive officers” in this Proxy Statement. For the fiscal year ended June 30, 2026, our named executive officers were Toby J. Williams, Ryan Glenn, Joshua Scutt, Melissa King and Andrew Cappotelli. No disclosure is provided for persons for years in which the executive officer was not a named executive officer.</w:t>
      </w:r>
    </w:p>
    <w:tbl>
      <w:tblPr>
        <w:tblW w:w="12003" w:type="dxa"/>
        <w:jc w:val="left"/>
        <w:tblInd w:w="0" w:type="dxa"/>
        <w:tblLayout w:type="fixed"/>
        <w:tblCellMar>
          <w:top w:w="28" w:type="dxa"/>
          <w:left w:w="28" w:type="dxa"/>
          <w:bottom w:w="28" w:type="dxa"/>
          <w:right w:w="28" w:type="dxa"/>
        </w:tblCellMar>
      </w:tblPr>
      <w:tblGrid>
        <w:gridCol w:w="647"/>
        <w:gridCol w:w="569"/>
        <w:gridCol w:w="570"/>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11"/>
        <w:gridCol w:w="976"/>
        <w:gridCol w:w="109"/>
        <w:gridCol w:w="109"/>
        <w:gridCol w:w="109"/>
        <w:gridCol w:w="109"/>
        <w:gridCol w:w="212"/>
        <w:gridCol w:w="833"/>
        <w:gridCol w:w="114"/>
        <w:gridCol w:w="109"/>
        <w:gridCol w:w="109"/>
        <w:gridCol w:w="109"/>
        <w:gridCol w:w="211"/>
        <w:gridCol w:w="108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 and</w:t>
              <w:br/>
              <w:t>Principal Position</w:t>
            </w:r>
          </w:p>
        </w:tc>
        <w:tc>
          <w:tcPr>
            <w:tcW w:w="66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Fiscal</w:t>
              <w:br/>
              <w:t>Year</w:t>
            </w:r>
          </w:p>
        </w:tc>
        <w:tc>
          <w:tcPr>
            <w:tcW w:w="1473" w:type="dxa"/>
            <w:gridSpan w:val="6"/>
            <w:tcBorders/>
            <w:tcMar>
              <w:top w:w="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Salary</w:t>
            </w:r>
            <w:r>
              <w:rPr>
                <w:rFonts w:ascii="ITC Avant Garde Pro Bk;sans-serif" w:hAnsi="ITC Avant Garde Pro Bk;sans-serif"/>
                <w:b/>
                <w:color w:val="313D48"/>
                <w:sz w:val="10"/>
              </w:rPr>
              <w:t>(1)</w:t>
            </w:r>
          </w:p>
        </w:tc>
        <w:tc>
          <w:tcPr>
            <w:tcW w:w="1473"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Bonus</w:t>
            </w:r>
          </w:p>
        </w:tc>
        <w:tc>
          <w:tcPr>
            <w:tcW w:w="1728" w:type="dxa"/>
            <w:gridSpan w:val="6"/>
            <w:tcBorders/>
            <w:tcMar>
              <w:top w:w="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Stock-based</w:t>
              <w:br/>
              <w:t>Awards</w:t>
            </w:r>
            <w:r>
              <w:rPr>
                <w:rFonts w:ascii="ITC Avant Garde Pro Bk;sans-serif" w:hAnsi="ITC Avant Garde Pro Bk;sans-serif"/>
                <w:b/>
                <w:color w:val="313D48"/>
                <w:sz w:val="10"/>
              </w:rPr>
              <w:t>(2)</w:t>
            </w:r>
          </w:p>
        </w:tc>
        <w:tc>
          <w:tcPr>
            <w:tcW w:w="1623" w:type="dxa"/>
            <w:gridSpan w:val="6"/>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Non-Equity</w:t>
            </w:r>
          </w:p>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Incentive Plan</w:t>
            </w:r>
          </w:p>
          <w:p>
            <w:pPr>
              <w:pStyle w:val="TableContents"/>
              <w:bidi w:val="0"/>
              <w:spacing w:lineRule="auto" w:line="312" w:before="0" w:after="0"/>
              <w:jc w:val="right"/>
              <w:rPr/>
            </w:pPr>
            <w:r>
              <w:rPr>
                <w:rFonts w:ascii="ITC Avant Garde Pro Bk;sans-serif" w:hAnsi="ITC Avant Garde Pro Bk;sans-serif"/>
                <w:b/>
                <w:color w:val="313D48"/>
                <w:sz w:val="16"/>
              </w:rPr>
              <w:t>Compensation</w:t>
            </w:r>
            <w:r>
              <w:rPr>
                <w:rFonts w:ascii="ITC Avant Garde Pro Bk;sans-serif" w:hAnsi="ITC Avant Garde Pro Bk;sans-serif"/>
                <w:b/>
                <w:color w:val="313D48"/>
                <w:sz w:val="10"/>
              </w:rPr>
              <w:t>(3)</w:t>
            </w:r>
          </w:p>
        </w:tc>
        <w:tc>
          <w:tcPr>
            <w:tcW w:w="1486" w:type="dxa"/>
            <w:gridSpan w:val="6"/>
            <w:tcBorders/>
            <w:tcMar>
              <w:top w:w="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All Other</w:t>
              <w:br/>
              <w:t>Compensation</w:t>
            </w:r>
            <w:r>
              <w:rPr>
                <w:rFonts w:ascii="ITC Avant Garde Pro Bk;sans-serif" w:hAnsi="ITC Avant Garde Pro Bk;sans-serif"/>
                <w:b/>
                <w:color w:val="313D48"/>
                <w:sz w:val="10"/>
              </w:rPr>
              <w:t>(4)</w:t>
            </w:r>
          </w:p>
        </w:tc>
        <w:tc>
          <w:tcPr>
            <w:tcW w:w="1773"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Total</w:t>
            </w:r>
          </w:p>
        </w:tc>
      </w:tr>
      <w:tr>
        <w:trPr/>
        <w:tc>
          <w:tcPr>
            <w:tcW w:w="1786" w:type="dxa"/>
            <w:gridSpan w:val="3"/>
            <w:vMerge w:val="restart"/>
            <w:tcBorders>
              <w:bottom w:val="single" w:sz="8" w:space="0" w:color="6D6D6D"/>
            </w:tcBorders>
            <w:tcMar>
              <w:top w:w="0" w:type="dxa"/>
              <w:left w:w="0" w:type="dxa"/>
              <w:bottom w:w="3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President and Chief</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Executive Officer</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735,437 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21,557,447 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1,072,267 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108,413 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23,473,564 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bottom w:val="single" w:sz="8" w:space="0" w:color="6D6D6D"/>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2025</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680,960 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16,319,530 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951,471 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92,521 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18,044,482 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bottom w:val="single" w:sz="8" w:space="0" w:color="6D6D6D"/>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2024</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638,400 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13,619,534 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383,040 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96,091 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14,737,065 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restart"/>
            <w:tcBorders>
              <w:bottom w:val="single" w:sz="8" w:space="0" w:color="6D6D6D"/>
            </w:tcBorders>
            <w:tcMar>
              <w:top w:w="0" w:type="dxa"/>
              <w:left w:w="0" w:type="dxa"/>
              <w:bottom w:w="3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Chief Financial Officer</w:t>
            </w:r>
          </w:p>
        </w:tc>
        <w:tc>
          <w:tcPr>
            <w:tcW w:w="66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2026</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479,655 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8,231,517 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704,206 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78,426 </w:t>
            </w:r>
          </w:p>
        </w:tc>
        <w:tc>
          <w:tcPr>
            <w:tcW w:w="11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9,493,804 </w:t>
            </w:r>
          </w:p>
        </w:tc>
        <w:tc>
          <w:tcPr>
            <w:tcW w:w="15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bottom w:val="single" w:sz="8" w:space="0" w:color="6D6D6D"/>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2025</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427,429 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5,240,359 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597,225 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41,955 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6,306,968 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bottom w:val="single" w:sz="8" w:space="0" w:color="6D6D6D"/>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2024</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396,346 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4,734,004 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180,322 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38,768 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5,349,440 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restart"/>
            <w:tcBorders>
              <w:bottom w:val="single" w:sz="8" w:space="0" w:color="6D6D6D"/>
            </w:tcBorders>
            <w:tcMar>
              <w:top w:w="0" w:type="dxa"/>
              <w:left w:w="0" w:type="dxa"/>
              <w:bottom w:w="3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Senior Vice President</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of Sales and Marketing and Chief Sales Officer</w:t>
            </w:r>
          </w:p>
        </w:tc>
        <w:tc>
          <w:tcPr>
            <w:tcW w:w="66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2026</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484,509 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4,393,537 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703,275 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259,275 </w:t>
            </w:r>
          </w:p>
        </w:tc>
        <w:tc>
          <w:tcPr>
            <w:tcW w:w="11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5,840,596 </w:t>
            </w:r>
          </w:p>
        </w:tc>
        <w:tc>
          <w:tcPr>
            <w:tcW w:w="15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bottom w:val="single" w:sz="8" w:space="0" w:color="6D6D6D"/>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2025</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460,058 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3,835,620 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641,878 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201,680 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5,139,236 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bottom w:val="single" w:sz="8" w:space="0" w:color="6D6D6D"/>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2024</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432,250 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3,461,817 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195,615 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200,024 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4,289,706 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Senior Vice President </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of Product and </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Technology and Chief Product and Technology Officer</w:t>
            </w:r>
          </w:p>
        </w:tc>
        <w:tc>
          <w:tcPr>
            <w:tcW w:w="66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2026</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442,708 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3,398,258 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481,950 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53,439 </w:t>
            </w:r>
          </w:p>
        </w:tc>
        <w:tc>
          <w:tcPr>
            <w:tcW w:w="11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4,376,355 </w:t>
            </w:r>
          </w:p>
        </w:tc>
        <w:tc>
          <w:tcPr>
            <w:tcW w:w="15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tcMar>
              <w:top w:w="0" w:type="dxa"/>
              <w:left w:w="0" w:type="dxa"/>
              <w:bottom w:w="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2025</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230,208 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275,000 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3,500,141 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237,412 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18,654 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4,261,415 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restart"/>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Senior Vice President </w:t>
            </w:r>
          </w:p>
          <w:p>
            <w:pPr>
              <w:pStyle w:val="TableContents"/>
              <w:bidi w:val="0"/>
              <w:spacing w:lineRule="auto" w:line="312" w:before="0" w:after="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of Operations and Chief Client Officer</w:t>
            </w:r>
          </w:p>
        </w:tc>
        <w:tc>
          <w:tcPr>
            <w:tcW w:w="66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2026</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426,667 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2,752,611 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622,080 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254,633 </w:t>
            </w:r>
          </w:p>
        </w:tc>
        <w:tc>
          <w:tcPr>
            <w:tcW w:w="11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6D6D6D"/>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4,055,991 </w:t>
            </w:r>
          </w:p>
        </w:tc>
        <w:tc>
          <w:tcPr>
            <w:tcW w:w="154"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top w:val="single" w:sz="8" w:space="0" w:color="6D6D6D"/>
              <w:bottom w:val="single" w:sz="8" w:space="0" w:color="000000"/>
            </w:tcBorders>
            <w:tcMar>
              <w:top w:w="3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2025</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400,000 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1,999,052 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7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552,000 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33"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173,803 </w:t>
            </w:r>
          </w:p>
        </w:tc>
        <w:tc>
          <w:tcPr>
            <w:tcW w:w="11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3,124,855 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vMerge w:val="continue"/>
            <w:tcBorders>
              <w:top w:val="single" w:sz="8" w:space="0" w:color="6D6D6D"/>
              <w:bottom w:val="single" w:sz="8" w:space="0" w:color="000000"/>
            </w:tcBorders>
            <w:tcMar>
              <w:top w:w="30" w:type="dxa"/>
              <w:left w:w="0" w:type="dxa"/>
              <w:bottom w:w="30" w:type="dxa"/>
              <w:right w:w="0" w:type="dxa"/>
            </w:tcMar>
            <w:vAlign w:val="center"/>
          </w:tcPr>
          <w:p>
            <w:pPr>
              <w:pStyle w:val="Normal"/>
              <w:bidi w:val="0"/>
              <w:jc w:val="left"/>
              <w:rPr/>
            </w:pPr>
            <w:r>
              <w:rPr/>
            </w:r>
          </w:p>
        </w:tc>
        <w:tc>
          <w:tcPr>
            <w:tcW w:w="661" w:type="dxa"/>
            <w:gridSpan w:val="3"/>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2024</w:t>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312,680 </w:t>
            </w:r>
          </w:p>
        </w:tc>
        <w:tc>
          <w:tcPr>
            <w:tcW w:w="109"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8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925,265 </w:t>
            </w:r>
          </w:p>
        </w:tc>
        <w:tc>
          <w:tcPr>
            <w:tcW w:w="109"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976"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95,069 </w:t>
            </w:r>
          </w:p>
        </w:tc>
        <w:tc>
          <w:tcPr>
            <w:tcW w:w="109"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33"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34,577 </w:t>
            </w:r>
          </w:p>
        </w:tc>
        <w:tc>
          <w:tcPr>
            <w:tcW w:w="114"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8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1,367,591 </w:t>
            </w:r>
          </w:p>
        </w:tc>
        <w:tc>
          <w:tcPr>
            <w:tcW w:w="154"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E48"/>
          <w:sz w:val="10"/>
        </w:rPr>
        <w:t>(1)</w:t>
      </w:r>
      <w:r>
        <w:rPr>
          <w:rFonts w:ascii="ITC Avant Garde Pro Md;sans-serif" w:hAnsi="ITC Avant Garde Pro Md;sans-serif"/>
          <w:b w:val="false"/>
          <w:color w:val="313E48"/>
          <w:sz w:val="16"/>
        </w:rPr>
        <w:t xml:space="preserve">Amounts represent salary earned during each fiscal year presented based on any changes approved by the Committee. </w:t>
      </w:r>
    </w:p>
    <w:p>
      <w:pPr>
        <w:pStyle w:val="TextBody"/>
        <w:bidi w:val="0"/>
        <w:spacing w:lineRule="auto" w:line="312" w:before="80" w:after="80"/>
        <w:ind w:left="0" w:right="0" w:hanging="288"/>
        <w:jc w:val="left"/>
        <w:rPr/>
      </w:pPr>
      <w:r>
        <w:rPr>
          <w:rFonts w:ascii="ITC Avant Garde Pro Md;sans-serif" w:hAnsi="ITC Avant Garde Pro Md;sans-serif"/>
          <w:b w:val="false"/>
          <w:color w:val="313E48"/>
          <w:sz w:val="10"/>
        </w:rPr>
        <w:t>(2)</w:t>
      </w:r>
      <w:r>
        <w:rPr>
          <w:rFonts w:ascii="ITC Avant Garde Pro Md;sans-serif" w:hAnsi="ITC Avant Garde Pro Md;sans-serif"/>
          <w:b w:val="false"/>
          <w:color w:val="313E48"/>
          <w:sz w:val="16"/>
        </w:rPr>
        <w:t xml:space="preserve">Amounts represent the aggregate grant date fair value of stock awards granted during the applicable year computed in accordance with Financial Accounting Standards Board Accounting Standards Codification Topic 718 (“ASC Topic 718”). Assumptions used in calculating the stock awards in this column are set forth in Note 16 “Benefit Plans” of the audited consolidated financial statements included in our Annual Report on Form 10-K for the fiscal year ended June 30, 2026, disregarding estimates of forfeitures. Note that the amounts reported in this column reflect the accounting cost for these awards, and do not correspond to the actual economic value that our named executive officers may receive from these awards. The amounts included with respect to PSU awards granted reflect the grant date fair value of such awards based upon the probable outcome of the awards' performance condition as of the grant date. The fair value of our MSU awards is estimated at the date of grant using a Monte-Carlo simulation. The Monte Carlo simulation used to calculate the fair value of the MSUs simulates the present value of the potential outcomes of future stock prices of the Company and the Russell 3000 Index over the requisite service period. The projection of stock prices is based on the risk-free rate of return, the volatility of the stock price of the Company and the Russell 3000 Index, and the correlation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28650"/>
                <wp:effectExtent l="0" t="0" r="0" b="0"/>
                <wp:wrapNone/>
                <wp:docPr id="127"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312" w:before="80" w:after="80"/>
        <w:jc w:val="left"/>
        <w:rPr/>
      </w:pPr>
      <w:r>
        <w:rPr>
          <w:rFonts w:ascii="ITC Avant Garde Pro Md;sans-serif" w:hAnsi="ITC Avant Garde Pro Md;sans-serif"/>
          <w:b w:val="false"/>
          <w:color w:val="313E48"/>
          <w:sz w:val="16"/>
        </w:rPr>
        <w:t xml:space="preserve">of the stock price of the Company with the Index. The table below presents the aggregate grant date fair value of the PSU and MSU awards granted in fiscal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6"/>
        </w:rPr>
        <w:t>assuming achievement at the maximum level of achievement:</w:t>
      </w:r>
    </w:p>
    <w:tbl>
      <w:tblPr>
        <w:tblW w:w="5226" w:type="dxa"/>
        <w:jc w:val="left"/>
        <w:tblInd w:w="0" w:type="dxa"/>
        <w:tblLayout w:type="fixed"/>
        <w:tblCellMar>
          <w:top w:w="28" w:type="dxa"/>
          <w:left w:w="28" w:type="dxa"/>
          <w:bottom w:w="28" w:type="dxa"/>
          <w:right w:w="28" w:type="dxa"/>
        </w:tblCellMar>
      </w:tblPr>
      <w:tblGrid>
        <w:gridCol w:w="659"/>
        <w:gridCol w:w="581"/>
        <w:gridCol w:w="590"/>
        <w:gridCol w:w="109"/>
        <w:gridCol w:w="109"/>
        <w:gridCol w:w="109"/>
        <w:gridCol w:w="211"/>
        <w:gridCol w:w="1081"/>
        <w:gridCol w:w="109"/>
        <w:gridCol w:w="109"/>
        <w:gridCol w:w="109"/>
        <w:gridCol w:w="109"/>
        <w:gridCol w:w="211"/>
        <w:gridCol w:w="976"/>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w:t>
            </w:r>
          </w:p>
        </w:tc>
        <w:tc>
          <w:tcPr>
            <w:tcW w:w="172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Maximum</w:t>
              <w:br/>
              <w:t>Grant Date</w:t>
              <w:br/>
              <w:t>Fair Value of</w:t>
              <w:br/>
              <w:t>PSU Awards</w:t>
            </w:r>
          </w:p>
        </w:tc>
        <w:tc>
          <w:tcPr>
            <w:tcW w:w="166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Maximum</w:t>
              <w:br/>
              <w:t>Grant Date</w:t>
              <w:br/>
              <w:t>Fair Value of</w:t>
              <w:br/>
              <w:t>MSU Awards</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Toby J. 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10,572,102 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7,101,654 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Ryan Glenn</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2,921,256 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97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1,904,556 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Joshua Scutt</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1,705,498 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97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1,112,156 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Melissa King</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1,319,278 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97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860,112 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Andrew Cappotelli</w:t>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8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1,068,560 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97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696,876 </w:t>
            </w:r>
          </w:p>
        </w:tc>
        <w:tc>
          <w:tcPr>
            <w:tcW w:w="15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(3)</w:t>
      </w:r>
      <w:r>
        <w:rPr>
          <w:rFonts w:ascii="ITC Avant Garde Pro Md;sans-serif" w:hAnsi="ITC Avant Garde Pro Md;sans-serif"/>
          <w:b w:val="false"/>
          <w:color w:val="313D48"/>
          <w:sz w:val="16"/>
        </w:rPr>
        <w:t xml:space="preserve">Represents amounts paid under our cash bonus plan for fiscal </w:t>
      </w:r>
      <w:r>
        <w:rPr>
          <w:rFonts w:ascii="ITC Avant Garde Pro Md;sans-serif" w:hAnsi="ITC Avant Garde Pro Md;sans-serif"/>
          <w:b w:val="false"/>
          <w:color w:val="313D48"/>
          <w:sz w:val="17"/>
        </w:rPr>
        <w:t>2026</w:t>
      </w:r>
      <w:r>
        <w:rPr>
          <w:color w:val="313D48"/>
        </w:rPr>
        <w:t xml:space="preserve"> </w:t>
      </w:r>
      <w:r>
        <w:rPr>
          <w:rFonts w:ascii="ITC Avant Garde Pro Md;sans-serif" w:hAnsi="ITC Avant Garde Pro Md;sans-serif"/>
          <w:b w:val="false"/>
          <w:color w:val="313D48"/>
          <w:sz w:val="16"/>
        </w:rPr>
        <w:t>based on the achievement of performance criteria. See "Compensation Discussion and Analysis - Variable Compensation Under Our Annual Bonus Plan" for additional information.</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(4)</w:t>
      </w:r>
      <w:r>
        <w:rPr>
          <w:rFonts w:ascii="ITC Avant Garde Pro Md;sans-serif" w:hAnsi="ITC Avant Garde Pro Md;sans-serif"/>
          <w:b w:val="false"/>
          <w:color w:val="313D48"/>
          <w:sz w:val="16"/>
        </w:rPr>
        <w:t>Amounts shown in this column are detailed in the table below:</w:t>
      </w:r>
    </w:p>
    <w:tbl>
      <w:tblPr>
        <w:tblW w:w="7669" w:type="dxa"/>
        <w:jc w:val="left"/>
        <w:tblInd w:w="0" w:type="dxa"/>
        <w:tblLayout w:type="fixed"/>
        <w:tblCellMar>
          <w:top w:w="28" w:type="dxa"/>
          <w:left w:w="28" w:type="dxa"/>
          <w:bottom w:w="28" w:type="dxa"/>
          <w:right w:w="28" w:type="dxa"/>
        </w:tblCellMar>
      </w:tblPr>
      <w:tblGrid>
        <w:gridCol w:w="659"/>
        <w:gridCol w:w="581"/>
        <w:gridCol w:w="590"/>
        <w:gridCol w:w="118"/>
        <w:gridCol w:w="118"/>
        <w:gridCol w:w="118"/>
        <w:gridCol w:w="228"/>
        <w:gridCol w:w="782"/>
        <w:gridCol w:w="120"/>
        <w:gridCol w:w="109"/>
        <w:gridCol w:w="109"/>
        <w:gridCol w:w="109"/>
        <w:gridCol w:w="211"/>
        <w:gridCol w:w="721"/>
        <w:gridCol w:w="109"/>
        <w:gridCol w:w="117"/>
        <w:gridCol w:w="117"/>
        <w:gridCol w:w="117"/>
        <w:gridCol w:w="226"/>
        <w:gridCol w:w="775"/>
        <w:gridCol w:w="117"/>
        <w:gridCol w:w="109"/>
        <w:gridCol w:w="109"/>
        <w:gridCol w:w="109"/>
        <w:gridCol w:w="211"/>
        <w:gridCol w:w="826"/>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6"/>
              </w:rPr>
            </w:pPr>
            <w:r>
              <w:rPr>
                <w:rFonts w:ascii="ITC Avant Garde Pro Bk;sans-serif" w:hAnsi="ITC Avant Garde Pro Bk;sans-serif"/>
                <w:b/>
                <w:color w:val="313E48"/>
                <w:sz w:val="16"/>
              </w:rPr>
              <w:t>Name</w:t>
            </w:r>
          </w:p>
        </w:tc>
        <w:tc>
          <w:tcPr>
            <w:tcW w:w="1484"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Company</w:t>
              <w:br/>
              <w:t>Funded 401(k)</w:t>
              <w:br/>
              <w:t>Matching</w:t>
              <w:br/>
              <w:t>Contributions</w:t>
            </w:r>
          </w:p>
        </w:tc>
        <w:tc>
          <w:tcPr>
            <w:tcW w:w="136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Commuting</w:t>
              <w:br/>
              <w:t>Expenses</w:t>
            </w:r>
          </w:p>
        </w:tc>
        <w:tc>
          <w:tcPr>
            <w:tcW w:w="1469"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Tax Gross-ups</w:t>
              <w:br/>
              <w:t>on Commuting</w:t>
              <w:br/>
              <w:t>Expenses</w:t>
            </w:r>
          </w:p>
        </w:tc>
        <w:tc>
          <w:tcPr>
            <w:tcW w:w="151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E48"/>
                <w:sz w:val="16"/>
              </w:rPr>
            </w:pPr>
            <w:r>
              <w:rPr>
                <w:rFonts w:ascii="ITC Avant Garde Pro Bk;sans-serif" w:hAnsi="ITC Avant Garde Pro Bk;sans-serif"/>
                <w:b/>
                <w:color w:val="313E48"/>
                <w:sz w:val="16"/>
              </w:rPr>
              <w:t>Other*</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13,396 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33,227 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28,184 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33,606 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35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82"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8,125 </w:t>
            </w:r>
          </w:p>
        </w:tc>
        <w:tc>
          <w:tcPr>
            <w:tcW w:w="12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2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7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1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70,301 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35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82"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12,215 </w:t>
            </w:r>
          </w:p>
        </w:tc>
        <w:tc>
          <w:tcPr>
            <w:tcW w:w="12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2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94,504 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7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57,984 </w:t>
            </w:r>
          </w:p>
        </w:tc>
        <w:tc>
          <w:tcPr>
            <w:tcW w:w="11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94,572 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35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82"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10,819 </w:t>
            </w:r>
          </w:p>
        </w:tc>
        <w:tc>
          <w:tcPr>
            <w:tcW w:w="120"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2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7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1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42,620 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354"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82"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13,666 </w:t>
            </w:r>
          </w:p>
        </w:tc>
        <w:tc>
          <w:tcPr>
            <w:tcW w:w="120"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2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75"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117"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82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240,967 </w:t>
            </w:r>
          </w:p>
        </w:tc>
        <w:tc>
          <w:tcPr>
            <w:tcW w:w="15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    Includes (i) health and welfare benefits, such as Company paid medical and dental insurance premiums, generally available to all employees for each of the named executive officers; (ii) executive health and wellness screening and concierge membership for each of the named executive officers other than Ms. King; (iii) health and wellness stipend of $15,000 for each of the named executive officers (iv) spousal travel benefits provided to Messrs. Glenn and Scutt for a company-sponsored incentive trip; (v) Mr. Scutt's annual car allowance; (vi) $36,874 in relocation expenses, which includes a tax gross-up of $15,940 for Mr. Cappotelli, (vii) $112,868 in housing allowances, which includes a tax gross-up of $40,868, for Mr. Cappotelli and (viii) $48,852 in home security installation and monitoring services for Mr. Cappotelli.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25170"/>
                <wp:effectExtent l="0" t="0" r="0" b="0"/>
                <wp:wrapNone/>
                <wp:docPr id="128" name="Frame4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Grants of Plan-Based Awards in Fiscal 2026</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table sets forth information regarding grants of plan-based cash and equity awards made to our named executive officers during fiscal 2026.</w:t>
      </w:r>
    </w:p>
    <w:tbl>
      <w:tblPr>
        <w:tblW w:w="11071" w:type="dxa"/>
        <w:jc w:val="left"/>
        <w:tblInd w:w="0" w:type="dxa"/>
        <w:tblLayout w:type="fixed"/>
        <w:tblCellMar>
          <w:top w:w="28" w:type="dxa"/>
          <w:left w:w="28" w:type="dxa"/>
          <w:bottom w:w="28" w:type="dxa"/>
          <w:right w:w="28" w:type="dxa"/>
        </w:tblCellMar>
      </w:tblPr>
      <w:tblGrid>
        <w:gridCol w:w="428"/>
        <w:gridCol w:w="273"/>
        <w:gridCol w:w="260"/>
        <w:gridCol w:w="170"/>
        <w:gridCol w:w="170"/>
        <w:gridCol w:w="171"/>
        <w:gridCol w:w="190"/>
        <w:gridCol w:w="190"/>
        <w:gridCol w:w="191"/>
        <w:gridCol w:w="109"/>
        <w:gridCol w:w="109"/>
        <w:gridCol w:w="109"/>
        <w:gridCol w:w="196"/>
        <w:gridCol w:w="736"/>
        <w:gridCol w:w="109"/>
        <w:gridCol w:w="196"/>
        <w:gridCol w:w="736"/>
        <w:gridCol w:w="109"/>
        <w:gridCol w:w="196"/>
        <w:gridCol w:w="871"/>
        <w:gridCol w:w="109"/>
        <w:gridCol w:w="109"/>
        <w:gridCol w:w="109"/>
        <w:gridCol w:w="109"/>
        <w:gridCol w:w="323"/>
        <w:gridCol w:w="323"/>
        <w:gridCol w:w="276"/>
        <w:gridCol w:w="323"/>
        <w:gridCol w:w="323"/>
        <w:gridCol w:w="196"/>
        <w:gridCol w:w="323"/>
        <w:gridCol w:w="323"/>
        <w:gridCol w:w="276"/>
        <w:gridCol w:w="323"/>
        <w:gridCol w:w="323"/>
        <w:gridCol w:w="236"/>
        <w:gridCol w:w="109"/>
        <w:gridCol w:w="109"/>
        <w:gridCol w:w="109"/>
        <w:gridCol w:w="196"/>
        <w:gridCol w:w="871"/>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Award</w:t>
              <w:br/>
              <w:t>Type</w:t>
            </w:r>
          </w:p>
        </w:tc>
        <w:tc>
          <w:tcPr>
            <w:tcW w:w="3585" w:type="dxa"/>
            <w:gridSpan w:val="12"/>
            <w:tcBorders/>
            <w:tcMar>
              <w:top w:w="0" w:type="dxa"/>
              <w:left w:w="0" w:type="dxa"/>
              <w:bottom w:w="0" w:type="dxa"/>
              <w:right w:w="0" w:type="dxa"/>
            </w:tcMar>
            <w:vAlign w:val="center"/>
          </w:tcPr>
          <w:p>
            <w:pPr>
              <w:pStyle w:val="TableContents"/>
              <w:bidi w:val="0"/>
              <w:spacing w:lineRule="auto" w:line="312" w:before="0" w:after="0"/>
              <w:jc w:val="center"/>
              <w:rPr>
                <w:rFonts w:ascii="ITC Avant Garde Pro Bk;sans-serif" w:hAnsi="ITC Avant Garde Pro Bk;sans-serif"/>
                <w:b/>
                <w:color w:val="313D48"/>
                <w:sz w:val="14"/>
              </w:rPr>
            </w:pPr>
            <w:r>
              <w:rPr>
                <w:rFonts w:ascii="ITC Avant Garde Pro Bk;sans-serif" w:hAnsi="ITC Avant Garde Pro Bk;sans-serif"/>
                <w:b/>
                <w:color w:val="313D48"/>
                <w:sz w:val="14"/>
              </w:rPr>
              <w:t>Estimated Future</w:t>
            </w:r>
          </w:p>
          <w:p>
            <w:pPr>
              <w:pStyle w:val="TableContents"/>
              <w:bidi w:val="0"/>
              <w:spacing w:lineRule="auto" w:line="312" w:before="0" w:after="0"/>
              <w:jc w:val="center"/>
              <w:rPr>
                <w:rFonts w:ascii="ITC Avant Garde Pro Bk;sans-serif" w:hAnsi="ITC Avant Garde Pro Bk;sans-serif"/>
                <w:b/>
                <w:color w:val="313D48"/>
                <w:sz w:val="14"/>
              </w:rPr>
            </w:pPr>
            <w:r>
              <w:rPr>
                <w:rFonts w:ascii="ITC Avant Garde Pro Bk;sans-serif" w:hAnsi="ITC Avant Garde Pro Bk;sans-serif"/>
                <w:b/>
                <w:color w:val="313D48"/>
                <w:sz w:val="14"/>
              </w:rPr>
              <w:t>Payouts Under</w:t>
            </w:r>
          </w:p>
          <w:p>
            <w:pPr>
              <w:pStyle w:val="TableContents"/>
              <w:bidi w:val="0"/>
              <w:spacing w:lineRule="auto" w:line="312" w:before="0" w:after="0"/>
              <w:jc w:val="center"/>
              <w:rPr>
                <w:rFonts w:ascii="ITC Avant Garde Pro Bk;sans-serif" w:hAnsi="ITC Avant Garde Pro Bk;sans-serif"/>
                <w:b/>
                <w:color w:val="313D48"/>
                <w:sz w:val="14"/>
              </w:rPr>
            </w:pPr>
            <w:r>
              <w:rPr>
                <w:rFonts w:ascii="ITC Avant Garde Pro Bk;sans-serif" w:hAnsi="ITC Avant Garde Pro Bk;sans-serif"/>
                <w:b/>
                <w:color w:val="313D48"/>
                <w:sz w:val="14"/>
              </w:rPr>
              <w:t>Non-Equity Incentive</w:t>
            </w:r>
          </w:p>
          <w:p>
            <w:pPr>
              <w:pStyle w:val="TableContents"/>
              <w:bidi w:val="0"/>
              <w:spacing w:lineRule="auto" w:line="312" w:before="0" w:after="0"/>
              <w:jc w:val="center"/>
              <w:rPr/>
            </w:pPr>
            <w:r>
              <w:rPr>
                <w:rFonts w:ascii="ITC Avant Garde Pro Bk;sans-serif" w:hAnsi="ITC Avant Garde Pro Bk;sans-serif"/>
                <w:b/>
                <w:color w:val="313D48"/>
                <w:sz w:val="14"/>
              </w:rPr>
              <w:t>Plan Awards</w:t>
            </w:r>
            <w:r>
              <w:rPr>
                <w:rFonts w:ascii="ITC Avant Garde Pro Bk;sans-serif" w:hAnsi="ITC Avant Garde Pro Bk;sans-serif"/>
                <w:b/>
                <w:color w:val="313D48"/>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D48"/>
                <w:sz w:val="14"/>
              </w:rPr>
            </w:pPr>
            <w:r>
              <w:rPr>
                <w:rFonts w:ascii="ITC Avant Garde Pro Bk;sans-serif" w:hAnsi="ITC Avant Garde Pro Bk;sans-serif"/>
                <w:b/>
                <w:color w:val="313D48"/>
                <w:sz w:val="14"/>
              </w:rPr>
              <w:t>Estimated Future</w:t>
              <w:br/>
              <w:t>Payouts Under</w:t>
              <w:br/>
              <w:t>Equity Incentive</w:t>
              <w:br/>
              <w:t>Plan Awards</w:t>
            </w:r>
          </w:p>
        </w:tc>
        <w:tc>
          <w:tcPr>
            <w:tcW w:w="882" w:type="dxa"/>
            <w:gridSpan w:val="3"/>
            <w:vMerge w:val="restart"/>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All Other</w:t>
              <w:br/>
              <w:t>Stock</w:t>
              <w:br/>
              <w:t>Awards:</w:t>
              <w:br/>
              <w:t>Number of</w:t>
              <w:br/>
              <w:t>Shares of</w:t>
              <w:br/>
              <w:t>Stock or</w:t>
              <w:br/>
              <w:t>Units</w:t>
              <w:br/>
              <w:t>(#)</w:t>
            </w:r>
          </w:p>
        </w:tc>
        <w:tc>
          <w:tcPr>
            <w:tcW w:w="1548"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D48"/>
                <w:sz w:val="14"/>
              </w:rPr>
            </w:pPr>
            <w:r>
              <w:rPr>
                <w:rFonts w:ascii="ITC Avant Garde Pro Bk;sans-serif" w:hAnsi="ITC Avant Garde Pro Bk;sans-serif"/>
                <w:b/>
                <w:color w:val="313D48"/>
                <w:sz w:val="14"/>
              </w:rPr>
              <w:t>Grant Date</w:t>
            </w:r>
          </w:p>
          <w:p>
            <w:pPr>
              <w:pStyle w:val="TableContents"/>
              <w:bidi w:val="0"/>
              <w:spacing w:lineRule="auto" w:line="312" w:before="0" w:after="0"/>
              <w:jc w:val="right"/>
              <w:rPr>
                <w:rFonts w:ascii="ITC Avant Garde Pro Bk;sans-serif" w:hAnsi="ITC Avant Garde Pro Bk;sans-serif"/>
                <w:b/>
                <w:color w:val="313D48"/>
                <w:sz w:val="14"/>
              </w:rPr>
            </w:pPr>
            <w:r>
              <w:rPr>
                <w:rFonts w:ascii="ITC Avant Garde Pro Bk;sans-serif" w:hAnsi="ITC Avant Garde Pro Bk;sans-serif"/>
                <w:b/>
                <w:color w:val="313D48"/>
                <w:sz w:val="14"/>
              </w:rPr>
              <w:t>Fair Value</w:t>
            </w:r>
          </w:p>
          <w:p>
            <w:pPr>
              <w:pStyle w:val="TableContents"/>
              <w:bidi w:val="0"/>
              <w:spacing w:lineRule="auto" w:line="312" w:before="0" w:after="0"/>
              <w:jc w:val="right"/>
              <w:rPr>
                <w:rFonts w:ascii="ITC Avant Garde Pro Bk;sans-serif" w:hAnsi="ITC Avant Garde Pro Bk;sans-serif"/>
                <w:b/>
                <w:color w:val="313D48"/>
                <w:sz w:val="14"/>
              </w:rPr>
            </w:pPr>
            <w:r>
              <w:rPr>
                <w:rFonts w:ascii="ITC Avant Garde Pro Bk;sans-serif" w:hAnsi="ITC Avant Garde Pro Bk;sans-serif"/>
                <w:b/>
                <w:color w:val="313D48"/>
                <w:sz w:val="14"/>
              </w:rPr>
              <w:t>of Stock</w:t>
            </w:r>
          </w:p>
          <w:p>
            <w:pPr>
              <w:pStyle w:val="TableContents"/>
              <w:bidi w:val="0"/>
              <w:spacing w:lineRule="auto" w:line="312" w:before="0" w:after="0"/>
              <w:jc w:val="right"/>
              <w:rPr/>
            </w:pPr>
            <w:r>
              <w:rPr>
                <w:rFonts w:ascii="ITC Avant Garde Pro Bk;sans-serif" w:hAnsi="ITC Avant Garde Pro Bk;sans-serif"/>
                <w:b/>
                <w:color w:val="313D48"/>
                <w:sz w:val="14"/>
              </w:rPr>
              <w:t>Awards</w:t>
            </w:r>
            <w:r>
              <w:rPr>
                <w:rFonts w:ascii="ITC Avant Garde Pro Bk;sans-serif" w:hAnsi="ITC Avant Garde Pro Bk;sans-serif"/>
                <w:b/>
                <w:color w:val="313D48"/>
                <w:sz w:val="9"/>
              </w:rPr>
              <w:t>(6)</w:t>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4"/>
              </w:rPr>
            </w:pPr>
            <w:r>
              <w:rPr>
                <w:rFonts w:ascii="ITC Avant Garde Pro Bk;sans-serif" w:hAnsi="ITC Avant Garde Pro Bk;sans-serif"/>
                <w:b/>
                <w:color w:val="313D48"/>
                <w:sz w:val="14"/>
              </w:rPr>
              <w:t>Name</w:t>
            </w:r>
          </w:p>
        </w:tc>
        <w:tc>
          <w:tcPr>
            <w:tcW w:w="51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Grant Date</w:t>
            </w:r>
          </w:p>
        </w:tc>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Threshold</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Target</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Threshold</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Target</w:t>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4"/>
              </w:rPr>
            </w:pPr>
            <w:r>
              <w:rPr>
                <w:rFonts w:ascii="ITC Avant Garde Pro Bk;sans-serif" w:hAnsi="ITC Avant Garde Pro Bk;sans-serif"/>
                <w:b/>
                <w:color w:val="313D48"/>
                <w:sz w:val="14"/>
              </w:rPr>
              <w:t>Maximum</w:t>
            </w:r>
          </w:p>
        </w:tc>
        <w:tc>
          <w:tcPr>
            <w:tcW w:w="882" w:type="dxa"/>
            <w:gridSpan w:val="3"/>
            <w:vMerge w:val="continue"/>
            <w:tcBorders/>
            <w:tcMar>
              <w:top w:w="0" w:type="dxa"/>
              <w:left w:w="0" w:type="dxa"/>
              <w:bottom w:w="0" w:type="dxa"/>
              <w:right w:w="0" w:type="dxa"/>
            </w:tcMar>
            <w:vAlign w:val="center"/>
          </w:tcPr>
          <w:p>
            <w:pPr>
              <w:pStyle w:val="Normal"/>
              <w:bidi w:val="0"/>
              <w:jc w:val="left"/>
              <w:rPr/>
            </w:pPr>
            <w:r>
              <w:rPr/>
            </w:r>
          </w:p>
        </w:tc>
        <w:tc>
          <w:tcPr>
            <w:tcW w:w="1548"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961" w:type="dxa"/>
            <w:gridSpan w:val="3"/>
            <w:vMerge w:val="restart"/>
            <w:tcBorders>
              <w:bottom w:val="single" w:sz="8" w:space="0" w:color="929292"/>
            </w:tcBorders>
            <w:tcMar>
              <w:top w:w="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5"/>
              </w:rPr>
            </w:pPr>
            <w:r>
              <w:rPr>
                <w:rFonts w:ascii="ITC Avant Garde Pro Bk;sans-serif" w:hAnsi="ITC Avant Garde Pro Bk;sans-serif"/>
                <w:b/>
                <w:color w:val="F78D2D"/>
                <w:sz w:val="15"/>
              </w:rPr>
              <w:t>Toby J.</w:t>
              <w:br/>
              <w:t>Williams</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n/a</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372,315 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744,630 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1,116,945 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RSU</w:t>
            </w:r>
            <w:r>
              <w:rPr>
                <w:rFonts w:ascii="ITC Avant Garde Pro Md;sans-serif" w:hAnsi="ITC Avant Garde Pro Md;sans-serif"/>
                <w:b w:val="false"/>
                <w:color w:val="313E48"/>
                <w:sz w:val="10"/>
              </w:rPr>
              <w:t>2</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46,576 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8,009,209 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RSU</w:t>
            </w:r>
            <w:r>
              <w:rPr>
                <w:rFonts w:ascii="ITC Avant Garde Pro Md;sans-serif" w:hAnsi="ITC Avant Garde Pro Md;sans-serif"/>
                <w:b w:val="false"/>
                <w:color w:val="313E48"/>
                <w:sz w:val="10"/>
              </w:rPr>
              <w:t>3</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27,398 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4,711,360 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PSU</w:t>
            </w:r>
            <w:r>
              <w:rPr>
                <w:rFonts w:ascii="ITC Avant Garde Pro Md;sans-serif" w:hAnsi="ITC Avant Garde Pro Md;sans-serif"/>
                <w:b w:val="false"/>
                <w:color w:val="313E48"/>
                <w:sz w:val="10"/>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15,370 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30,740 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61,480 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5,286,051 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MSU</w:t>
            </w:r>
            <w:r>
              <w:rPr>
                <w:rFonts w:ascii="ITC Avant Garde Pro Md;sans-serif" w:hAnsi="ITC Avant Garde Pro Md;sans-serif"/>
                <w:b w:val="false"/>
                <w:color w:val="313E48"/>
                <w:sz w:val="10"/>
              </w:rPr>
              <w:t>5</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3,959 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15,836 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31,672 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3,550,827 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bottom w:val="single" w:sz="8" w:space="0" w:color="929292"/>
            </w:tcBorders>
            <w:tcMar>
              <w:top w:w="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5"/>
              </w:rPr>
            </w:pPr>
            <w:r>
              <w:rPr>
                <w:rFonts w:ascii="ITC Avant Garde Pro Bk;sans-serif" w:hAnsi="ITC Avant Garde Pro Bk;sans-serif"/>
                <w:b/>
                <w:color w:val="F78D2D"/>
                <w:sz w:val="15"/>
              </w:rPr>
              <w:t>Ryan Glenn</w:t>
            </w:r>
          </w:p>
        </w:tc>
        <w:tc>
          <w:tcPr>
            <w:tcW w:w="51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n/a</w:t>
            </w:r>
          </w:p>
        </w:tc>
        <w:tc>
          <w:tcPr>
            <w:tcW w:w="5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Cash</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244,516 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489,032 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733,548 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RSU</w:t>
            </w:r>
            <w:r>
              <w:rPr>
                <w:rFonts w:ascii="ITC Avant Garde Pro Md;sans-serif" w:hAnsi="ITC Avant Garde Pro Md;sans-serif"/>
                <w:b w:val="false"/>
                <w:color w:val="313E48"/>
                <w:sz w:val="10"/>
              </w:rPr>
              <w:t>2</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29,727 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5,111,855 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RSU</w:t>
            </w:r>
            <w:r>
              <w:rPr>
                <w:rFonts w:ascii="ITC Avant Garde Pro Md;sans-serif" w:hAnsi="ITC Avant Garde Pro Md;sans-serif"/>
                <w:b w:val="false"/>
                <w:color w:val="313E48"/>
                <w:sz w:val="10"/>
              </w:rPr>
              <w:t>3</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4,110 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706,756 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PSU</w:t>
            </w:r>
            <w:r>
              <w:rPr>
                <w:rFonts w:ascii="ITC Avant Garde Pro Md;sans-serif" w:hAnsi="ITC Avant Garde Pro Md;sans-serif"/>
                <w:b w:val="false"/>
                <w:color w:val="313E48"/>
                <w:sz w:val="10"/>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4,247 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8,494 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16,988 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1,460,628 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bottom w:val="single" w:sz="8" w:space="0" w:color="929292"/>
            </w:tcBorders>
            <w:tcMar>
              <w:top w:w="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MSU</w:t>
            </w:r>
            <w:r>
              <w:rPr>
                <w:rFonts w:ascii="ITC Avant Garde Pro Md;sans-serif" w:hAnsi="ITC Avant Garde Pro Md;sans-serif"/>
                <w:b w:val="false"/>
                <w:color w:val="313E48"/>
                <w:sz w:val="10"/>
              </w:rPr>
              <w:t>5</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1,062 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4,247 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8,494 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952,278 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5"/>
              </w:rPr>
            </w:pPr>
            <w:r>
              <w:rPr>
                <w:rFonts w:ascii="ITC Avant Garde Pro Bk;sans-serif" w:hAnsi="ITC Avant Garde Pro Bk;sans-serif"/>
                <w:b/>
                <w:color w:val="F78D2D"/>
                <w:sz w:val="15"/>
              </w:rPr>
              <w:t>Joshua Scutt</w:t>
            </w:r>
          </w:p>
        </w:tc>
        <w:tc>
          <w:tcPr>
            <w:tcW w:w="51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n/a</w:t>
            </w:r>
          </w:p>
        </w:tc>
        <w:tc>
          <w:tcPr>
            <w:tcW w:w="5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Cash</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244,193 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488,385 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732,578 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RSU</w:t>
            </w:r>
            <w:r>
              <w:rPr>
                <w:rFonts w:ascii="ITC Avant Garde Pro Md;sans-serif" w:hAnsi="ITC Avant Garde Pro Md;sans-serif"/>
                <w:b w:val="false"/>
                <w:color w:val="313E48"/>
                <w:sz w:val="10"/>
              </w:rPr>
              <w:t>2</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17,357 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2,984,710 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PSU</w:t>
            </w:r>
            <w:r>
              <w:rPr>
                <w:rFonts w:ascii="ITC Avant Garde Pro Md;sans-serif" w:hAnsi="ITC Avant Garde Pro Md;sans-serif"/>
                <w:b w:val="false"/>
                <w:color w:val="313E48"/>
                <w:sz w:val="10"/>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2,480 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4,959 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9,918 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852,749 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MSU</w:t>
            </w:r>
            <w:r>
              <w:rPr>
                <w:rFonts w:ascii="ITC Avant Garde Pro Md;sans-serif" w:hAnsi="ITC Avant Garde Pro Md;sans-serif"/>
                <w:b w:val="false"/>
                <w:color w:val="313E48"/>
                <w:sz w:val="10"/>
              </w:rPr>
              <w:t>5</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620 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2,480 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4,960 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556,078 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5"/>
              </w:rPr>
            </w:pPr>
            <w:r>
              <w:rPr>
                <w:rFonts w:ascii="ITC Avant Garde Pro Bk;sans-serif" w:hAnsi="ITC Avant Garde Pro Bk;sans-serif"/>
                <w:b/>
                <w:color w:val="F78D2D"/>
                <w:sz w:val="15"/>
              </w:rPr>
              <w:t>Melissa King</w:t>
            </w:r>
          </w:p>
        </w:tc>
        <w:tc>
          <w:tcPr>
            <w:tcW w:w="51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n/a</w:t>
            </w:r>
          </w:p>
        </w:tc>
        <w:tc>
          <w:tcPr>
            <w:tcW w:w="5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Cash</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167,344 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334,688 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502,032 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RSU</w:t>
            </w:r>
            <w:r>
              <w:rPr>
                <w:rFonts w:ascii="ITC Avant Garde Pro Md;sans-serif" w:hAnsi="ITC Avant Garde Pro Md;sans-serif"/>
                <w:b w:val="false"/>
                <w:color w:val="313E48"/>
                <w:sz w:val="10"/>
              </w:rPr>
              <w:t>2</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13,425 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2,308,563 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PSU</w:t>
            </w:r>
            <w:r>
              <w:rPr>
                <w:rFonts w:ascii="ITC Avant Garde Pro Md;sans-serif" w:hAnsi="ITC Avant Garde Pro Md;sans-serif"/>
                <w:b w:val="false"/>
                <w:color w:val="313E48"/>
                <w:sz w:val="10"/>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1,918 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3,836 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7,672 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659,639 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MSU</w:t>
            </w:r>
            <w:r>
              <w:rPr>
                <w:rFonts w:ascii="ITC Avant Garde Pro Md;sans-serif" w:hAnsi="ITC Avant Garde Pro Md;sans-serif"/>
                <w:b w:val="false"/>
                <w:color w:val="313E48"/>
                <w:sz w:val="10"/>
              </w:rPr>
              <w:t>5</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480 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1,918 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3,836 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430,056 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5"/>
              </w:rPr>
            </w:pPr>
            <w:r>
              <w:rPr>
                <w:rFonts w:ascii="ITC Avant Garde Pro Bk;sans-serif" w:hAnsi="ITC Avant Garde Pro Bk;sans-serif"/>
                <w:b/>
                <w:color w:val="F78D2D"/>
                <w:sz w:val="15"/>
              </w:rPr>
              <w:t>Andrew Cappotelli</w:t>
            </w:r>
          </w:p>
        </w:tc>
        <w:tc>
          <w:tcPr>
            <w:tcW w:w="51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n/a</w:t>
            </w:r>
          </w:p>
        </w:tc>
        <w:tc>
          <w:tcPr>
            <w:tcW w:w="5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Cash</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216,000 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432,000 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648,000 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RSU</w:t>
            </w:r>
            <w:r>
              <w:rPr>
                <w:rFonts w:ascii="ITC Avant Garde Pro Md;sans-serif" w:hAnsi="ITC Avant Garde Pro Md;sans-serif"/>
                <w:b w:val="false"/>
                <w:color w:val="313E48"/>
                <w:sz w:val="10"/>
              </w:rPr>
              <w:t>2</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10,874 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1,869,893 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PSU</w:t>
            </w:r>
            <w:r>
              <w:rPr>
                <w:rFonts w:ascii="ITC Avant Garde Pro Md;sans-serif" w:hAnsi="ITC Avant Garde Pro Md;sans-serif"/>
                <w:b w:val="false"/>
                <w:color w:val="313E48"/>
                <w:sz w:val="10"/>
              </w:rPr>
              <w:t>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1,554 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3,107 </w:t>
            </w:r>
          </w:p>
        </w:tc>
        <w:tc>
          <w:tcPr>
            <w:tcW w:w="19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6,214 </w:t>
            </w:r>
          </w:p>
        </w:tc>
        <w:tc>
          <w:tcPr>
            <w:tcW w:w="27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3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5"/>
              </w:rPr>
            </w:pPr>
            <w:r>
              <w:rPr>
                <w:rFonts w:ascii="ITC Avant Garde Pro Md;sans-serif" w:hAnsi="ITC Avant Garde Pro Md;sans-serif"/>
                <w:b w:val="false"/>
                <w:color w:val="313D48"/>
                <w:sz w:val="15"/>
              </w:rPr>
              <w:t>534,280 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8/15/2025</w:t>
            </w:r>
          </w:p>
        </w:tc>
        <w:tc>
          <w:tcPr>
            <w:tcW w:w="57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0"/>
              <w:jc w:val="right"/>
              <w:rPr/>
            </w:pPr>
            <w:r>
              <w:rPr>
                <w:rFonts w:ascii="ITC Avant Garde Pro Md;sans-serif" w:hAnsi="ITC Avant Garde Pro Md;sans-serif"/>
                <w:b w:val="false"/>
                <w:color w:val="313E48"/>
                <w:sz w:val="15"/>
              </w:rPr>
              <w:t>MSU</w:t>
            </w:r>
            <w:r>
              <w:rPr>
                <w:rFonts w:ascii="ITC Avant Garde Pro Md;sans-serif" w:hAnsi="ITC Avant Garde Pro Md;sans-serif"/>
                <w:b w:val="false"/>
                <w:color w:val="313E48"/>
                <w:sz w:val="10"/>
              </w:rPr>
              <w:t>5</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389 </w:t>
            </w:r>
          </w:p>
        </w:tc>
        <w:tc>
          <w:tcPr>
            <w:tcW w:w="27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1,554 </w:t>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3,108 </w:t>
            </w:r>
          </w:p>
        </w:tc>
        <w:tc>
          <w:tcPr>
            <w:tcW w:w="27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23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w:t>
            </w:r>
          </w:p>
        </w:tc>
        <w:tc>
          <w:tcPr>
            <w:tcW w:w="87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5"/>
              </w:rPr>
            </w:pPr>
            <w:r>
              <w:rPr>
                <w:rFonts w:ascii="ITC Avant Garde Pro Md;sans-serif" w:hAnsi="ITC Avant Garde Pro Md;sans-serif"/>
                <w:b w:val="false"/>
                <w:color w:val="313E48"/>
                <w:sz w:val="15"/>
              </w:rPr>
              <w:t>348,438 </w:t>
            </w:r>
          </w:p>
        </w:tc>
        <w:tc>
          <w:tcPr>
            <w:tcW w:w="15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 xml:space="preserve">The amounts reported in this column represent amounts potentially payable under our cash bonus plan for fiscal 2026. Actual bonuses received under the cash bonus plan by the named executive officers are reported in the Summary Compensation Table under the column entitled “Non-Equity Incentive Plan Compensation.”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Represents RSUs that vest over four years beginning on the grant date at a rate of 6.25% every three months. For more information regarding the RSUs granted in fiscal 2026, see "Compensation Discussion and Analysis - Equity Compensation."</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(3)</w:t>
      </w:r>
      <w:r>
        <w:rPr>
          <w:rFonts w:ascii="ITC Avant Garde Pro Md;sans-serif" w:hAnsi="ITC Avant Garde Pro Md;sans-serif"/>
          <w:b w:val="false"/>
          <w:color w:val="313D48"/>
          <w:sz w:val="16"/>
        </w:rPr>
        <w:t>Represents RSUs that vest over two years beginning on the grant date at a rate of 12.5% every three months. For more information regarding the RSUs granted in fiscal 2026, see "Compensation Discussion and Analysis - Equity Compensation."</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(4)</w:t>
      </w:r>
      <w:r>
        <w:rPr>
          <w:rFonts w:ascii="ITC Avant Garde Pro Md;sans-serif" w:hAnsi="ITC Avant Garde Pro Md;sans-serif"/>
          <w:b w:val="false"/>
          <w:color w:val="313D48"/>
          <w:sz w:val="16"/>
        </w:rPr>
        <w:t>Represents PSUs that are earned based on achievement of Recurring and other revenue targets for the fiscal year ended June 30, 2026 and that vest 50% on the first anniversary and 25% on each of the second and third anniversaries of the date of grant. For more information regarding the PSUs granted in fiscal 2026, see "</w:t>
      </w:r>
      <w:r>
        <w:rPr>
          <w:rFonts w:ascii="ITC Avant Garde Pro Md;sans-serif" w:hAnsi="ITC Avant Garde Pro Md;sans-serif"/>
          <w:b w:val="false"/>
          <w:i/>
          <w:color w:val="313D48"/>
          <w:sz w:val="16"/>
        </w:rPr>
        <w:t>Compensation Discussion and Analysis - Equity Compensation</w:t>
      </w:r>
      <w:r>
        <w:rPr>
          <w:rFonts w:ascii="ITC Avant Garde Pro Md;sans-serif" w:hAnsi="ITC Avant Garde Pro Md;sans-serif"/>
          <w:b w:val="false"/>
          <w:color w:val="313D48"/>
          <w:sz w:val="16"/>
        </w:rPr>
        <w:t>."</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(5)</w:t>
      </w:r>
      <w:r>
        <w:rPr>
          <w:rFonts w:ascii="ITC Avant Garde Pro Md;sans-serif" w:hAnsi="ITC Avant Garde Pro Md;sans-serif"/>
          <w:b w:val="false"/>
          <w:color w:val="313D48"/>
          <w:sz w:val="16"/>
        </w:rPr>
        <w:t>Represents MSUs with four separate performance periods each commencing August 31, 2025 and ending November 30, 2027, February 29, 2028, May 31, 2028 and August 31, 2028, respectively. For more information regarding the MSUs granted in fiscal 2026, see "</w:t>
      </w:r>
      <w:r>
        <w:rPr>
          <w:rFonts w:ascii="ITC Avant Garde Pro Md;sans-serif" w:hAnsi="ITC Avant Garde Pro Md;sans-serif"/>
          <w:b w:val="false"/>
          <w:i/>
          <w:color w:val="313D48"/>
          <w:sz w:val="16"/>
        </w:rPr>
        <w:t>Compensation Discussion and Analysis - Equity Compensation</w:t>
      </w:r>
      <w:r>
        <w:rPr>
          <w:rFonts w:ascii="ITC Avant Garde Pro Md;sans-serif" w:hAnsi="ITC Avant Garde Pro Md;sans-serif"/>
          <w:b w:val="false"/>
          <w:color w:val="313D48"/>
          <w:sz w:val="16"/>
        </w:rPr>
        <w:t>."</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(6)</w:t>
      </w:r>
      <w:r>
        <w:rPr>
          <w:rFonts w:ascii="ITC Avant Garde Pro Md;sans-serif" w:hAnsi="ITC Avant Garde Pro Md;sans-serif"/>
          <w:b w:val="false"/>
          <w:color w:val="313D48"/>
          <w:sz w:val="16"/>
        </w:rPr>
        <w:t>Amounts represent the grant date fair values of RSUs, PSUs and MSUs granted during the fiscal year computed in accordance with ASC Topic 718, excluding the impact of estimated forfeitures. Assumptions used in calculating the amounts reported in this column are set forth in Note 16 “</w:t>
      </w:r>
      <w:r>
        <w:rPr>
          <w:rFonts w:ascii="ITC Avant Garde Pro Md;sans-serif" w:hAnsi="ITC Avant Garde Pro Md;sans-serif"/>
          <w:b w:val="false"/>
          <w:i/>
          <w:color w:val="313D48"/>
          <w:sz w:val="16"/>
        </w:rPr>
        <w:t>Benefit Plans</w:t>
      </w:r>
      <w:r>
        <w:rPr>
          <w:color w:val="313D48"/>
        </w:rPr>
        <w:t xml:space="preserve">” </w:t>
      </w:r>
      <w:r>
        <w:rPr>
          <w:rFonts w:ascii="ITC Avant Garde Pro Md;sans-serif" w:hAnsi="ITC Avant Garde Pro Md;sans-serif"/>
          <w:b w:val="false"/>
          <w:color w:val="313D48"/>
          <w:sz w:val="16"/>
        </w:rPr>
        <w:t>of the audited consolidated financial statements included in our Annual Report on Form 10-K for the fiscal year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28650"/>
                <wp:effectExtent l="0" t="0" r="0" b="0"/>
                <wp:wrapNone/>
                <wp:docPr id="129"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Employment Agreements and Arrangements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have entered into employment agreements with each of our named executive officers. The following is a summary of the employment agreements with our named executive officers, which include certain severance and change in control benefits.</w:t>
      </w:r>
    </w:p>
    <w:p>
      <w:pPr>
        <w:pStyle w:val="TextBody"/>
        <w:bidi w:val="0"/>
        <w:spacing w:lineRule="auto" w:line="312" w:before="120" w:after="120"/>
        <w:jc w:val="left"/>
        <w:rPr/>
      </w:pPr>
      <w:r>
        <w:rPr>
          <w:rFonts w:ascii="ITC Avant Garde Pro Bk;sans-serif" w:hAnsi="ITC Avant Garde Pro Bk;sans-serif"/>
          <w:b/>
          <w:color w:val="F78D2D"/>
          <w:sz w:val="17"/>
        </w:rPr>
        <w:t>Toby J. Williams</w:t>
      </w:r>
      <w:r>
        <w:rPr>
          <w:color w:val="313D48"/>
        </w:rPr>
        <w:t xml:space="preserve"> </w:t>
      </w:r>
      <w:r>
        <w:rPr>
          <w:rFonts w:ascii="ITC Avant Garde Pro Md;sans-serif" w:hAnsi="ITC Avant Garde Pro Md;sans-serif"/>
          <w:b w:val="false"/>
          <w:color w:val="313E48"/>
          <w:sz w:val="17"/>
        </w:rPr>
        <w:t xml:space="preserve">is party to an amendment to his employment agreement with us effective August 5, 2024, which has no specific term and constitutes at-will employment. Mr. Williams's annual base salary for fiscal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7"/>
        </w:rPr>
        <w:t xml:space="preserve">was </w:t>
      </w:r>
      <w:r>
        <w:rPr>
          <w:rFonts w:ascii="ITC Avant Garde Pro Md;sans-serif" w:hAnsi="ITC Avant Garde Pro Md;sans-serif"/>
          <w:b w:val="false"/>
          <w:color w:val="313D48"/>
          <w:sz w:val="17"/>
        </w:rPr>
        <w:t>$744,630</w:t>
      </w:r>
      <w:r>
        <w:rPr>
          <w:rFonts w:ascii="ITC Avant Garde Pro Md;sans-serif" w:hAnsi="ITC Avant Garde Pro Md;sans-serif"/>
          <w:b w:val="false"/>
          <w:color w:val="313E48"/>
          <w:sz w:val="17"/>
        </w:rPr>
        <w:t xml:space="preserve">. </w:t>
      </w:r>
      <w:r>
        <w:rPr>
          <w:rFonts w:ascii="ITC Avant Garde Pro Md;sans-serif" w:hAnsi="ITC Avant Garde Pro Md;sans-serif"/>
          <w:b w:val="false"/>
          <w:color w:val="313D48"/>
          <w:sz w:val="17"/>
        </w:rPr>
        <w:t>Mr. Wil</w:t>
      </w:r>
      <w:r>
        <w:rPr>
          <w:rFonts w:ascii="ITC Avant Garde Pro Md;sans-serif" w:hAnsi="ITC Avant Garde Pro Md;sans-serif"/>
          <w:b w:val="false"/>
          <w:color w:val="313E48"/>
          <w:sz w:val="17"/>
        </w:rPr>
        <w:t xml:space="preserve">liams is also eligible to receive benefits that are substantially similar to those of our other employees. His employment agreement provides for an annual bonus, which was targeted at 100% of Mr. Williams’s base salary for fiscal </w:t>
      </w:r>
      <w:r>
        <w:rPr>
          <w:rFonts w:ascii="ITC Avant Garde Pro Md;sans-serif" w:hAnsi="ITC Avant Garde Pro Md;sans-serif"/>
          <w:b w:val="false"/>
          <w:color w:val="313D48"/>
          <w:sz w:val="17"/>
        </w:rPr>
        <w:t>2026</w:t>
      </w:r>
      <w:r>
        <w:rPr>
          <w:rFonts w:ascii="ITC Avant Garde Pro Md;sans-serif" w:hAnsi="ITC Avant Garde Pro Md;sans-serif"/>
          <w:b w:val="false"/>
          <w:color w:val="313E48"/>
          <w:sz w:val="17"/>
        </w:rPr>
        <w:t>. Payment of any bonus to Mr. Williams is subject to approval by the Committee. In the event Mr. Williams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Williams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continued service through the date of the change in control. The terms of the PSU and MSU award agreements also provide that in the event of a change in control, the PSUs and MSUs will immediately vest based on the applicable performance levels attained through the date of the change in control, subject to continued service through that date.</w:t>
      </w:r>
    </w:p>
    <w:p>
      <w:pPr>
        <w:pStyle w:val="TextBody"/>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Additionally, pursuant to the terms of the applicable equity award agreements, in the event of Mr. Williams’s death or disability, all unvested shares with time-based vesting will vest in full and all unvested shares with performance-based vesting shall remain outstanding, and vest based on actual achievement of the underlying performance goals, with Mr. Williams receiving a pro-rated portion of the performance-based awards based on the number of calendar days he was employed over the total number of calendar days in the performance period. </w:t>
      </w:r>
    </w:p>
    <w:p>
      <w:pPr>
        <w:pStyle w:val="TextBody"/>
        <w:bidi w:val="0"/>
        <w:spacing w:lineRule="auto" w:line="312" w:before="120" w:after="120"/>
        <w:jc w:val="left"/>
        <w:rPr/>
      </w:pPr>
      <w:r>
        <w:rPr>
          <w:rFonts w:ascii="ITC Avant Garde Pro Bk;sans-serif" w:hAnsi="ITC Avant Garde Pro Bk;sans-serif"/>
          <w:b/>
          <w:color w:val="F78D2D"/>
          <w:sz w:val="17"/>
        </w:rPr>
        <w:t>Ryan Glenn</w:t>
      </w:r>
      <w:r>
        <w:rPr>
          <w:color w:val="313D48"/>
        </w:rPr>
        <w:t xml:space="preserve"> </w:t>
      </w:r>
      <w:r>
        <w:rPr>
          <w:rFonts w:ascii="ITC Avant Garde Pro Md;sans-serif" w:hAnsi="ITC Avant Garde Pro Md;sans-serif"/>
          <w:b w:val="false"/>
          <w:color w:val="313E48"/>
          <w:sz w:val="17"/>
        </w:rPr>
        <w:t xml:space="preserve">is party to an amended and restated employment agreement with us effective March 11, 2022, which has no specific term and constitutes at-will employment. Mr. Glenn’s annual base salary for fiscal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7"/>
        </w:rPr>
        <w:t xml:space="preserve">was $489,032. Mr. Glenn is also eligible to receive benefits that are substantially similar to those of our other employees. His employment agreement provides for an annual bonus, which was targeted at 100% of Mr. Glenn’s base salary for fiscal </w:t>
      </w:r>
      <w:r>
        <w:rPr>
          <w:rFonts w:ascii="ITC Avant Garde Pro Md;sans-serif" w:hAnsi="ITC Avant Garde Pro Md;sans-serif"/>
          <w:b w:val="false"/>
          <w:color w:val="313D48"/>
          <w:sz w:val="17"/>
        </w:rPr>
        <w:t>2026</w:t>
      </w:r>
      <w:r>
        <w:rPr>
          <w:rFonts w:ascii="ITC Avant Garde Pro Md;sans-serif" w:hAnsi="ITC Avant Garde Pro Md;sans-serif"/>
          <w:b w:val="false"/>
          <w:color w:val="313E48"/>
          <w:sz w:val="17"/>
        </w:rPr>
        <w:t>. Payment of any bonus to Mr. Glenn is subject to approval by the Committee. In the event Mr. Glenn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Glenn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 The terms of the PSU and MSU award agreements also provide that in the event of a change in control, the PSUs and MSUs will immediately vest based on the applicable performance levels attained through the date of the change in control, subject to continued service through that date.</w:t>
      </w:r>
    </w:p>
    <w:p>
      <w:pPr>
        <w:pStyle w:val="TextBody"/>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Additionally, pursuant to the terms of each of Mr. Glenn's employment agreement and the applicable equity award agreements, in the event of Mr. Glenn’s death or disability, all unvested shares with time-based vesting will vest in full and all unvested shares with performance-based vesting shall remain outstanding, and vest based on actual achievement of the underlying performance goals, with Mr. Glenn receiving a pro-rated portion of the performance-based awards based on the number of calendar days he was employed over the total number of calendar days in the performance period. </w:t>
      </w:r>
    </w:p>
    <w:p>
      <w:pPr>
        <w:pStyle w:val="TextBody"/>
        <w:bidi w:val="0"/>
        <w:spacing w:lineRule="auto" w:line="312" w:before="120" w:after="120"/>
        <w:jc w:val="left"/>
        <w:rPr/>
      </w:pPr>
      <w:r>
        <w:rPr>
          <w:rFonts w:ascii="ITC Avant Garde Pro Bk;sans-serif" w:hAnsi="ITC Avant Garde Pro Bk;sans-serif"/>
          <w:b/>
          <w:color w:val="F78D2D"/>
          <w:sz w:val="17"/>
        </w:rPr>
        <w:t>Joshua Scutt</w:t>
      </w:r>
      <w:r>
        <w:rPr>
          <w:color w:val="313D48"/>
        </w:rPr>
        <w:t xml:space="preserve"> </w:t>
      </w:r>
      <w:r>
        <w:rPr>
          <w:rFonts w:ascii="ITC Avant Garde Pro Md;sans-serif" w:hAnsi="ITC Avant Garde Pro Md;sans-serif"/>
          <w:b w:val="false"/>
          <w:color w:val="313E48"/>
          <w:sz w:val="17"/>
        </w:rPr>
        <w:t xml:space="preserve">is party to an employment agreement with us effective August 16, 2021, which has no specific term and constitutes at-will employment. Mr. Scutt’s annual base salary for fiscal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7"/>
        </w:rPr>
        <w:t xml:space="preserve">was $488,385. Mr. Scutt is also eligible to receive benefits that are substantially similar to those of our other employees. His employment agreement provides for an annual bonus, which was targeted at 100% of Mr. Scutt’s base salary for fiscal </w:t>
      </w:r>
      <w:r>
        <w:rPr>
          <w:rFonts w:ascii="ITC Avant Garde Pro Md;sans-serif" w:hAnsi="ITC Avant Garde Pro Md;sans-serif"/>
          <w:b w:val="false"/>
          <w:color w:val="313D48"/>
          <w:sz w:val="17"/>
        </w:rPr>
        <w:t>2026</w:t>
      </w:r>
      <w:r>
        <w:rPr>
          <w:rFonts w:ascii="ITC Avant Garde Pro Md;sans-serif" w:hAnsi="ITC Avant Garde Pro Md;sans-serif"/>
          <w:b w:val="false"/>
          <w:color w:val="313E48"/>
          <w:sz w:val="17"/>
        </w:rPr>
        <w:t xml:space="preserve">. Payment of any bonus to Mr. Scutt is subject to approval by the Committee. In the event Mr. Scutt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Scutt timely executes and does not revoke a full general release of claims agreement in favor of the Company. In the event of a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25170"/>
                <wp:effectExtent l="0" t="0" r="0" b="0"/>
                <wp:wrapNone/>
                <wp:docPr id="130" name="Frame48"/>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 The terms of the PSU and MSU award agreements also provide that in the event of a change in control, the PSUs and MSUs will immediately vest based on the applicable performance levels attained through the date of the change in control, subject to continued service through that date.</w:t>
      </w:r>
    </w:p>
    <w:p>
      <w:pPr>
        <w:pStyle w:val="TextBody"/>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Additionally, pursuant to the terms of each of Mr. Scutt's employment agreement and the applicable equity award agreements, in the event of Mr. Scutt’s death or disability, all unvested shares with time-based vesting will vest in full and all unvested shares with performance-based vesting shall remain outstanding, and vest based on actual achievement of the underlying performance goals, with Mr. Scutt receiving a pro-rated portion of the performance-based awards based on the number of calendar days he was employed over the total number of calendar days in the performance period. </w:t>
      </w:r>
    </w:p>
    <w:p>
      <w:pPr>
        <w:pStyle w:val="TextBody"/>
        <w:bidi w:val="0"/>
        <w:spacing w:lineRule="auto" w:line="312" w:before="120" w:after="120"/>
        <w:jc w:val="left"/>
        <w:rPr/>
      </w:pPr>
      <w:r>
        <w:rPr>
          <w:rFonts w:ascii="ITC Avant Garde Pro Bk;sans-serif" w:hAnsi="ITC Avant Garde Pro Bk;sans-serif"/>
          <w:b/>
          <w:color w:val="F78D2D"/>
          <w:sz w:val="17"/>
        </w:rPr>
        <w:t>Melissa King</w:t>
      </w:r>
      <w:r>
        <w:rPr>
          <w:color w:val="313D48"/>
        </w:rPr>
        <w:t xml:space="preserve"> </w:t>
      </w:r>
      <w:r>
        <w:rPr>
          <w:rFonts w:ascii="ITC Avant Garde Pro Md;sans-serif" w:hAnsi="ITC Avant Garde Pro Md;sans-serif"/>
          <w:b w:val="false"/>
          <w:color w:val="313E48"/>
          <w:sz w:val="17"/>
        </w:rPr>
        <w:t xml:space="preserve">is party to an employment agreement with us effective December 16, 2024, which has no specific term and constitutes at-will employment. Ms. King’s annual base salary for fiscal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7"/>
        </w:rPr>
        <w:t xml:space="preserve">was </w:t>
      </w:r>
      <w:r>
        <w:rPr>
          <w:rFonts w:ascii="ITC Avant Garde Pro Md;sans-serif" w:hAnsi="ITC Avant Garde Pro Md;sans-serif"/>
          <w:b w:val="false"/>
          <w:color w:val="313D48"/>
          <w:sz w:val="17"/>
        </w:rPr>
        <w:t>$446,250</w:t>
      </w:r>
      <w:r>
        <w:rPr>
          <w:rFonts w:ascii="ITC Avant Garde Pro Md;sans-serif" w:hAnsi="ITC Avant Garde Pro Md;sans-serif"/>
          <w:b w:val="false"/>
          <w:color w:val="313E48"/>
          <w:sz w:val="17"/>
        </w:rPr>
        <w:t xml:space="preserve">. Ms. King is also eligible to receive benefits that are substantially similar to those of our other employees. Her employment agreement provides for an annual bonus, which was targeted at </w:t>
      </w:r>
      <w:r>
        <w:rPr>
          <w:rFonts w:ascii="ITC Avant Garde Pro Md;sans-serif" w:hAnsi="ITC Avant Garde Pro Md;sans-serif"/>
          <w:b w:val="false"/>
          <w:color w:val="313D48"/>
          <w:sz w:val="17"/>
        </w:rPr>
        <w:t>75%</w:t>
      </w:r>
      <w:r>
        <w:rPr>
          <w:color w:val="313E48"/>
        </w:rPr>
        <w:t xml:space="preserve"> </w:t>
      </w:r>
      <w:r>
        <w:rPr>
          <w:rFonts w:ascii="ITC Avant Garde Pro Md;sans-serif" w:hAnsi="ITC Avant Garde Pro Md;sans-serif"/>
          <w:b w:val="false"/>
          <w:color w:val="313E48"/>
          <w:sz w:val="17"/>
        </w:rPr>
        <w:t xml:space="preserve">of Ms. King's base salary for fiscal </w:t>
      </w:r>
      <w:r>
        <w:rPr>
          <w:rFonts w:ascii="ITC Avant Garde Pro Md;sans-serif" w:hAnsi="ITC Avant Garde Pro Md;sans-serif"/>
          <w:b w:val="false"/>
          <w:color w:val="313D48"/>
          <w:sz w:val="17"/>
        </w:rPr>
        <w:t xml:space="preserve">2026. </w:t>
      </w:r>
      <w:r>
        <w:rPr>
          <w:rFonts w:ascii="ITC Avant Garde Pro Md;sans-serif" w:hAnsi="ITC Avant Garde Pro Md;sans-serif"/>
          <w:b w:val="false"/>
          <w:color w:val="313E48"/>
          <w:sz w:val="17"/>
        </w:rPr>
        <w:t>Payment of any bonus to Ms. King is subject to approval by the Committee. In the event Ms. King is terminated for any reason other than for cause (as such term is defined in the employment agreement), and other than as a result of her death or her inability to perform the essential functions of her position with or without reasonable accommodation, we will be obligated to pay her 100% of her then current monthly base salary for 12 months; provided that Ms. King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 The terms of the PSU and MSU award agreements also provide that in the event of a change in control, the PSUs and MSUs will immediately vest based on the applicable performance levels attained through the date of the change in control, subject to continued service through that date.</w:t>
      </w:r>
    </w:p>
    <w:p>
      <w:pPr>
        <w:pStyle w:val="TextBody"/>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Additionally, pursuant to the terms of each of Ms. King's employment agreement and the applicable equity award agreements, in the event of Ms. King’s death or disability, all unvested shares with time-based vesting will vest in full and all unvested shares with performance-based vesting shall remain outstanding, and vest based on actual achievement of the underlying performance goals, with Ms. King receiving a pro-rated portion of the performance-based awards based on the number of calendar days she was employed over the total number of calendar days in the performance period. </w:t>
      </w:r>
    </w:p>
    <w:p>
      <w:pPr>
        <w:pStyle w:val="TextBody"/>
        <w:bidi w:val="0"/>
        <w:spacing w:lineRule="auto" w:line="312" w:before="120" w:after="120"/>
        <w:jc w:val="left"/>
        <w:rPr/>
      </w:pPr>
      <w:r>
        <w:rPr>
          <w:rFonts w:ascii="ITC Avant Garde Pro Bk;sans-serif" w:hAnsi="ITC Avant Garde Pro Bk;sans-serif"/>
          <w:b/>
          <w:color w:val="F78D2D"/>
          <w:sz w:val="17"/>
        </w:rPr>
        <w:t>Andrew Cappotelli</w:t>
      </w:r>
      <w:r>
        <w:rPr>
          <w:color w:val="313E48"/>
        </w:rPr>
        <w:t xml:space="preserve"> </w:t>
      </w:r>
      <w:r>
        <w:rPr>
          <w:rFonts w:ascii="ITC Avant Garde Pro Md;sans-serif" w:hAnsi="ITC Avant Garde Pro Md;sans-serif"/>
          <w:b w:val="false"/>
          <w:color w:val="313E48"/>
          <w:sz w:val="17"/>
        </w:rPr>
        <w:t xml:space="preserve">is party to an employment agreement with us effective May 13, 2024, which has no specific term and constitutes at-will employment. Mr. Cappotelli’s annual base salary for fiscal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7"/>
        </w:rPr>
        <w:t xml:space="preserve">was </w:t>
      </w:r>
      <w:r>
        <w:rPr>
          <w:rFonts w:ascii="ITC Avant Garde Pro Md;sans-serif" w:hAnsi="ITC Avant Garde Pro Md;sans-serif"/>
          <w:b w:val="false"/>
          <w:color w:val="313D48"/>
          <w:sz w:val="17"/>
        </w:rPr>
        <w:t>$432,000</w:t>
      </w:r>
      <w:r>
        <w:rPr>
          <w:rFonts w:ascii="ITC Avant Garde Pro Md;sans-serif" w:hAnsi="ITC Avant Garde Pro Md;sans-serif"/>
          <w:b w:val="false"/>
          <w:color w:val="313E48"/>
          <w:sz w:val="17"/>
        </w:rPr>
        <w:t xml:space="preserve">. Mr. Cappotelli is also eligible to receive benefits that are substantially similar to those of our other employees. His employment agreement provides for an annual bonus, which was targeted at </w:t>
      </w:r>
      <w:r>
        <w:rPr>
          <w:rFonts w:ascii="ITC Avant Garde Pro Md;sans-serif" w:hAnsi="ITC Avant Garde Pro Md;sans-serif"/>
          <w:b w:val="false"/>
          <w:color w:val="313D48"/>
          <w:sz w:val="17"/>
        </w:rPr>
        <w:t>100%</w:t>
      </w:r>
      <w:r>
        <w:rPr>
          <w:color w:val="313E48"/>
        </w:rPr>
        <w:t xml:space="preserve"> </w:t>
      </w:r>
      <w:r>
        <w:rPr>
          <w:rFonts w:ascii="ITC Avant Garde Pro Md;sans-serif" w:hAnsi="ITC Avant Garde Pro Md;sans-serif"/>
          <w:b w:val="false"/>
          <w:color w:val="313E48"/>
          <w:sz w:val="17"/>
        </w:rPr>
        <w:t xml:space="preserve">of Mr. Cappotelli’s base salary for fiscal </w:t>
      </w:r>
      <w:r>
        <w:rPr>
          <w:rFonts w:ascii="ITC Avant Garde Pro Md;sans-serif" w:hAnsi="ITC Avant Garde Pro Md;sans-serif"/>
          <w:b w:val="false"/>
          <w:color w:val="313D48"/>
          <w:sz w:val="17"/>
        </w:rPr>
        <w:t>2026.</w:t>
      </w:r>
      <w:r>
        <w:rPr>
          <w:color w:val="313E48"/>
        </w:rPr>
        <w:t xml:space="preserve"> </w:t>
      </w:r>
      <w:r>
        <w:rPr>
          <w:rFonts w:ascii="ITC Avant Garde Pro Md;sans-serif" w:hAnsi="ITC Avant Garde Pro Md;sans-serif"/>
          <w:b w:val="false"/>
          <w:color w:val="313E48"/>
          <w:sz w:val="17"/>
        </w:rPr>
        <w:t>Payment of any bonus to Mr. Cappotelli is subject to approval by the Committee. In the event Mr. Cappotelli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Cappotelli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 The terms of the PSU and MSU award agreements also provide that in the event of a change in control, the PSUs and MSUs will immediately vest based on the applicable performance levels attained through the date of the change in control, subject to continued service through that date.</w:t>
      </w:r>
    </w:p>
    <w:p>
      <w:pPr>
        <w:pStyle w:val="TextBody"/>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 xml:space="preserve">Additionally, pursuant to the terms of each of Mr. Cappotelli's employment agreement and the applicable equity award agreements, in the event of Mr. Cappotelli’s death or disability, all unvested shares with time-based vesting will vest in full and all unvested shares with performance-based vesting shall remain outstanding, and vest based on actual achievement of the underlying performance goals, with Mr. Cappotelli receiving a pro-rated portion of the performance-based awards based on the number of calendar days he was employed over the total number of calendar days in the performance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28650"/>
                <wp:effectExtent l="0" t="0" r="0" b="0"/>
                <wp:wrapNone/>
                <wp:docPr id="131"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Outstanding Equity Awards at June 30, 2026</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table sets forth information regarding outstanding equity awards held by our named executive officers at June 30, 2026.</w:t>
      </w:r>
    </w:p>
    <w:tbl>
      <w:tblPr>
        <w:tblW w:w="9174" w:type="dxa"/>
        <w:jc w:val="left"/>
        <w:tblInd w:w="0" w:type="dxa"/>
        <w:tblLayout w:type="fixed"/>
        <w:tblCellMar>
          <w:top w:w="28" w:type="dxa"/>
          <w:left w:w="28" w:type="dxa"/>
          <w:bottom w:w="28" w:type="dxa"/>
          <w:right w:w="28" w:type="dxa"/>
        </w:tblCellMar>
      </w:tblPr>
      <w:tblGrid>
        <w:gridCol w:w="659"/>
        <w:gridCol w:w="581"/>
        <w:gridCol w:w="590"/>
        <w:gridCol w:w="360"/>
        <w:gridCol w:w="361"/>
        <w:gridCol w:w="291"/>
        <w:gridCol w:w="291"/>
        <w:gridCol w:w="291"/>
        <w:gridCol w:w="299"/>
        <w:gridCol w:w="129"/>
        <w:gridCol w:w="129"/>
        <w:gridCol w:w="129"/>
        <w:gridCol w:w="249"/>
        <w:gridCol w:w="1155"/>
        <w:gridCol w:w="129"/>
        <w:gridCol w:w="360"/>
        <w:gridCol w:w="361"/>
        <w:gridCol w:w="244"/>
        <w:gridCol w:w="244"/>
        <w:gridCol w:w="244"/>
        <w:gridCol w:w="250"/>
        <w:gridCol w:w="119"/>
        <w:gridCol w:w="119"/>
        <w:gridCol w:w="119"/>
        <w:gridCol w:w="231"/>
        <w:gridCol w:w="1071"/>
        <w:gridCol w:w="169"/>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center"/>
              <w:rPr/>
            </w:pPr>
            <w:r>
              <w:rPr>
                <w:rFonts w:ascii="ITC Avant Garde Pro Bk;sans-serif" w:hAnsi="ITC Avant Garde Pro Bk;sans-serif"/>
                <w:b/>
                <w:color w:val="313D48"/>
                <w:sz w:val="16"/>
              </w:rPr>
              <w:t>Stock Awards</w:t>
            </w:r>
            <w:r>
              <w:rPr>
                <w:rFonts w:ascii="ITC Avant Garde Pro Bk;sans-serif" w:hAnsi="ITC Avant Garde Pro Bk;sans-serif"/>
                <w:b/>
                <w:color w:val="313D48"/>
                <w:sz w:val="10"/>
              </w:rPr>
              <w:t>(1)</w:t>
            </w:r>
          </w:p>
        </w:tc>
      </w:tr>
      <w:tr>
        <w:trPr/>
        <w:tc>
          <w:tcPr>
            <w:tcW w:w="18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6"/>
              </w:rPr>
            </w:pPr>
            <w:r>
              <w:rPr>
                <w:rFonts w:ascii="ITC Avant Garde Pro Bk;sans-serif" w:hAnsi="ITC Avant Garde Pro Bk;sans-serif"/>
                <w:b/>
                <w:color w:val="313E48"/>
                <w:sz w:val="16"/>
              </w:rPr>
              <w:t>Name</w:t>
            </w:r>
          </w:p>
        </w:tc>
        <w:tc>
          <w:tcPr>
            <w:tcW w:w="18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Number of shares</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or units of stock</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that have not yet</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vested</w:t>
            </w:r>
          </w:p>
        </w:tc>
        <w:tc>
          <w:tcPr>
            <w:tcW w:w="19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Market value of</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shares or units of</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stock that have not</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yet vested</w:t>
            </w:r>
          </w:p>
        </w:tc>
        <w:tc>
          <w:tcPr>
            <w:tcW w:w="17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Equity</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incentive</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plan awards:</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number of</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unearned</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shares, units</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or other rights</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that have not</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yet vested</w:t>
            </w:r>
          </w:p>
        </w:tc>
        <w:tc>
          <w:tcPr>
            <w:tcW w:w="18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Equity incentive</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plan awards:</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market or payout</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value of unearned</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shares, units or</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other rights that</w:t>
            </w:r>
          </w:p>
          <w:p>
            <w:pPr>
              <w:pStyle w:val="TableContents"/>
              <w:bidi w:val="0"/>
              <w:spacing w:lineRule="auto" w:line="312" w:before="0" w:after="0"/>
              <w:jc w:val="right"/>
              <w:rPr>
                <w:rFonts w:ascii="ITC Avant Garde Pro Bk;sans-serif" w:hAnsi="ITC Avant Garde Pro Bk;sans-serif"/>
                <w:b/>
                <w:color w:val="313E48"/>
                <w:sz w:val="16"/>
              </w:rPr>
            </w:pPr>
            <w:r>
              <w:rPr>
                <w:rFonts w:ascii="ITC Avant Garde Pro Bk;sans-serif" w:hAnsi="ITC Avant Garde Pro Bk;sans-serif"/>
                <w:b/>
                <w:color w:val="313E48"/>
                <w:sz w:val="16"/>
              </w:rPr>
              <w:t>have not vested</w:t>
            </w:r>
          </w:p>
        </w:tc>
      </w:tr>
      <w:tr>
        <w:trPr/>
        <w:tc>
          <w:tcPr>
            <w:tcW w:w="18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1,880 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196,516 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29,491 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3,082,694 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9,216 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(3)</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963,348 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16,775 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(13)</w:t>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1,753,491 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27,753 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(4)</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2,901,021 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15,836 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(14)</w:t>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1,655,337 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37,843 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(5)</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3,955,729 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17,124 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(6)</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1,789,972 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21,165 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(7)</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2,212,377 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43,036 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(8)</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4,498,553 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747 </w:t>
            </w:r>
          </w:p>
        </w:tc>
        <w:tc>
          <w:tcPr>
            <w:tcW w:w="2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(2)</w:t>
            </w:r>
          </w:p>
        </w:tc>
        <w:tc>
          <w:tcPr>
            <w:tcW w:w="38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78,084 </w:t>
            </w:r>
          </w:p>
        </w:tc>
        <w:tc>
          <w:tcPr>
            <w:tcW w:w="12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6,561 </w:t>
            </w:r>
          </w:p>
        </w:tc>
        <w:tc>
          <w:tcPr>
            <w:tcW w:w="24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(12)</w:t>
            </w:r>
          </w:p>
        </w:tc>
        <w:tc>
          <w:tcPr>
            <w:tcW w:w="35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685,821 </w:t>
            </w:r>
          </w:p>
        </w:tc>
        <w:tc>
          <w:tcPr>
            <w:tcW w:w="16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4,784 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(3)</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500,072 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3,245 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(13)</w:t>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339,200 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12,777 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(4)</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1,335,580 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4,247 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(14)</w:t>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443,939 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24,154 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(5)</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2,524,818 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2,569 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(6)</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268,538 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4,218 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(7)</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440,908 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11,893 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(8)</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1,243,175 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680 </w:t>
            </w:r>
          </w:p>
        </w:tc>
        <w:tc>
          <w:tcPr>
            <w:tcW w:w="2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(2)</w:t>
            </w:r>
          </w:p>
        </w:tc>
        <w:tc>
          <w:tcPr>
            <w:tcW w:w="38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71,080 </w:t>
            </w:r>
          </w:p>
        </w:tc>
        <w:tc>
          <w:tcPr>
            <w:tcW w:w="12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4,798 </w:t>
            </w:r>
          </w:p>
        </w:tc>
        <w:tc>
          <w:tcPr>
            <w:tcW w:w="24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(12)</w:t>
            </w:r>
          </w:p>
        </w:tc>
        <w:tc>
          <w:tcPr>
            <w:tcW w:w="35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501,535 </w:t>
            </w:r>
          </w:p>
        </w:tc>
        <w:tc>
          <w:tcPr>
            <w:tcW w:w="16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3,499 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(3)</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365,750 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2,375 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(13)</w:t>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248,259 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9,352 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(4)</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977,565 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2,480 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(14)</w:t>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259,234 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14,103 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(5)</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1,474,187 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3,087 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(7)</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322,684 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6,943 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(8)</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725,752 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12,336 </w:t>
            </w:r>
          </w:p>
        </w:tc>
        <w:tc>
          <w:tcPr>
            <w:tcW w:w="2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(9)</w:t>
            </w:r>
          </w:p>
        </w:tc>
        <w:tc>
          <w:tcPr>
            <w:tcW w:w="38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1,289,482 </w:t>
            </w:r>
          </w:p>
        </w:tc>
        <w:tc>
          <w:tcPr>
            <w:tcW w:w="12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1,918 </w:t>
            </w:r>
          </w:p>
        </w:tc>
        <w:tc>
          <w:tcPr>
            <w:tcW w:w="24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(14)</w:t>
            </w:r>
          </w:p>
        </w:tc>
        <w:tc>
          <w:tcPr>
            <w:tcW w:w="35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200,489 </w:t>
            </w:r>
          </w:p>
        </w:tc>
        <w:tc>
          <w:tcPr>
            <w:tcW w:w="16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10,908 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(5)</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1,140,213 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5,372 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(8)</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561,535 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207 </w:t>
            </w:r>
          </w:p>
        </w:tc>
        <w:tc>
          <w:tcPr>
            <w:tcW w:w="2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(2)</w:t>
            </w:r>
          </w:p>
        </w:tc>
        <w:tc>
          <w:tcPr>
            <w:tcW w:w="38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21,638 </w:t>
            </w:r>
          </w:p>
        </w:tc>
        <w:tc>
          <w:tcPr>
            <w:tcW w:w="12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1,238 </w:t>
            </w:r>
          </w:p>
        </w:tc>
        <w:tc>
          <w:tcPr>
            <w:tcW w:w="24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(13)</w:t>
            </w:r>
          </w:p>
        </w:tc>
        <w:tc>
          <w:tcPr>
            <w:tcW w:w="35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129,408 </w:t>
            </w:r>
          </w:p>
        </w:tc>
        <w:tc>
          <w:tcPr>
            <w:tcW w:w="16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1,015 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(3)</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106,098 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1,554 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(14)</w:t>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162,440 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130 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(10)</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13,589 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879 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(11)</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91,882 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4,874 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(4)</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509,479 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8,836 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(5)</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923,627 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1,609 </w:t>
            </w:r>
          </w:p>
        </w:tc>
        <w:tc>
          <w:tcPr>
            <w:tcW w:w="29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(7)</w:t>
            </w:r>
          </w:p>
        </w:tc>
        <w:tc>
          <w:tcPr>
            <w:tcW w:w="38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168,189 </w:t>
            </w:r>
          </w:p>
        </w:tc>
        <w:tc>
          <w:tcPr>
            <w:tcW w:w="12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bottom w:val="single" w:sz="8" w:space="0" w:color="000000"/>
            </w:tcBorders>
            <w:tcMar>
              <w:top w:w="30" w:type="dxa"/>
              <w:left w:w="0" w:type="dxa"/>
              <w:bottom w:w="30" w:type="dxa"/>
              <w:right w:w="0" w:type="dxa"/>
            </w:tcMar>
            <w:vAlign w:val="center"/>
          </w:tcPr>
          <w:p>
            <w:pPr>
              <w:pStyle w:val="Normal"/>
              <w:bidi w:val="0"/>
              <w:jc w:val="left"/>
              <w:rPr/>
            </w:pPr>
            <w:r>
              <w:rPr/>
            </w:r>
          </w:p>
        </w:tc>
        <w:tc>
          <w:tcPr>
            <w:tcW w:w="721"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4,351 </w:t>
            </w:r>
          </w:p>
        </w:tc>
        <w:tc>
          <w:tcPr>
            <w:tcW w:w="29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2"/>
              </w:rPr>
            </w:pPr>
            <w:r>
              <w:rPr>
                <w:rFonts w:ascii="ITC Avant Garde Pro Md;sans-serif" w:hAnsi="ITC Avant Garde Pro Md;sans-serif"/>
                <w:b w:val="false"/>
                <w:color w:val="313D48"/>
                <w:sz w:val="12"/>
              </w:rPr>
              <w:t>(8)</w:t>
            </w:r>
          </w:p>
        </w:tc>
        <w:tc>
          <w:tcPr>
            <w:tcW w:w="38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155"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454,810 </w:t>
            </w:r>
          </w:p>
        </w:tc>
        <w:tc>
          <w:tcPr>
            <w:tcW w:w="12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D48"/>
              </w:rPr>
            </w:pPr>
            <w:r>
              <w:rPr>
                <w:color w:val="313D48"/>
              </w:rPr>
              <w:t>— </w:t>
            </w:r>
          </w:p>
        </w:tc>
        <w:tc>
          <w:tcPr>
            <w:tcW w:w="24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7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D48"/>
              </w:rPr>
            </w:pPr>
            <w:r>
              <w:rPr>
                <w:color w:val="313D48"/>
              </w:rPr>
              <w:t>— </w:t>
            </w:r>
          </w:p>
        </w:tc>
        <w:tc>
          <w:tcPr>
            <w:tcW w:w="16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 xml:space="preserve">The securities underlying stock awards are shares of our common stock. The market values of all awards are based on $104.53, the closing stock price of our common stock on the Nasdaq on June 30, 2026.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The RSUs vest every three months in 16 equal installments beginning on November 15, 2022.</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(3)</w:t>
      </w:r>
      <w:r>
        <w:rPr>
          <w:rFonts w:ascii="ITC Avant Garde Pro Md;sans-serif" w:hAnsi="ITC Avant Garde Pro Md;sans-serif"/>
          <w:b w:val="false"/>
          <w:color w:val="313D48"/>
          <w:sz w:val="16"/>
        </w:rPr>
        <w:t>The RSUs vest every three months in 16 equal installments beginning on November 15, 2023.</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(4)</w:t>
      </w:r>
      <w:r>
        <w:rPr>
          <w:rFonts w:ascii="ITC Avant Garde Pro Md;sans-serif" w:hAnsi="ITC Avant Garde Pro Md;sans-serif"/>
          <w:b w:val="false"/>
          <w:color w:val="313D48"/>
          <w:sz w:val="16"/>
        </w:rPr>
        <w:t>The RSUs vest every three months in 16 equal installments beginning on November 15, 2024.</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(5)</w:t>
      </w:r>
      <w:r>
        <w:rPr>
          <w:rFonts w:ascii="ITC Avant Garde Pro Md;sans-serif" w:hAnsi="ITC Avant Garde Pro Md;sans-serif"/>
          <w:b w:val="false"/>
          <w:color w:val="313D48"/>
          <w:sz w:val="16"/>
        </w:rPr>
        <w:t>The RSUs vest every three months in 16 equal installments beginning on November 15, 2025.</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(6)</w:t>
      </w:r>
      <w:r>
        <w:rPr>
          <w:rFonts w:ascii="ITC Avant Garde Pro Md;sans-serif" w:hAnsi="ITC Avant Garde Pro Md;sans-serif"/>
          <w:b w:val="false"/>
          <w:color w:val="313D48"/>
          <w:sz w:val="16"/>
        </w:rPr>
        <w:t>The RSUs vest every three months in 8 equal installments beginning on November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25170"/>
                <wp:effectExtent l="0" t="0" r="0" b="0"/>
                <wp:wrapNone/>
                <wp:docPr id="132" name="Frame50"/>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48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(7)</w:t>
      </w:r>
      <w:r>
        <w:rPr>
          <w:rFonts w:ascii="ITC Avant Garde Pro Md;sans-serif" w:hAnsi="ITC Avant Garde Pro Md;sans-serif"/>
          <w:b w:val="false"/>
          <w:color w:val="313D48"/>
          <w:sz w:val="16"/>
        </w:rPr>
        <w:t xml:space="preserve">The PSUs were granted on August 15, 2024. 50% of the PSUs vested on August 15, 2025 and the remaining PSUs will vest in two equal installments on August 15, 2026 and August 15, 2027. Vesting is based on recurring and other revenue achievement through fiscal 2025. The amount included in the table reflects that number of PSUs that have been earned based on fiscal 2025 performance but have not yet vested.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(8)</w:t>
      </w:r>
      <w:r>
        <w:rPr>
          <w:rFonts w:ascii="ITC Avant Garde Pro Md;sans-serif" w:hAnsi="ITC Avant Garde Pro Md;sans-serif"/>
          <w:b w:val="false"/>
          <w:color w:val="313D48"/>
          <w:sz w:val="16"/>
        </w:rPr>
        <w:t xml:space="preserve">The PSUs were granted on August 15, 2025. 50% of the PSUs vested on August 15, 2026 and the remaining PSUs will vest in two equal installments on August 15, 2027 and August 15, 2028. Vesting is based on recurring and other revenue achievement through fiscal 2026. The amount included in the table reflects that number of PSUs that have been earned based on fiscal 2026 performance but have not yet vested.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(9)</w:t>
      </w:r>
      <w:r>
        <w:rPr>
          <w:rFonts w:ascii="ITC Avant Garde Pro Md;sans-serif" w:hAnsi="ITC Avant Garde Pro Md;sans-serif"/>
          <w:b w:val="false"/>
          <w:color w:val="313D48"/>
          <w:sz w:val="16"/>
        </w:rPr>
        <w:t>The RSUs vest every three months in 16 equal installments beginning on April 1, 2025.</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(10)</w:t>
      </w:r>
      <w:r>
        <w:rPr>
          <w:rFonts w:ascii="ITC Avant Garde Pro Md;sans-serif" w:hAnsi="ITC Avant Garde Pro Md;sans-serif"/>
          <w:b w:val="false"/>
          <w:color w:val="313D48"/>
          <w:sz w:val="16"/>
        </w:rPr>
        <w:t>The RSUs vest every three months in 16 equal installments beginning on June 1, 2024.</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(11)</w:t>
      </w:r>
      <w:r>
        <w:rPr>
          <w:rFonts w:ascii="ITC Avant Garde Pro Md;sans-serif" w:hAnsi="ITC Avant Garde Pro Md;sans-serif"/>
          <w:b w:val="false"/>
          <w:color w:val="313D48"/>
          <w:sz w:val="16"/>
        </w:rPr>
        <w:t>The RSUs vest every three months in 16 equal installments beginning on September 1, 2024.</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(12)</w:t>
      </w:r>
      <w:r>
        <w:rPr>
          <w:rFonts w:ascii="ITC Avant Garde Pro Md;sans-serif" w:hAnsi="ITC Avant Garde Pro Md;sans-serif"/>
          <w:b w:val="false"/>
          <w:color w:val="313D48"/>
          <w:sz w:val="16"/>
        </w:rPr>
        <w:t xml:space="preserve">The MSUs were granted on August 15, 2023 and will vest based on TSR percentile rank performance targets achievement between August 31, 2023 and August 31, 2026 as compared to the Russell 3000 Index. The amount included in the table reflects the target number of shares subject to these MSUs that were outstanding as of June 30, 2026. The amounts reported in the table do not correspond to the actual economic value that our named executive officers received from these awards as they subsequently forfeited on September 4, 2026 based on 0% achievement.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(13)</w:t>
      </w:r>
      <w:r>
        <w:rPr>
          <w:rFonts w:ascii="ITC Avant Garde Pro Md;sans-serif" w:hAnsi="ITC Avant Garde Pro Md;sans-serif"/>
          <w:b w:val="false"/>
          <w:color w:val="313D48"/>
          <w:sz w:val="16"/>
        </w:rPr>
        <w:t>The MSUs were granted on August 15, 2024 and will vest based on TSR percentile rank performance targets achieved as compared to the Russell 3000 Index over four separate performance periods that each begin August 31, 2024 and end November 30, 2026, February 28, 2027, May 31, 2027 and August 31, 2027, respectively. The named executive officers may earn 25% of the MSUs granted at the end of each performance period. The amount included in the table reflects the target number of shares subject to these MSUs that were outstanding as of June 30, 2026, but none of the MSUs were expected to vest as of June 30, 2026. The amounts reported in the table do not necessarily correspond to the actual economic value that our named executive officers may receive from these awards.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(14)</w:t>
      </w:r>
      <w:r>
        <w:rPr>
          <w:rFonts w:ascii="ITC Avant Garde Pro Md;sans-serif" w:hAnsi="ITC Avant Garde Pro Md;sans-serif"/>
          <w:b w:val="false"/>
          <w:color w:val="313D48"/>
          <w:sz w:val="16"/>
        </w:rPr>
        <w:t xml:space="preserve">The MSUs were granted on August 15, 2025 and will vest based on TSR percentile rank performance targets achieved as compared to the Russell 3000 Index over four separate performance periods that each begin August 31, 2025 and end November 30, 2027, February 29, 2028, May 31, 2028 and August 31, 2028, respectively. The named executive officers may earn 25% of the MSUs granted at the end of each performance period. The amount included in the table reflects the target number of shares subject to these MSUs that were outstanding as of June 30, 2026, but none of the MSUs were expected to vest as of June 30, 2026. The amounts reported in the table do not necessarily correspond to the actual economic value that our named executive officers may receive from these awards. </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Stock Vested in Fiscal 2026</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table sets forth the number of shares of our common stock acquired during fiscal 2026 by our named executive officers upon the vesting of RSUs, PSUs and MSUs and the value realized upon such vesting.</w:t>
      </w:r>
    </w:p>
    <w:tbl>
      <w:tblPr>
        <w:tblW w:w="4982" w:type="dxa"/>
        <w:jc w:val="left"/>
        <w:tblInd w:w="0" w:type="dxa"/>
        <w:tblLayout w:type="fixed"/>
        <w:tblCellMar>
          <w:top w:w="28" w:type="dxa"/>
          <w:left w:w="28" w:type="dxa"/>
          <w:bottom w:w="28" w:type="dxa"/>
          <w:right w:w="28" w:type="dxa"/>
        </w:tblCellMar>
      </w:tblPr>
      <w:tblGrid>
        <w:gridCol w:w="659"/>
        <w:gridCol w:w="581"/>
        <w:gridCol w:w="590"/>
        <w:gridCol w:w="459"/>
        <w:gridCol w:w="459"/>
        <w:gridCol w:w="461"/>
        <w:gridCol w:w="109"/>
        <w:gridCol w:w="109"/>
        <w:gridCol w:w="109"/>
        <w:gridCol w:w="211"/>
        <w:gridCol w:w="108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D48"/>
                <w:sz w:val="16"/>
              </w:rPr>
            </w:pPr>
            <w:r>
              <w:rPr>
                <w:rFonts w:ascii="ITC Avant Garde Pro Bk;sans-serif" w:hAnsi="ITC Avant Garde Pro Bk;sans-serif"/>
                <w:b/>
                <w:color w:val="313D48"/>
                <w:sz w:val="16"/>
              </w:rPr>
              <w:t>Stock Awards</w:t>
            </w:r>
          </w:p>
        </w:tc>
      </w:tr>
      <w:tr>
        <w:trPr/>
        <w:tc>
          <w:tcPr>
            <w:tcW w:w="18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w:t>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Shares</w:t>
            </w:r>
          </w:p>
          <w:p>
            <w:pPr>
              <w:pStyle w:val="TableContents"/>
              <w:bidi w:val="0"/>
              <w:spacing w:lineRule="auto" w:line="312" w:before="0" w:after="0"/>
              <w:jc w:val="right"/>
              <w:rPr/>
            </w:pPr>
            <w:r>
              <w:rPr>
                <w:rFonts w:ascii="ITC Avant Garde Pro Bk;sans-serif" w:hAnsi="ITC Avant Garde Pro Bk;sans-serif"/>
                <w:b/>
                <w:color w:val="313D48"/>
                <w:sz w:val="16"/>
              </w:rPr>
              <w:t>Acquired</w:t>
            </w:r>
            <w:r>
              <w:rPr>
                <w:rFonts w:ascii="ITC Avant Garde Pro Bk;sans-serif" w:hAnsi="ITC Avant Garde Pro Bk;sans-serif"/>
                <w:b w:val="false"/>
                <w:color w:val="313D48"/>
                <w:sz w:val="16"/>
              </w:rPr>
              <w:br/>
            </w:r>
            <w:r>
              <w:rPr>
                <w:rFonts w:ascii="ITC Avant Garde Pro Bk;sans-serif" w:hAnsi="ITC Avant Garde Pro Bk;sans-serif"/>
                <w:b/>
                <w:color w:val="313D48"/>
                <w:sz w:val="16"/>
              </w:rPr>
              <w:t>Upon Vesting</w:t>
            </w:r>
            <w:r>
              <w:rPr>
                <w:rFonts w:ascii="ITC Avant Garde Pro Bk;sans-serif" w:hAnsi="ITC Avant Garde Pro Bk;sans-serif"/>
                <w:b w:val="false"/>
                <w:color w:val="313D48"/>
                <w:sz w:val="16"/>
              </w:rPr>
              <w:br/>
            </w:r>
            <w:r>
              <w:rPr>
                <w:rFonts w:ascii="ITC Avant Garde Pro Bk;sans-serif" w:hAnsi="ITC Avant Garde Pro Bk;sans-serif"/>
                <w:b/>
                <w:color w:val="313D48"/>
                <w:sz w:val="16"/>
              </w:rPr>
              <w:t>(#)</w:t>
            </w:r>
            <w:r>
              <w:rPr>
                <w:rFonts w:ascii="ITC Avant Garde Pro Bk;sans-serif" w:hAnsi="ITC Avant Garde Pro Bk;sans-serif"/>
                <w:b/>
                <w:color w:val="313D48"/>
                <w:sz w:val="10"/>
              </w:rPr>
              <w:t>(1)</w:t>
            </w:r>
          </w:p>
        </w:tc>
        <w:tc>
          <w:tcPr>
            <w:tcW w:w="17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Value</w:t>
              <w:br/>
              <w:t>Realized</w:t>
              <w:br/>
              <w:t>on Vesting</w:t>
              <w:br/>
              <w:t>($)</w:t>
            </w:r>
            <w:r>
              <w:rPr>
                <w:rFonts w:ascii="ITC Avant Garde Pro Bk;sans-serif" w:hAnsi="ITC Avant Garde Pro Bk;sans-serif"/>
                <w:b/>
                <w:color w:val="313D48"/>
                <w:sz w:val="10"/>
              </w:rPr>
              <w:t>(2)</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83,854 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12,224,416 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918"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27,742 </w:t>
            </w:r>
          </w:p>
        </w:tc>
        <w:tc>
          <w:tcPr>
            <w:tcW w:w="46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3,835,497 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918"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20,166 </w:t>
            </w:r>
          </w:p>
        </w:tc>
        <w:tc>
          <w:tcPr>
            <w:tcW w:w="46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2,828,739 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918"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7,003 </w:t>
            </w:r>
          </w:p>
        </w:tc>
        <w:tc>
          <w:tcPr>
            <w:tcW w:w="46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975,282 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918"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8,496 </w:t>
            </w:r>
          </w:p>
        </w:tc>
        <w:tc>
          <w:tcPr>
            <w:tcW w:w="46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1,186,538 </w:t>
            </w:r>
          </w:p>
        </w:tc>
        <w:tc>
          <w:tcPr>
            <w:tcW w:w="15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Represents shares acquired upon vesting of RSUs, PSUs and MSUs.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The value realized on vesting was calculated by multiplying (i) the closing price of a share of our common stock on the Nasdaq on the trading day prior to the day of vesting by (ii) the number of shares of common stock acquired upon vesting.</w:t>
      </w:r>
    </w:p>
    <w:p>
      <w:pPr>
        <w:pStyle w:val="TextBody"/>
        <w:bidi w:val="0"/>
        <w:spacing w:before="8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28650"/>
                <wp:effectExtent l="0" t="0" r="0" b="0"/>
                <wp:wrapNone/>
                <wp:docPr id="133"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Potential Payments Upon Termination or Change in Control</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Pursuant to the terms of their employment agreements, each of our named executive officers has agreed not to solicit our employees or customers during employment and for a period of 12 months after the termination of employment, or with respect to Mr. Cappotelli and Ms. King, for a period of 24 months after the termination of employment. Pursuant to the terms of their employment agreements, each of our named executive officers has also agreed not to compete with us or assist any other person to compete with us during employment and for a period of 12 months after the termination of employment, and to protect our confidential and proprietary information and to assign to us intellectual property developed during the course of employment. </w:t>
      </w:r>
    </w:p>
    <w:p>
      <w:pPr>
        <w:pStyle w:val="TextBody"/>
        <w:bidi w:val="0"/>
        <w:spacing w:lineRule="auto" w:line="312" w:before="120" w:after="120"/>
        <w:jc w:val="left"/>
        <w:rPr/>
      </w:pPr>
      <w:r>
        <w:rPr>
          <w:rFonts w:ascii="ITC Avant Garde Pro Md;sans-serif" w:hAnsi="ITC Avant Garde Pro Md;sans-serif"/>
          <w:b w:val="false"/>
          <w:color w:val="313D48"/>
          <w:sz w:val="17"/>
        </w:rPr>
        <w:t xml:space="preserve">The table below estimates the payments and benefits that each of our named executive officers would have received in the event his or her employment had been involuntarily terminated without “cause” (as defined in each of their respective employment agreements and discussed in </w:t>
      </w:r>
      <w:r>
        <w:rPr>
          <w:color w:val="313D48"/>
        </w:rPr>
        <w:t>“</w:t>
      </w:r>
      <w:r>
        <w:rPr>
          <w:rFonts w:ascii="ITC Avant Garde Pro Md;sans-serif" w:hAnsi="ITC Avant Garde Pro Md;sans-serif"/>
          <w:b w:val="false"/>
          <w:i/>
          <w:color w:val="313D48"/>
          <w:sz w:val="17"/>
        </w:rPr>
        <w:t>Compensation of Named Executive Officers – Employment Agreements and Arrangements”</w:t>
      </w:r>
      <w:r>
        <w:rPr>
          <w:rFonts w:ascii="ITC Avant Garde Pro Md;sans-serif" w:hAnsi="ITC Avant Garde Pro Md;sans-serif"/>
          <w:b w:val="false"/>
          <w:color w:val="313D48"/>
          <w:sz w:val="17"/>
        </w:rPr>
        <w:t>) as of June 30, 2026.</w:t>
      </w:r>
    </w:p>
    <w:tbl>
      <w:tblPr>
        <w:tblW w:w="3348" w:type="dxa"/>
        <w:jc w:val="left"/>
        <w:tblInd w:w="0" w:type="dxa"/>
        <w:tblLayout w:type="fixed"/>
        <w:tblCellMar>
          <w:top w:w="28" w:type="dxa"/>
          <w:left w:w="28" w:type="dxa"/>
          <w:bottom w:w="28" w:type="dxa"/>
          <w:right w:w="28" w:type="dxa"/>
        </w:tblCellMar>
      </w:tblPr>
      <w:tblGrid>
        <w:gridCol w:w="659"/>
        <w:gridCol w:w="581"/>
        <w:gridCol w:w="590"/>
        <w:gridCol w:w="109"/>
        <w:gridCol w:w="109"/>
        <w:gridCol w:w="109"/>
        <w:gridCol w:w="211"/>
        <w:gridCol w:w="826"/>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w:t>
            </w:r>
          </w:p>
        </w:tc>
        <w:tc>
          <w:tcPr>
            <w:tcW w:w="151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Cash</w:t>
              <w:br/>
              <w:t>Payments</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744,630 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489,032 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488,385 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120" w:after="120"/>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446,250 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82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432,000 </w:t>
            </w:r>
          </w:p>
        </w:tc>
        <w:tc>
          <w:tcPr>
            <w:tcW w:w="15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5"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table below estimates the benefits that each of our named executive officers would have received in the event that a change in control occurred on June 30, 2026. If our named executive officers were also involuntarily terminated in connection with such change in control, they would also receive the cash severance benefits set forth above.</w:t>
      </w:r>
    </w:p>
    <w:tbl>
      <w:tblPr>
        <w:tblW w:w="4711" w:type="dxa"/>
        <w:jc w:val="left"/>
        <w:tblInd w:w="0" w:type="dxa"/>
        <w:tblLayout w:type="fixed"/>
        <w:tblCellMar>
          <w:top w:w="28" w:type="dxa"/>
          <w:left w:w="28" w:type="dxa"/>
          <w:bottom w:w="28" w:type="dxa"/>
          <w:right w:w="28" w:type="dxa"/>
        </w:tblCellMar>
      </w:tblPr>
      <w:tblGrid>
        <w:gridCol w:w="659"/>
        <w:gridCol w:w="581"/>
        <w:gridCol w:w="590"/>
        <w:gridCol w:w="109"/>
        <w:gridCol w:w="109"/>
        <w:gridCol w:w="109"/>
        <w:gridCol w:w="259"/>
        <w:gridCol w:w="259"/>
        <w:gridCol w:w="263"/>
        <w:gridCol w:w="109"/>
        <w:gridCol w:w="109"/>
        <w:gridCol w:w="109"/>
        <w:gridCol w:w="211"/>
        <w:gridCol w:w="108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D48"/>
                <w:sz w:val="16"/>
              </w:rPr>
            </w:pPr>
            <w:r>
              <w:rPr>
                <w:rFonts w:ascii="ITC Avant Garde Pro Bk;sans-serif" w:hAnsi="ITC Avant Garde Pro Bk;sans-serif"/>
                <w:b/>
                <w:color w:val="313D48"/>
                <w:sz w:val="16"/>
              </w:rPr>
              <w:t>Equity Acceleration</w:t>
            </w:r>
          </w:p>
        </w:tc>
      </w:tr>
      <w:tr>
        <w:trPr/>
        <w:tc>
          <w:tcPr>
            <w:tcW w:w="18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Shares</w:t>
            </w:r>
          </w:p>
        </w:tc>
        <w:tc>
          <w:tcPr>
            <w:tcW w:w="17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Market Value of</w:t>
              <w:br/>
              <w:t>Accelerated</w:t>
              <w:br/>
              <w:t>Equity</w:t>
              <w:br/>
              <w:t>(net of exercise</w:t>
              <w:br/>
              <w:t>price, if any)</w:t>
              <w:br/>
              <w:t>($)</w:t>
            </w:r>
            <w:r>
              <w:rPr>
                <w:rFonts w:ascii="ITC Avant Garde Pro Bk;sans-serif" w:hAnsi="ITC Avant Garde Pro Bk;sans-serif"/>
                <w:b/>
                <w:color w:val="313D48"/>
                <w:sz w:val="10"/>
              </w:rPr>
              <w:t>(1)</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158,017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16,517,517 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61,142</w:t>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6,391,173 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20" w:after="20"/>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37,664</w:t>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3,937,018 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28,616</w:t>
            </w:r>
          </w:p>
        </w:tc>
        <w:tc>
          <w:tcPr>
            <w:tcW w:w="327"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2,991,230 </w:t>
            </w:r>
          </w:p>
        </w:tc>
        <w:tc>
          <w:tcPr>
            <w:tcW w:w="15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327" w:type="dxa"/>
            <w:gridSpan w:val="3"/>
            <w:tcBorders>
              <w:top w:val="single" w:sz="4" w:space="0" w:color="93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21,901</w:t>
            </w:r>
          </w:p>
        </w:tc>
        <w:tc>
          <w:tcPr>
            <w:tcW w:w="327" w:type="dxa"/>
            <w:gridSpan w:val="3"/>
            <w:tcBorders>
              <w:top w:val="single" w:sz="4" w:space="0" w:color="93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2,289,312 </w:t>
            </w:r>
          </w:p>
        </w:tc>
        <w:tc>
          <w:tcPr>
            <w:tcW w:w="154"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The market value of RSU acceleration is calculated by multiplying (i) $104.53, the closing price of our common stock on Nasdaq on June 30, 2026, by (ii) the number of shares of common stock underlying the accelerated RSUs. The market value of PSU acceleration is calculated by multiplying (i) $104.53 by (ii) the number of shares of common stock underlying the accelerated PSUs based on actual achievement of performance goals attributable to such outstanding awards as of June 30, 2026. This table excludes MSUs because the threshold performance goals associated with each MSU award would not have been achieved as of June 30, 2026.</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25170"/>
                <wp:effectExtent l="0" t="0" r="0" b="0"/>
                <wp:wrapNone/>
                <wp:docPr id="134" name="Frame5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table below estimates the benefits that each of our named executive officers would have received in the event that their death or disability occurred on June 30, 2026. They would not have received any cash payments upon such an event occurring.</w:t>
      </w:r>
    </w:p>
    <w:tbl>
      <w:tblPr>
        <w:tblW w:w="4384" w:type="dxa"/>
        <w:jc w:val="left"/>
        <w:tblInd w:w="0" w:type="dxa"/>
        <w:tblLayout w:type="fixed"/>
        <w:tblCellMar>
          <w:top w:w="28" w:type="dxa"/>
          <w:left w:w="28" w:type="dxa"/>
          <w:bottom w:w="28" w:type="dxa"/>
          <w:right w:w="28" w:type="dxa"/>
        </w:tblCellMar>
      </w:tblPr>
      <w:tblGrid>
        <w:gridCol w:w="659"/>
        <w:gridCol w:w="581"/>
        <w:gridCol w:w="590"/>
        <w:gridCol w:w="259"/>
        <w:gridCol w:w="259"/>
        <w:gridCol w:w="263"/>
        <w:gridCol w:w="109"/>
        <w:gridCol w:w="109"/>
        <w:gridCol w:w="109"/>
        <w:gridCol w:w="211"/>
        <w:gridCol w:w="108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D48"/>
                <w:sz w:val="16"/>
              </w:rPr>
            </w:pPr>
            <w:r>
              <w:rPr>
                <w:rFonts w:ascii="ITC Avant Garde Pro Bk;sans-serif" w:hAnsi="ITC Avant Garde Pro Bk;sans-serif"/>
                <w:b/>
                <w:color w:val="313D48"/>
                <w:sz w:val="16"/>
              </w:rPr>
              <w:t>Equity Acceleration</w:t>
            </w:r>
          </w:p>
        </w:tc>
      </w:tr>
      <w:tr>
        <w:trPr/>
        <w:tc>
          <w:tcPr>
            <w:tcW w:w="18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Name</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Shares</w:t>
            </w:r>
          </w:p>
        </w:tc>
        <w:tc>
          <w:tcPr>
            <w:tcW w:w="17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r>
              <w:rPr>
                <w:rFonts w:ascii="ITC Avant Garde Pro Bk;sans-serif" w:hAnsi="ITC Avant Garde Pro Bk;sans-serif"/>
                <w:b/>
                <w:color w:val="313D48"/>
                <w:sz w:val="16"/>
              </w:rPr>
              <w:t>Market Value of</w:t>
              <w:br/>
              <w:t>Accelerated</w:t>
              <w:br/>
              <w:t>Equity</w:t>
              <w:br/>
              <w:t>(net of exercise</w:t>
              <w:br/>
              <w:t>price, if any)</w:t>
              <w:br/>
              <w:t>($)</w:t>
            </w:r>
            <w:r>
              <w:rPr>
                <w:rFonts w:ascii="ITC Avant Garde Pro Bk;sans-serif" w:hAnsi="ITC Avant Garde Pro Bk;sans-serif"/>
                <w:b/>
                <w:color w:val="313D48"/>
                <w:sz w:val="10"/>
              </w:rPr>
              <w:t>(1)</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Toby J. Williams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158,017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16,517,517 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Ryan Glenn</w:t>
            </w:r>
          </w:p>
        </w:tc>
        <w:tc>
          <w:tcPr>
            <w:tcW w:w="7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61,142</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6,391,173 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Joshua Scutt</w:t>
            </w:r>
          </w:p>
        </w:tc>
        <w:tc>
          <w:tcPr>
            <w:tcW w:w="7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37,664</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3,937,018 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Melissa King</w:t>
            </w:r>
          </w:p>
        </w:tc>
        <w:tc>
          <w:tcPr>
            <w:tcW w:w="78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28,616</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2,991,230 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Andrew Cappotelli</w:t>
            </w:r>
          </w:p>
        </w:tc>
        <w:tc>
          <w:tcPr>
            <w:tcW w:w="78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21,901</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08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2,289,312 </w:t>
            </w:r>
          </w:p>
        </w:tc>
        <w:tc>
          <w:tcPr>
            <w:tcW w:w="15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The market value of RSU acceleration is calculated by multiplying (i) $104.53 by (ii) the number of shares of common stock underlying the accelerated RSUs. The market value of PSU acceleration is calculated by multiplying (i) $104.53 by (ii) the number of shares of common stock underlying the accelerated PSUs based on actual achievement of performance goals attributable to such outstanding awards as of June 30, 2026. This table excludes MSUs because the threshold performance goals associated with each MSU award would not have been achieved as of June 30, 2026.</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CEO Pay Ratio</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As required by the Dodd-Frank Act, we are providing disclosure regarding the ratio of the annual total compensation of Mr. Williams, who is our President and CEO, to that of our median employee. SEC rules allow us to select a methodology for identifying our median employee in a manner that is most appropriate based on our size, organizational structure and compensation plans, policies and procedures.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 determining our median employee, we chose June 30, 2026, the last day of our recently completed fiscal year, as the determination date. As of that date, we included 6,800 full-time, part-time and seasonal employees in the determination of our median employee, substantially all of whom were employed in the United States. Contractors and other non-employees were not included in our employee population. Our median employee was determined based on total annual base pay, the value of annual cash incentive awards and other cash compensation paid in fiscal 2026 (bonuses, commissions, overtime, etc.) and the grant date fair value of equity awards granted during fiscal 2026 for all employees except Mr. Williams. We annualized the base pay and any applicable sales commissions for those employees who commenced work or were on a partial year leave of absence during fiscal 2026. For employees paid other than in U.S. dollars, we converted their compensation to U.S. dollars using exchange rates in effect as of June 30, 2026. We did not make any cost-of-living adjustments for employees outside of the United States.</w:t>
      </w:r>
    </w:p>
    <w:p>
      <w:pPr>
        <w:pStyle w:val="TextBody"/>
        <w:bidi w:val="0"/>
        <w:spacing w:lineRule="auto" w:line="312" w:before="120" w:after="120"/>
        <w:jc w:val="left"/>
        <w:rPr/>
      </w:pPr>
      <w:r>
        <w:rPr>
          <w:rFonts w:ascii="ITC Avant Garde Pro Md;sans-serif" w:hAnsi="ITC Avant Garde Pro Md;sans-serif"/>
          <w:b w:val="false"/>
          <w:color w:val="313D48"/>
          <w:sz w:val="17"/>
        </w:rPr>
        <w:t>Once we identified the median employee, we calculated that employee’s compensation utilizing the same methodology reflected under “</w:t>
      </w:r>
      <w:r>
        <w:rPr>
          <w:rFonts w:ascii="ITC Avant Garde Pro Md;sans-serif" w:hAnsi="ITC Avant Garde Pro Md;sans-serif"/>
          <w:b w:val="false"/>
          <w:i/>
          <w:color w:val="313D48"/>
          <w:sz w:val="17"/>
        </w:rPr>
        <w:t>Compensation of Named Executive Officers – Summary Compensation Table</w:t>
      </w:r>
      <w:r>
        <w:rPr>
          <w:color w:val="313D48"/>
        </w:rPr>
        <w:t>”</w:t>
      </w:r>
      <w:r>
        <w:rPr>
          <w:rFonts w:ascii="ITC Avant Garde Pro Md;sans-serif" w:hAnsi="ITC Avant Garde Pro Md;sans-serif"/>
          <w:b w:val="false"/>
          <w:color w:val="313D48"/>
          <w:sz w:val="17"/>
        </w:rPr>
        <w:t>. Based on our calculation for fiscal 2026, the annual total compensation for Mr. Williams was $23,473,564, and our median employee’s annual total compensation was $102,756. Accordingly, we estimated our CEO Pay Ratio for fiscal 2026 to be 228:1. W</w:t>
      </w:r>
      <w:r>
        <w:rPr>
          <w:rFonts w:ascii="ITC Avant Garde Pro Md;sans-serif" w:hAnsi="ITC Avant Garde Pro Md;sans-serif"/>
          <w:b w:val="false"/>
          <w:color w:val="000000"/>
          <w:sz w:val="17"/>
        </w:rPr>
        <w:t>e b</w:t>
      </w:r>
      <w:r>
        <w:rPr>
          <w:rFonts w:ascii="ITC Avant Garde Pro Md;sans-serif" w:hAnsi="ITC Avant Garde Pro Md;sans-serif"/>
          <w:b w:val="false"/>
          <w:color w:val="313D48"/>
          <w:sz w:val="17"/>
        </w:rPr>
        <w:t>elieve this ratio is a reasonable estimate calculated in a manner consistent with SEC rules, based on our payroll and employment records and the methodology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28650"/>
                <wp:effectExtent l="0" t="0" r="0" b="0"/>
                <wp:wrapNone/>
                <wp:docPr id="135"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Pay Versus Performance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table provides information regarding the relationship between executive compensation for our principal executive officers ("PEOs") and our other named executive officers ("non-PEO NEOs") and Company performance as required by Section 953(a) of the Dodd-Frank Act and Item 402(v) of Regulation S-K for the fiscal years ended June 30, 2026, 2025, 2024, 2023 and 2022.</w:t>
      </w:r>
    </w:p>
    <w:tbl>
      <w:tblPr>
        <w:tblW w:w="14911"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871"/>
        <w:gridCol w:w="109"/>
        <w:gridCol w:w="109"/>
        <w:gridCol w:w="109"/>
        <w:gridCol w:w="109"/>
        <w:gridCol w:w="196"/>
        <w:gridCol w:w="871"/>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69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D48"/>
                <w:sz w:val="12"/>
              </w:rPr>
            </w:pPr>
            <w:r>
              <w:rPr>
                <w:rFonts w:ascii="ITC Avant Garde Pro Bk;sans-serif" w:hAnsi="ITC Avant Garde Pro Bk;sans-serif"/>
                <w:b/>
                <w:color w:val="313D48"/>
                <w:sz w:val="12"/>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2"/>
              </w:rPr>
            </w:pPr>
            <w:r>
              <w:rPr>
                <w:rFonts w:ascii="ITC Avant Garde Pro Bk;sans-serif" w:hAnsi="ITC Avant Garde Pro Bk;sans-serif"/>
                <w:b/>
                <w:color w:val="313D48"/>
                <w:sz w:val="12"/>
              </w:rPr>
              <w:t xml:space="preserve">Fiscal </w:t>
              <w:br/>
              <w:t>Year</w:t>
            </w:r>
          </w:p>
        </w:tc>
        <w:tc>
          <w:tcPr>
            <w:tcW w:w="159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Summary</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Compensation</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Table Total</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for PEO</w:t>
            </w:r>
          </w:p>
          <w:p>
            <w:pPr>
              <w:pStyle w:val="TableContents"/>
              <w:bidi w:val="0"/>
              <w:spacing w:lineRule="auto" w:line="288" w:before="0" w:after="0"/>
              <w:jc w:val="right"/>
              <w:rPr/>
            </w:pPr>
            <w:r>
              <w:rPr>
                <w:rFonts w:ascii="ITC Avant Garde Pro Bk;sans-serif" w:hAnsi="ITC Avant Garde Pro Bk;sans-serif"/>
                <w:b/>
                <w:color w:val="313D48"/>
                <w:sz w:val="12"/>
              </w:rPr>
              <w:t>Williams</w:t>
            </w:r>
            <w:r>
              <w:rPr>
                <w:color w:val="313D48"/>
              </w:rPr>
              <w:t xml:space="preserve"> </w:t>
            </w:r>
            <w:r>
              <w:rPr>
                <w:rFonts w:ascii="ITC Avant Garde Pro Bk;sans-serif" w:hAnsi="ITC Avant Garde Pro Bk;sans-serif"/>
                <w:b/>
                <w:color w:val="313D48"/>
                <w:sz w:val="8"/>
              </w:rPr>
              <w:t>(1)</w:t>
            </w:r>
          </w:p>
        </w:tc>
        <w:tc>
          <w:tcPr>
            <w:tcW w:w="159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Summary</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Compensation</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Table Total</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for PEO</w:t>
            </w:r>
          </w:p>
          <w:p>
            <w:pPr>
              <w:pStyle w:val="TableContents"/>
              <w:bidi w:val="0"/>
              <w:spacing w:lineRule="auto" w:line="288" w:before="0" w:after="0"/>
              <w:jc w:val="right"/>
              <w:rPr/>
            </w:pPr>
            <w:r>
              <w:rPr>
                <w:rFonts w:ascii="ITC Avant Garde Pro Bk;sans-serif" w:hAnsi="ITC Avant Garde Pro Bk;sans-serif"/>
                <w:b/>
                <w:color w:val="313D48"/>
                <w:sz w:val="12"/>
              </w:rPr>
              <w:t>Beauchamp</w:t>
            </w:r>
            <w:r>
              <w:rPr>
                <w:color w:val="313D48"/>
              </w:rPr>
              <w:t xml:space="preserve"> </w:t>
            </w:r>
            <w:r>
              <w:rPr>
                <w:rFonts w:ascii="ITC Avant Garde Pro Bk;sans-serif" w:hAnsi="ITC Avant Garde Pro Bk;sans-serif"/>
                <w:b/>
                <w:color w:val="313D48"/>
                <w:sz w:val="8"/>
              </w:rPr>
              <w:t>(1)</w:t>
            </w:r>
          </w:p>
        </w:tc>
        <w:tc>
          <w:tcPr>
            <w:tcW w:w="159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Compensation</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Actually Paid</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to PEO</w:t>
            </w:r>
          </w:p>
          <w:p>
            <w:pPr>
              <w:pStyle w:val="TableContents"/>
              <w:bidi w:val="0"/>
              <w:spacing w:lineRule="auto" w:line="288" w:before="0" w:after="0"/>
              <w:jc w:val="right"/>
              <w:rPr/>
            </w:pPr>
            <w:r>
              <w:rPr>
                <w:rFonts w:ascii="ITC Avant Garde Pro Bk;sans-serif" w:hAnsi="ITC Avant Garde Pro Bk;sans-serif"/>
                <w:b/>
                <w:color w:val="313D48"/>
                <w:sz w:val="12"/>
              </w:rPr>
              <w:t>Williams</w:t>
            </w:r>
            <w:r>
              <w:rPr>
                <w:rFonts w:ascii="ITC Avant Garde Pro Bk;sans-serif" w:hAnsi="ITC Avant Garde Pro Bk;sans-serif"/>
                <w:b/>
                <w:color w:val="313D48"/>
                <w:sz w:val="8"/>
              </w:rPr>
              <w:t>(2)</w:t>
            </w:r>
          </w:p>
        </w:tc>
        <w:tc>
          <w:tcPr>
            <w:tcW w:w="159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Compensation</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Actually Paid</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to PEO</w:t>
            </w:r>
          </w:p>
          <w:p>
            <w:pPr>
              <w:pStyle w:val="TableContents"/>
              <w:bidi w:val="0"/>
              <w:spacing w:lineRule="auto" w:line="288" w:before="0" w:after="0"/>
              <w:jc w:val="right"/>
              <w:rPr/>
            </w:pPr>
            <w:r>
              <w:rPr>
                <w:rFonts w:ascii="ITC Avant Garde Pro Bk;sans-serif" w:hAnsi="ITC Avant Garde Pro Bk;sans-serif"/>
                <w:b/>
                <w:color w:val="313D48"/>
                <w:sz w:val="12"/>
              </w:rPr>
              <w:t>Beauchamp</w:t>
            </w:r>
            <w:r>
              <w:rPr>
                <w:rFonts w:ascii="ITC Avant Garde Pro Bk;sans-serif" w:hAnsi="ITC Avant Garde Pro Bk;sans-serif"/>
                <w:b/>
                <w:color w:val="313D48"/>
                <w:sz w:val="8"/>
              </w:rPr>
              <w:t>(2)</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Average</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Summary</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Compensation</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Table Total for</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Non-PEO</w:t>
            </w:r>
          </w:p>
          <w:p>
            <w:pPr>
              <w:pStyle w:val="TableContents"/>
              <w:bidi w:val="0"/>
              <w:spacing w:lineRule="auto" w:line="288" w:before="0" w:after="0"/>
              <w:jc w:val="right"/>
              <w:rPr/>
            </w:pPr>
            <w:r>
              <w:rPr>
                <w:rFonts w:ascii="ITC Avant Garde Pro Bk;sans-serif" w:hAnsi="ITC Avant Garde Pro Bk;sans-serif"/>
                <w:b/>
                <w:color w:val="313D48"/>
                <w:sz w:val="12"/>
              </w:rPr>
              <w:t>NEOs</w:t>
            </w:r>
            <w:r>
              <w:rPr>
                <w:rFonts w:ascii="ITC Avant Garde Pro Bk;sans-serif" w:hAnsi="ITC Avant Garde Pro Bk;sans-serif"/>
                <w:b/>
                <w:color w:val="313D48"/>
                <w:sz w:val="8"/>
              </w:rPr>
              <w:t>(3)</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Average</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Compensation</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Actually Paid</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to Non-PEO</w:t>
            </w:r>
          </w:p>
          <w:p>
            <w:pPr>
              <w:pStyle w:val="TableContents"/>
              <w:bidi w:val="0"/>
              <w:spacing w:lineRule="auto" w:line="288" w:before="0" w:after="0"/>
              <w:jc w:val="right"/>
              <w:rPr/>
            </w:pPr>
            <w:r>
              <w:rPr>
                <w:rFonts w:ascii="ITC Avant Garde Pro Bk;sans-serif" w:hAnsi="ITC Avant Garde Pro Bk;sans-serif"/>
                <w:b/>
                <w:color w:val="313D48"/>
                <w:sz w:val="12"/>
              </w:rPr>
              <w:t>NEOs</w:t>
            </w:r>
            <w:r>
              <w:rPr>
                <w:rFonts w:ascii="ITC Avant Garde Pro Bk;sans-serif" w:hAnsi="ITC Avant Garde Pro Bk;sans-serif"/>
                <w:b/>
                <w:color w:val="313D48"/>
                <w:sz w:val="8"/>
              </w:rPr>
              <w:t>(2)(3)</w:t>
            </w:r>
          </w:p>
        </w:tc>
        <w:tc>
          <w:tcPr>
            <w:tcW w:w="118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Total</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Shareholder</w:t>
            </w:r>
          </w:p>
          <w:p>
            <w:pPr>
              <w:pStyle w:val="TableContents"/>
              <w:bidi w:val="0"/>
              <w:spacing w:lineRule="auto" w:line="288" w:before="0" w:after="0"/>
              <w:jc w:val="right"/>
              <w:rPr/>
            </w:pPr>
            <w:r>
              <w:rPr>
                <w:rFonts w:ascii="ITC Avant Garde Pro Bk;sans-serif" w:hAnsi="ITC Avant Garde Pro Bk;sans-serif"/>
                <w:b/>
                <w:color w:val="313D48"/>
                <w:sz w:val="12"/>
              </w:rPr>
              <w:t>Return</w:t>
            </w:r>
            <w:r>
              <w:rPr>
                <w:rFonts w:ascii="ITC Avant Garde Pro Bk;sans-serif" w:hAnsi="ITC Avant Garde Pro Bk;sans-serif"/>
                <w:b/>
                <w:color w:val="313D48"/>
                <w:sz w:val="8"/>
              </w:rPr>
              <w:t>(4)</w:t>
            </w:r>
          </w:p>
        </w:tc>
        <w:tc>
          <w:tcPr>
            <w:tcW w:w="1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Peer Group</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Total</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Shareholder</w:t>
            </w:r>
          </w:p>
          <w:p>
            <w:pPr>
              <w:pStyle w:val="TableContents"/>
              <w:bidi w:val="0"/>
              <w:spacing w:lineRule="auto" w:line="288" w:before="0" w:after="0"/>
              <w:jc w:val="right"/>
              <w:rPr/>
            </w:pPr>
            <w:r>
              <w:rPr>
                <w:rFonts w:ascii="ITC Avant Garde Pro Bk;sans-serif" w:hAnsi="ITC Avant Garde Pro Bk;sans-serif"/>
                <w:b/>
                <w:color w:val="313D48"/>
                <w:sz w:val="12"/>
              </w:rPr>
              <w:t>Return</w:t>
            </w:r>
            <w:r>
              <w:rPr>
                <w:rFonts w:ascii="ITC Avant Garde Pro Bk;sans-serif" w:hAnsi="ITC Avant Garde Pro Bk;sans-serif"/>
                <w:b/>
                <w:color w:val="313D48"/>
                <w:sz w:val="8"/>
              </w:rPr>
              <w:t>(5)</w:t>
            </w:r>
          </w:p>
        </w:tc>
        <w:tc>
          <w:tcPr>
            <w:tcW w:w="118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 xml:space="preserve">Net </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 xml:space="preserve">Income </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 millions)</w:t>
            </w:r>
          </w:p>
        </w:tc>
        <w:tc>
          <w:tcPr>
            <w:tcW w:w="136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Recurring</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and Other</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Revenue</w:t>
            </w:r>
          </w:p>
          <w:p>
            <w:pPr>
              <w:pStyle w:val="TableContents"/>
              <w:bidi w:val="0"/>
              <w:spacing w:lineRule="auto" w:line="288" w:before="0" w:after="0"/>
              <w:jc w:val="right"/>
              <w:rPr>
                <w:rFonts w:ascii="ITC Avant Garde Pro Bk;sans-serif" w:hAnsi="ITC Avant Garde Pro Bk;sans-serif"/>
                <w:b/>
                <w:color w:val="313D48"/>
                <w:sz w:val="12"/>
              </w:rPr>
            </w:pPr>
            <w:r>
              <w:rPr>
                <w:rFonts w:ascii="ITC Avant Garde Pro Bk;sans-serif" w:hAnsi="ITC Avant Garde Pro Bk;sans-serif"/>
                <w:b/>
                <w:color w:val="313D48"/>
                <w:sz w:val="12"/>
              </w:rPr>
              <w:t>($ millions)</w:t>
            </w:r>
          </w:p>
        </w:tc>
      </w:tr>
      <w:tr>
        <w:trPr/>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23,473,564 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145,214 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5,941,687 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1,698,461 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54.79 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100.18 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269.7 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1,651.4 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2025</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18,044,482 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3,044,516 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28,295,857 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8,767,719 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87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4,708,119 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87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6,285,878 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55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94.96 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6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110.74 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55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227.1 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69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1,471.8 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2024</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14,737,065 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11,137,431 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1,664,676 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96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(1,454,508)</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87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3,756,613 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87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1,189,384 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55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69.10 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6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88.16 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55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206.8 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w:t>
            </w:r>
          </w:p>
        </w:tc>
        <w:tc>
          <w:tcPr>
            <w:tcW w:w="69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4"/>
              </w:rPr>
            </w:pPr>
            <w:r>
              <w:rPr>
                <w:rFonts w:ascii="ITC Avant Garde Pro Md;sans-serif" w:hAnsi="ITC Avant Garde Pro Md;sans-serif"/>
                <w:b w:val="false"/>
                <w:color w:val="313E48"/>
                <w:sz w:val="14"/>
              </w:rPr>
              <w:t>1,281.7 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2023</w:t>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21,672,572 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21,583,365 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16,000,336 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20,565,161 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5,495,940 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871"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4,271,028 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55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96.71 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646" w:type="dxa"/>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77.83 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55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140.8 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69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1,098.0 </w:t>
            </w:r>
          </w:p>
        </w:tc>
        <w:tc>
          <w:tcPr>
            <w:tcW w:w="154"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2022</w:t>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8,422,470 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15,292,725 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7,958,073 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96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11,093,807 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87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7,666,070 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871"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3,705,009 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55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91.42 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646"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64.82 </w:t>
            </w:r>
          </w:p>
        </w:tc>
        <w:tc>
          <w:tcPr>
            <w:tcW w:w="109"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556"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90.8 </w:t>
            </w:r>
          </w:p>
        </w:tc>
        <w:tc>
          <w:tcPr>
            <w:tcW w:w="109"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w:t>
            </w:r>
          </w:p>
        </w:tc>
        <w:tc>
          <w:tcPr>
            <w:tcW w:w="691"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847.7 </w:t>
            </w:r>
          </w:p>
        </w:tc>
        <w:tc>
          <w:tcPr>
            <w:tcW w:w="154" w:type="dxa"/>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both"/>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Mr. Williams was a PEO for fiscal 2026, 2025, 2024, 2023 and 2022, and Mr. Beauchamp was a PEO for fiscal 2024, 2023 and 2022, as well as from July 1, 2024 until August 5, 2024 when he became Executive Chairman.</w:t>
      </w:r>
    </w:p>
    <w:p>
      <w:pPr>
        <w:pStyle w:val="TextBody"/>
        <w:bidi w:val="0"/>
        <w:spacing w:lineRule="auto" w:line="312" w:before="80" w:after="80"/>
        <w:ind w:left="0" w:right="0" w:hanging="288"/>
        <w:jc w:val="both"/>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The reconciliation of the amount of PEO and Average Non-PEO Summary Compensation Table totals to Compensation Actually Paid ("CAP") is summarized in the following table:</w:t>
      </w:r>
    </w:p>
    <w:tbl>
      <w:tblPr>
        <w:tblW w:w="10205" w:type="dxa"/>
        <w:jc w:val="left"/>
        <w:tblInd w:w="0" w:type="dxa"/>
        <w:tblLayout w:type="fixed"/>
        <w:tblCellMar>
          <w:top w:w="28" w:type="dxa"/>
          <w:left w:w="28" w:type="dxa"/>
          <w:bottom w:w="28" w:type="dxa"/>
          <w:right w:w="28" w:type="dxa"/>
        </w:tblCellMar>
      </w:tblPr>
      <w:tblGrid>
        <w:gridCol w:w="2436"/>
        <w:gridCol w:w="2117"/>
        <w:gridCol w:w="2128"/>
        <w:gridCol w:w="109"/>
        <w:gridCol w:w="109"/>
        <w:gridCol w:w="109"/>
        <w:gridCol w:w="211"/>
        <w:gridCol w:w="1144"/>
        <w:gridCol w:w="109"/>
        <w:gridCol w:w="109"/>
        <w:gridCol w:w="109"/>
        <w:gridCol w:w="109"/>
        <w:gridCol w:w="211"/>
        <w:gridCol w:w="1039"/>
        <w:gridCol w:w="156"/>
      </w:tblGrid>
      <w:tr>
        <w:trPr/>
        <w:tc>
          <w:tcPr>
            <w:tcW w:w="243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E48"/>
                <w:sz w:val="16"/>
              </w:rPr>
            </w:pPr>
            <w:r>
              <w:rPr>
                <w:rFonts w:ascii="ITC Avant Garde Pro Bk;sans-serif" w:hAnsi="ITC Avant Garde Pro Bk;sans-serif"/>
                <w:b/>
                <w:color w:val="313E48"/>
                <w:sz w:val="16"/>
              </w:rPr>
              <w:t>2026</w:t>
            </w:r>
          </w:p>
        </w:tc>
      </w:tr>
      <w:tr>
        <w:trPr/>
        <w:tc>
          <w:tcPr>
            <w:tcW w:w="6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PEO Williams</w:t>
            </w:r>
          </w:p>
        </w:tc>
        <w:tc>
          <w:tcPr>
            <w:tcW w:w="17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 xml:space="preserve">Average </w:t>
            </w:r>
          </w:p>
          <w:p>
            <w:pPr>
              <w:pStyle w:val="TableContents"/>
              <w:bidi w:val="0"/>
              <w:spacing w:lineRule="auto" w:line="288" w:before="0" w:after="0"/>
              <w:jc w:val="right"/>
              <w:rPr>
                <w:rFonts w:ascii="ITC Avant Garde Pro Bk;sans-serif" w:hAnsi="ITC Avant Garde Pro Bk;sans-serif"/>
                <w:b/>
                <w:color w:val="313D48"/>
                <w:sz w:val="16"/>
              </w:rPr>
            </w:pPr>
            <w:r>
              <w:rPr>
                <w:rFonts w:ascii="ITC Avant Garde Pro Bk;sans-serif" w:hAnsi="ITC Avant Garde Pro Bk;sans-serif"/>
                <w:b/>
                <w:color w:val="313D48"/>
                <w:sz w:val="16"/>
              </w:rPr>
              <w:t>Non - PEO NEOs</w:t>
            </w:r>
          </w:p>
        </w:tc>
      </w:tr>
      <w:tr>
        <w:trPr/>
        <w:tc>
          <w:tcPr>
            <w:tcW w:w="6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Summary Compensation Table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23,473,564 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5,941,687 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7"/>
              </w:rPr>
            </w:pPr>
            <w:r>
              <w:rPr>
                <w:rFonts w:ascii="ITC Avant Garde Pro Bk;sans-serif" w:hAnsi="ITC Avant Garde Pro Bk;sans-serif"/>
                <w:b/>
                <w:color w:val="313E48"/>
                <w:sz w:val="17"/>
              </w:rPr>
              <w:t>Adjustments</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Equity Awards</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(21,557,447)</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8"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(4,693,981)</w:t>
            </w:r>
          </w:p>
        </w:tc>
        <w:tc>
          <w:tcPr>
            <w:tcW w:w="1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Fair Value of Equity Awards</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Year End Fair Value of Outstanding and Unvested Equity Awards Granted in the Covered Year</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10,894,797 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2,433,898 </w:t>
            </w:r>
          </w:p>
        </w:tc>
        <w:tc>
          <w:tcPr>
            <w:tcW w:w="15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Change in Fair Value of Outstanding and Unvested Equity Awards Granted in the Prior Year</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(12,772,279)</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(1,963,475)</w:t>
            </w:r>
          </w:p>
        </w:tc>
        <w:tc>
          <w:tcPr>
            <w:tcW w:w="15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Change in Fair Value of Prior Year Equity Awards Vested in the Covered Year</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(2,168,594)</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(466,227)</w:t>
            </w:r>
          </w:p>
        </w:tc>
        <w:tc>
          <w:tcPr>
            <w:tcW w:w="15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Fair Value on Vesting Date of Equity Awards Granted and Vested in the Covered Year</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2,275,173 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446,559 </w:t>
            </w:r>
          </w:p>
        </w:tc>
        <w:tc>
          <w:tcPr>
            <w:tcW w:w="15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Total Adjustments for Fair Value of Equity Awards</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(23,328,350)</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(4,243,226)</w:t>
            </w:r>
          </w:p>
        </w:tc>
        <w:tc>
          <w:tcPr>
            <w:tcW w:w="15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3"/>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7"/>
              </w:rPr>
            </w:pPr>
            <w:r>
              <w:rPr>
                <w:rFonts w:ascii="ITC Avant Garde Pro Bk;sans-serif" w:hAnsi="ITC Avant Garde Pro Bk;sans-serif"/>
                <w:b/>
                <w:color w:val="313E48"/>
                <w:sz w:val="17"/>
              </w:rPr>
              <w:t>Compensation Actually Paid</w:t>
            </w:r>
          </w:p>
        </w:tc>
        <w:tc>
          <w:tcPr>
            <w:tcW w:w="327" w:type="dxa"/>
            <w:gridSpan w:val="3"/>
            <w:tcBorders>
              <w:top w:val="single" w:sz="8"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144"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145,214 </w:t>
            </w:r>
          </w:p>
        </w:tc>
        <w:tc>
          <w:tcPr>
            <w:tcW w:w="109"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1039"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1,698,461 </w:t>
            </w:r>
          </w:p>
        </w:tc>
        <w:tc>
          <w:tcPr>
            <w:tcW w:w="156" w:type="dxa"/>
            <w:tcBorders>
              <w:top w:val="single" w:sz="8" w:space="0" w:color="929292"/>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both"/>
        <w:rPr/>
      </w:pPr>
      <w:r>
        <w:rPr>
          <w:rFonts w:ascii="ITC Avant Garde Pro Md;sans-serif" w:hAnsi="ITC Avant Garde Pro Md;sans-serif"/>
          <w:b w:val="false"/>
          <w:color w:val="313D48"/>
          <w:sz w:val="10"/>
        </w:rPr>
        <w:t>(3)    </w:t>
      </w:r>
      <w:r>
        <w:rPr>
          <w:rFonts w:ascii="ITC Avant Garde Pro Md;sans-serif" w:hAnsi="ITC Avant Garde Pro Md;sans-serif"/>
          <w:b w:val="false"/>
          <w:color w:val="313D48"/>
          <w:sz w:val="16"/>
        </w:rPr>
        <w:t xml:space="preserve">For the fiscal year ended June 30, 2026, the non-PEO NEOs were Ryan Glenn, Joshua Scutt, Melissa King and Andrew Cappotelli. For the fiscal year ended June 30, 2025, the non-PEO NEOs were Ryan Glenn, Joshua Scutt, Melissa King and Andrew Cappotelli. For the fiscal year ended June 30, 2024, the non-PEO NEOs were Ryan Glenn, Rachit Lohani, Joshua Scutt, Andrew Cappotelli and Katherine Ross. For the fiscal year ended June 30, 2023, the non-PEO NEOs were Ryan Glenn, Rachit Lohani, Joshua Scutt and Katherine Ross. For the fiscal year ended June 30, 2022, the non-PEO NEOs were Ryan Glenn, Michael Haske, Rachit Lohani and Mark Kinsey. </w:t>
      </w:r>
    </w:p>
    <w:p>
      <w:pPr>
        <w:pStyle w:val="TextBody"/>
        <w:bidi w:val="0"/>
        <w:spacing w:lineRule="auto" w:line="312" w:before="80" w:after="80"/>
        <w:ind w:left="0" w:right="0" w:hanging="288"/>
        <w:jc w:val="both"/>
        <w:rPr/>
      </w:pPr>
      <w:r>
        <w:rPr>
          <w:rFonts w:ascii="ITC Avant Garde Pro Md;sans-serif" w:hAnsi="ITC Avant Garde Pro Md;sans-serif"/>
          <w:b w:val="false"/>
          <w:color w:val="313D48"/>
          <w:sz w:val="10"/>
        </w:rPr>
        <w:t>(4)    </w:t>
      </w:r>
      <w:r>
        <w:rPr>
          <w:rFonts w:ascii="ITC Avant Garde Pro Md;sans-serif" w:hAnsi="ITC Avant Garde Pro Md;sans-serif"/>
          <w:b w:val="false"/>
          <w:color w:val="313D48"/>
          <w:sz w:val="16"/>
        </w:rPr>
        <w:t>The amounts reported in this column reflect the Company’s cumulative total shareholder return ("TSR") as of June 30 of each year presented, assuming an initial fixed $100 investment on June 30, 2021.</w:t>
      </w:r>
    </w:p>
    <w:p>
      <w:pPr>
        <w:pStyle w:val="TextBody"/>
        <w:bidi w:val="0"/>
        <w:spacing w:lineRule="auto" w:line="312" w:before="80" w:after="80"/>
        <w:ind w:left="0" w:right="0" w:hanging="288"/>
        <w:jc w:val="both"/>
        <w:rPr/>
      </w:pPr>
      <w:r>
        <w:rPr>
          <w:rFonts w:ascii="ITC Avant Garde Pro Md;sans-serif" w:hAnsi="ITC Avant Garde Pro Md;sans-serif"/>
          <w:b w:val="false"/>
          <w:color w:val="313D48"/>
          <w:sz w:val="10"/>
        </w:rPr>
        <w:t>(5)    </w:t>
      </w:r>
      <w:r>
        <w:rPr>
          <w:rFonts w:ascii="ITC Avant Garde Pro Md;sans-serif" w:hAnsi="ITC Avant Garde Pro Md;sans-serif"/>
          <w:b w:val="false"/>
          <w:color w:val="313D48"/>
          <w:sz w:val="16"/>
        </w:rPr>
        <w:t xml:space="preserve">The peer group used for calculating Peer Group Total Shareholder Return is the S&amp;P Software &amp; Services Select Industry Index as of June 30 of each year presented, assuming an initial fixed $100 investment on June 30, 2021. </w:t>
      </w:r>
    </w:p>
    <w:p>
      <w:pPr>
        <w:pStyle w:val="TextBody"/>
        <w:bidi w:val="0"/>
        <w:spacing w:before="200" w:after="200"/>
        <w:jc w:val="left"/>
        <w:rPr/>
      </w:pPr>
      <w:r>
        <w:rPr/>
      </w:r>
    </w:p>
    <w:p>
      <w:pPr>
        <w:pStyle w:val="TextBody"/>
        <w:bidi w:val="0"/>
        <w:spacing w:before="20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25170"/>
                <wp:effectExtent l="0" t="0" r="0" b="0"/>
                <wp:wrapNone/>
                <wp:docPr id="136" name="Frame5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Pay Versus Performance: Most Important Financial Performance Measures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The table below lists the financial performance measures we believe represent the most important financial performance measures used to link compensation actually paid to our named executive officers for the year ended June 30, 2026 to company performance. </w:t>
      </w:r>
    </w:p>
    <w:tbl>
      <w:tblPr>
        <w:tblW w:w="4694" w:type="dxa"/>
        <w:jc w:val="center"/>
        <w:tblInd w:w="0" w:type="dxa"/>
        <w:tblLayout w:type="fixed"/>
        <w:tblCellMar>
          <w:top w:w="28" w:type="dxa"/>
          <w:left w:w="28" w:type="dxa"/>
          <w:bottom w:w="28" w:type="dxa"/>
          <w:right w:w="28" w:type="dxa"/>
        </w:tblCellMar>
      </w:tblPr>
      <w:tblGrid>
        <w:gridCol w:w="1504"/>
        <w:gridCol w:w="1321"/>
        <w:gridCol w:w="1869"/>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Most Important Financial Performance Measures</w:t>
            </w:r>
          </w:p>
        </w:tc>
      </w:tr>
      <w:tr>
        <w:trPr/>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Recurring and Other Revenue</w:t>
            </w:r>
          </w:p>
        </w:tc>
      </w:tr>
      <w:tr>
        <w:trPr/>
        <w:tc>
          <w:tcPr>
            <w:tcW w:w="469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Adjusted EBITDA*</w:t>
            </w:r>
          </w:p>
        </w:tc>
      </w:tr>
      <w:tr>
        <w:trPr/>
        <w:tc>
          <w:tcPr>
            <w:tcW w:w="469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Total Shareholder Return ("Company TSR")</w:t>
            </w:r>
          </w:p>
        </w:tc>
      </w:tr>
      <w:tr>
        <w:trPr/>
        <w:tc>
          <w:tcPr>
            <w:tcW w:w="4694" w:type="dxa"/>
            <w:gridSpan w:val="3"/>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Relative TSR Against the Russell 3000 Index</w:t>
            </w:r>
          </w:p>
        </w:tc>
      </w:tr>
    </w:tbl>
    <w:p>
      <w:pPr>
        <w:pStyle w:val="TextBody"/>
        <w:bidi w:val="0"/>
        <w:spacing w:lineRule="auto" w:line="312" w:before="80" w:after="80"/>
        <w:ind w:left="0" w:right="0" w:hanging="288"/>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    Adjusted EBITDA is a non-GAAP financial measure. For information on Adjusted EBITDA, as defined by the Company, please see "Appendix A: Non-GAAP Financial Measures".</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Pay Versus Performance: Total Shareholder Return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graph shows the relationship between compensation actually paid to our PEOs and the average compensation actually paid to our non-PEO named executive officers to total shareholder return for both Paylocity and the S&amp;P Software &amp; Services Select Industry Index for the years ended June 30, 2022, 2023, 2024, 2025 and 2026:</w:t>
      </w:r>
    </w:p>
    <w:p>
      <w:pPr>
        <w:pStyle w:val="TextBody"/>
        <w:bidi w:val="0"/>
        <w:spacing w:before="100" w:after="120"/>
        <w:jc w:val="center"/>
        <w:rPr/>
      </w:pPr>
      <w:r>
        <w:rPr/>
        <w:drawing>
          <wp:inline distT="0" distB="0" distL="0" distR="0">
            <wp:extent cx="5715000" cy="3619500"/>
            <wp:effectExtent l="0" t="0" r="0" b="0"/>
            <wp:docPr id="13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3" descr=""/>
                    <pic:cNvPicPr>
                      <a:picLocks noChangeAspect="1" noChangeArrowheads="1"/>
                    </pic:cNvPicPr>
                  </pic:nvPicPr>
                  <pic:blipFill>
                    <a:blip r:embed="rId84"/>
                    <a:stretch>
                      <a:fillRect/>
                    </a:stretch>
                  </pic:blipFill>
                  <pic:spPr bwMode="auto">
                    <a:xfrm>
                      <a:off x="0" y="0"/>
                      <a:ext cx="5715000" cy="3619500"/>
                    </a:xfrm>
                    <a:prstGeom prst="rect">
                      <a:avLst/>
                    </a:prstGeom>
                  </pic:spPr>
                </pic:pic>
              </a:graphicData>
            </a:graphic>
          </wp:inline>
        </w:drawing>
      </w:r>
      <w:bookmarkStart w:id="82" w:name="i-83"/>
      <w:bookmarkEnd w:id="82"/>
    </w:p>
    <w:p>
      <w:pPr>
        <w:pStyle w:val="TextBody"/>
        <w:bidi w:val="0"/>
        <w:spacing w:before="120" w:after="120"/>
        <w:jc w:val="left"/>
        <w:rPr/>
      </w:pPr>
      <w:r>
        <w:rPr/>
      </w:r>
    </w:p>
    <w:p>
      <w:pPr>
        <w:pStyle w:val="TextBody"/>
        <w:bidi w:val="0"/>
        <w:spacing w:before="200" w:after="20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28650"/>
                <wp:effectExtent l="0" t="0" r="0" b="0"/>
                <wp:wrapNone/>
                <wp:docPr id="138"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Pay Versus Performance: Net Income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graph shows the relationship between compensation actually paid to our PEOs and the average compensation actually paid to our non-PEO named executive officers to net income for the years ended June 30, 2022, 2023, 2024, 2025 and 2026:</w:t>
      </w:r>
    </w:p>
    <w:p>
      <w:pPr>
        <w:pStyle w:val="TextBody"/>
        <w:bidi w:val="0"/>
        <w:spacing w:before="120" w:after="120"/>
        <w:jc w:val="center"/>
        <w:rPr/>
      </w:pPr>
      <w:r>
        <w:rPr/>
        <w:drawing>
          <wp:inline distT="0" distB="0" distL="0" distR="0">
            <wp:extent cx="5838825" cy="3619500"/>
            <wp:effectExtent l="0" t="0" r="0" b="0"/>
            <wp:docPr id="13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4" descr=""/>
                    <pic:cNvPicPr>
                      <a:picLocks noChangeAspect="1" noChangeArrowheads="1"/>
                    </pic:cNvPicPr>
                  </pic:nvPicPr>
                  <pic:blipFill>
                    <a:blip r:embed="rId85"/>
                    <a:stretch>
                      <a:fillRect/>
                    </a:stretch>
                  </pic:blipFill>
                  <pic:spPr bwMode="auto">
                    <a:xfrm>
                      <a:off x="0" y="0"/>
                      <a:ext cx="5838825" cy="3619500"/>
                    </a:xfrm>
                    <a:prstGeom prst="rect">
                      <a:avLst/>
                    </a:prstGeom>
                  </pic:spPr>
                </pic:pic>
              </a:graphicData>
            </a:graphic>
          </wp:inline>
        </w:drawing>
      </w:r>
      <w:bookmarkStart w:id="83" w:name="i-84"/>
      <w:bookmarkEnd w:id="83"/>
    </w:p>
    <w:p>
      <w:pPr>
        <w:pStyle w:val="TextBody"/>
        <w:bidi w:val="0"/>
        <w:spacing w:before="120" w:after="120"/>
        <w:jc w:val="left"/>
        <w:rPr/>
      </w:pPr>
      <w:r>
        <w:rPr/>
      </w:r>
    </w:p>
    <w:p>
      <w:pPr>
        <w:pStyle w:val="TextBody"/>
        <w:bidi w:val="0"/>
        <w:spacing w:before="20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25170"/>
                <wp:effectExtent l="0" t="0" r="0" b="0"/>
                <wp:wrapNone/>
                <wp:docPr id="140" name="Frame5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Compensation of Named Executive Officers</w:t>
      </w:r>
    </w:p>
    <w:p>
      <w:pPr>
        <w:pStyle w:val="TextBody"/>
        <w:bidi w:val="0"/>
        <w:spacing w:lineRule="auto" w:line="288" w:before="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Pay Versus Performance: Recurring and Other Revenue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graph shows the relationship between compensation actually paid to our PEOs and the average compensation actually paid to our non-PEO named executive officers to recurring and other revenue for the years ended June 30, 2022, 2023, 2024, 2025 and 2026:</w:t>
      </w:r>
    </w:p>
    <w:p>
      <w:pPr>
        <w:pStyle w:val="TextBody"/>
        <w:bidi w:val="0"/>
        <w:spacing w:before="120" w:after="120"/>
        <w:jc w:val="center"/>
        <w:rPr/>
      </w:pPr>
      <w:r>
        <w:rPr/>
        <w:drawing>
          <wp:inline distT="0" distB="0" distL="0" distR="0">
            <wp:extent cx="5838825" cy="3619500"/>
            <wp:effectExtent l="0" t="0" r="0" b="0"/>
            <wp:docPr id="14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5" descr=""/>
                    <pic:cNvPicPr>
                      <a:picLocks noChangeAspect="1" noChangeArrowheads="1"/>
                    </pic:cNvPicPr>
                  </pic:nvPicPr>
                  <pic:blipFill>
                    <a:blip r:embed="rId86"/>
                    <a:stretch>
                      <a:fillRect/>
                    </a:stretch>
                  </pic:blipFill>
                  <pic:spPr bwMode="auto">
                    <a:xfrm>
                      <a:off x="0" y="0"/>
                      <a:ext cx="5838825" cy="3619500"/>
                    </a:xfrm>
                    <a:prstGeom prst="rect">
                      <a:avLst/>
                    </a:prstGeom>
                  </pic:spPr>
                </pic:pic>
              </a:graphicData>
            </a:graphic>
          </wp:inline>
        </w:drawing>
      </w:r>
      <w:bookmarkStart w:id="84" w:name="i-85"/>
      <w:bookmarkEnd w:id="84"/>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Pension Benefits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did not sponsor any defined benefit pension or other actuarial plan for our named executive officers during fiscal 2026.</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Nonqualified Deferred Compensation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did not maintain any nonqualified defined contribution or other deferred compensation plans or arrangements for our named executive officers during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28650"/>
                <wp:effectExtent l="0" t="0" r="0" b="0"/>
                <wp:wrapNone/>
                <wp:docPr id="142" name="Frame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Equity Compensation Plan Information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currently maintain three compensation plans that provide for the issuance of our common stock to officers and other employees, directors and consultants. These consist of the 2014 Equity Incentive Plan (the "2014 Plan"), the Amended and Restated 2023 Equity Incentive Plan (the “2023 Plan”) and the 2014 Employee Stock Purchase Plan (the “ESPP”), each of which has been approved by our stockholders. No further awards may be granted under the 2014 Plan as of the effective date of the 2023 Plan. The following table sets forth information regarding equity awards and shares reserved for future issuance under the foregoing plans as of June 30, 2026:</w:t>
      </w:r>
    </w:p>
    <w:tbl>
      <w:tblPr>
        <w:tblW w:w="10205" w:type="dxa"/>
        <w:jc w:val="left"/>
        <w:tblInd w:w="0" w:type="dxa"/>
        <w:tblLayout w:type="fixed"/>
        <w:tblCellMar>
          <w:top w:w="28" w:type="dxa"/>
          <w:left w:w="28" w:type="dxa"/>
          <w:bottom w:w="28" w:type="dxa"/>
          <w:right w:w="28" w:type="dxa"/>
        </w:tblCellMar>
      </w:tblPr>
      <w:tblGrid>
        <w:gridCol w:w="1382"/>
        <w:gridCol w:w="1217"/>
        <w:gridCol w:w="1230"/>
        <w:gridCol w:w="711"/>
        <w:gridCol w:w="666"/>
        <w:gridCol w:w="667"/>
        <w:gridCol w:w="188"/>
        <w:gridCol w:w="188"/>
        <w:gridCol w:w="188"/>
        <w:gridCol w:w="364"/>
        <w:gridCol w:w="703"/>
        <w:gridCol w:w="193"/>
        <w:gridCol w:w="109"/>
        <w:gridCol w:w="109"/>
        <w:gridCol w:w="109"/>
        <w:gridCol w:w="371"/>
        <w:gridCol w:w="358"/>
        <w:gridCol w:w="326"/>
        <w:gridCol w:w="326"/>
        <w:gridCol w:w="326"/>
        <w:gridCol w:w="474"/>
      </w:tblGrid>
      <w:tr>
        <w:trPr/>
        <w:tc>
          <w:tcPr>
            <w:tcW w:w="138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6"/>
              </w:rPr>
            </w:pPr>
            <w:r>
              <w:rPr>
                <w:rFonts w:ascii="ITC Avant Garde Pro Bk;sans-serif" w:hAnsi="ITC Avant Garde Pro Bk;sans-serif"/>
                <w:b/>
                <w:color w:val="313E48"/>
                <w:sz w:val="16"/>
              </w:rPr>
              <w:t>Plan Category</w:t>
            </w:r>
          </w:p>
        </w:tc>
        <w:tc>
          <w:tcPr>
            <w:tcW w:w="204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Number of shares to be</w:t>
              <w:br/>
              <w:t>issued upon exercise of</w:t>
              <w:br/>
              <w:t>outstanding options</w:t>
              <w:br/>
              <w:t>and rights</w:t>
              <w:br/>
              <w:t>(a)</w:t>
            </w:r>
          </w:p>
        </w:tc>
        <w:tc>
          <w:tcPr>
            <w:tcW w:w="1824"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Weighted-average</w:t>
              <w:br/>
              <w:t>exercise price of</w:t>
              <w:br/>
              <w:t>outstanding</w:t>
              <w:br/>
              <w:t>options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Number of shares</w:t>
              <w:br/>
              <w:t>remaining available for</w:t>
              <w:br/>
              <w:t>future issuance under</w:t>
              <w:br/>
              <w:t>equity compensation</w:t>
              <w:br/>
              <w:t>plans (excluding shares</w:t>
              <w:br/>
              <w:t>reflected in column (a))</w:t>
              <w:br/>
              <w:t>(c)</w:t>
            </w:r>
          </w:p>
        </w:tc>
      </w:tr>
      <w:tr>
        <w:trPr/>
        <w:tc>
          <w:tcPr>
            <w:tcW w:w="3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Equity compensation plans approved by stockholders</w:t>
            </w:r>
          </w:p>
        </w:tc>
        <w:tc>
          <w:tcPr>
            <w:tcW w:w="13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1,514,697 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3,451,301</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40" w:after="283"/>
              <w:jc w:val="left"/>
              <w:rPr>
                <w:rFonts w:ascii="ITC Avant Garde Pro Md;sans-serif" w:hAnsi="ITC Avant Garde Pro Md;sans-serif"/>
                <w:b w:val="false"/>
                <w:color w:val="313E48"/>
                <w:sz w:val="11"/>
              </w:rPr>
            </w:pPr>
            <w:r>
              <w:rPr>
                <w:rFonts w:ascii="ITC Avant Garde Pro Md;sans-serif" w:hAnsi="ITC Avant Garde Pro Md;sans-serif"/>
                <w:b w:val="false"/>
                <w:color w:val="313E48"/>
                <w:sz w:val="11"/>
              </w:rPr>
              <w:t>(1)</w:t>
            </w:r>
          </w:p>
        </w:tc>
      </w:tr>
      <w:tr>
        <w:trPr/>
        <w:tc>
          <w:tcPr>
            <w:tcW w:w="382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Equity compensation plans not approved by stockholders</w:t>
            </w:r>
          </w:p>
        </w:tc>
        <w:tc>
          <w:tcPr>
            <w:tcW w:w="137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667"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193"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312" w:before="0" w:after="283"/>
              <w:jc w:val="right"/>
              <w:rPr>
                <w:color w:val="313E48"/>
              </w:rPr>
            </w:pPr>
            <w:r>
              <w:rPr>
                <w:color w:val="313E48"/>
              </w:rPr>
              <w:t>— </w:t>
            </w:r>
          </w:p>
        </w:tc>
        <w:tc>
          <w:tcPr>
            <w:tcW w:w="326"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Total</w:t>
            </w:r>
          </w:p>
        </w:tc>
        <w:tc>
          <w:tcPr>
            <w:tcW w:w="1377" w:type="dxa"/>
            <w:gridSpan w:val="2"/>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1,514,697 </w:t>
            </w:r>
          </w:p>
        </w:tc>
        <w:tc>
          <w:tcPr>
            <w:tcW w:w="667"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c>
          <w:tcPr>
            <w:tcW w:w="703"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color w:val="313E48"/>
              </w:rPr>
            </w:pPr>
            <w:r>
              <w:rPr>
                <w:color w:val="313E48"/>
              </w:rPr>
              <w:t>— </w:t>
            </w:r>
          </w:p>
        </w:tc>
        <w:tc>
          <w:tcPr>
            <w:tcW w:w="193" w:type="dxa"/>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93959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3,451,301</w:t>
            </w:r>
          </w:p>
        </w:tc>
        <w:tc>
          <w:tcPr>
            <w:tcW w:w="1126" w:type="dxa"/>
            <w:gridSpan w:val="3"/>
            <w:tcBorders>
              <w:top w:val="single" w:sz="4" w:space="0" w:color="93959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 xml:space="preserve">Includes 1,725,917 shares of our common stock available for issuance in connection with future awards under the 2023 Plan and 1,725,384 shares of our common stock available for future issuance under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25170"/>
                <wp:effectExtent l="0" t="0" r="0" b="0"/>
                <wp:wrapNone/>
                <wp:docPr id="143" name="Frame58"/>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Certain Relationships and Related Party Transactions</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Related Party Transaction Policy</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have a written policy on authorizations, the Related Party Transactions Policy, which includes specific provisions for related party transactions. Pursuant to the Related Party Transactions Policy, related party transactions include any transaction, arrangement or relationship, or series of such transactions, including any indebtedness or guarantees, in which the amount involved exceeds $120,000 and in which any of our directors, named executive officers, holders of more than 5% of any class of our voting securities, or any member of the immediate family of any of the foregoing persons, had or will have a direct or indirect material interest. In the event that a related party transaction is identified, such transaction must be reported to our Corporate Secretary and subsequently must be reviewed and approved or ratified by the chairman of our audit committee or our full audit committee, depending on the amount of the transaction. Any member of the audit committee who is one of the parties in the related party transaction and who has a direct material interest in the transaction may not participate in the approval of the transaction. </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Related Party Transactions</w:t>
      </w:r>
    </w:p>
    <w:p>
      <w:pPr>
        <w:pStyle w:val="TextBody"/>
        <w:bidi w:val="0"/>
        <w:spacing w:lineRule="auto" w:line="312" w:before="120" w:after="120"/>
        <w:jc w:val="left"/>
        <w:rPr/>
      </w:pPr>
      <w:r>
        <w:rPr>
          <w:rFonts w:ascii="ITC Avant Garde Pro Md;sans-serif" w:hAnsi="ITC Avant Garde Pro Md;sans-serif"/>
          <w:b w:val="false"/>
          <w:color w:val="344049"/>
          <w:sz w:val="17"/>
        </w:rPr>
        <w:t xml:space="preserve">During fiscal </w:t>
      </w:r>
      <w:r>
        <w:rPr>
          <w:rFonts w:ascii="ITC Avant Garde Pro Md;sans-serif" w:hAnsi="ITC Avant Garde Pro Md;sans-serif"/>
          <w:b w:val="false"/>
          <w:color w:val="313D48"/>
          <w:sz w:val="17"/>
        </w:rPr>
        <w:t>2026</w:t>
      </w:r>
      <w:r>
        <w:rPr>
          <w:rFonts w:ascii="ITC Avant Garde Pro Md;sans-serif" w:hAnsi="ITC Avant Garde Pro Md;sans-serif"/>
          <w:b w:val="false"/>
          <w:color w:val="344049"/>
          <w:sz w:val="17"/>
        </w:rPr>
        <w:t xml:space="preserve">, one of our subsidiaries, Blue Marble Payroll, LLC ("Blue Marble"), utilized Payescape Limited ("Payescape"), a private company, to provide Blue Marble with in-country payroll services in the United Kingdom. Mr. Sarowitz is a significant stockholder of Payescape. Blue Marble paid approximately $1,128,000 for services from Payescape in the ordinary course of business during fiscal </w:t>
      </w:r>
      <w:r>
        <w:rPr>
          <w:rFonts w:ascii="ITC Avant Garde Pro Md;sans-serif" w:hAnsi="ITC Avant Garde Pro Md;sans-serif"/>
          <w:b w:val="false"/>
          <w:color w:val="313D48"/>
          <w:sz w:val="17"/>
        </w:rPr>
        <w:t>2026</w:t>
      </w:r>
      <w:r>
        <w:rPr>
          <w:rFonts w:ascii="ITC Avant Garde Pro Md;sans-serif" w:hAnsi="ITC Avant Garde Pro Md;sans-serif"/>
          <w:b w:val="false"/>
          <w:color w:val="344049"/>
          <w:sz w:val="17"/>
        </w:rPr>
        <w:t>.</w:t>
      </w:r>
    </w:p>
    <w:p>
      <w:pPr>
        <w:pStyle w:val="TextBody"/>
        <w:bidi w:val="0"/>
        <w:spacing w:lineRule="auto" w:line="312" w:before="120" w:after="120"/>
        <w:jc w:val="left"/>
        <w:rPr/>
      </w:pPr>
      <w:r>
        <w:rPr>
          <w:rFonts w:ascii="ITC Avant Garde Pro Md;sans-serif" w:hAnsi="ITC Avant Garde Pro Md;sans-serif"/>
          <w:b w:val="false"/>
          <w:color w:val="344049"/>
          <w:sz w:val="17"/>
        </w:rPr>
        <w:t xml:space="preserve">Additionally, we engaged BlackRock Financial Management Inc. to provide investment management services during fiscal </w:t>
      </w:r>
      <w:r>
        <w:rPr>
          <w:rFonts w:ascii="ITC Avant Garde Pro Md;sans-serif" w:hAnsi="ITC Avant Garde Pro Md;sans-serif"/>
          <w:b w:val="false"/>
          <w:color w:val="313D48"/>
          <w:sz w:val="17"/>
        </w:rPr>
        <w:t>2026</w:t>
      </w:r>
      <w:r>
        <w:rPr>
          <w:rFonts w:ascii="ITC Avant Garde Pro Md;sans-serif" w:hAnsi="ITC Avant Garde Pro Md;sans-serif"/>
          <w:b w:val="false"/>
          <w:color w:val="344049"/>
          <w:sz w:val="17"/>
        </w:rPr>
        <w:t xml:space="preserve">. BlackRock Financial Management Inc. is a subsidiary of BlackRock Inc. ("BlackRock"). Based on the most recent Schedule 13G/A filed with the Securities and Exchange Commission, BlackRock beneficially held 7.9% of the Company’s shares as of December 31, 2023. As an investment management firm, BlackRock invests in and holds equities and other financial instruments on behalf of its clients. As stated in the most recent Schedule 13G/A, BlackRock certified that it did not hold or acquire shares of Paylocity common stock for the purpose of or with the effect of changing or influencing the control of the Company, nor did it do so as a participant in any transaction having that purpose or effect. We consider BlackRock as a related party given it holds a relatively large percentage of our outstanding shares of common stock, and it also serves as a Paylocity vendor. During fiscal </w:t>
      </w:r>
      <w:r>
        <w:rPr>
          <w:rFonts w:ascii="ITC Avant Garde Pro Md;sans-serif" w:hAnsi="ITC Avant Garde Pro Md;sans-serif"/>
          <w:b w:val="false"/>
          <w:color w:val="313D48"/>
          <w:sz w:val="17"/>
        </w:rPr>
        <w:t>2026</w:t>
      </w:r>
      <w:r>
        <w:rPr>
          <w:rFonts w:ascii="ITC Avant Garde Pro Md;sans-serif" w:hAnsi="ITC Avant Garde Pro Md;sans-serif"/>
          <w:b w:val="false"/>
          <w:color w:val="344049"/>
          <w:sz w:val="17"/>
        </w:rPr>
        <w:t>, we paid approximately $326,000 for services from BlackRock in the ordinary course of business.</w:t>
      </w:r>
    </w:p>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After reviewing these arrangements in accordance with our Related Party Transactions Policy, the audit committee unanimously approved the related party transactions with Payescape and BlackRock after determining that such transactions were fair to and in the best interests of Paylocity and its stockholders.</w:t>
      </w:r>
    </w:p>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Besides the items noted above, there has not been, nor is there currently proposed, any transaction or series of similar transactions to which we were or are a party in which the amount involved exceeded or exceeds $120,000 and in which any of our directors, named executive officers, holders of more than 5% of any class of our voting securities, or any member of the immediate family of any of the foregoing persons, had or will have a direct or indirect material interest, except for the compensation and other arrangements described in “Compensation of Named Executive Officers” and “Corporate Governance—Compensation of Directors” elsewhere in this Proxy Statement and the transactions described below.</w:t>
      </w:r>
    </w:p>
    <w:p>
      <w:pPr>
        <w:pStyle w:val="TextBody"/>
        <w:bidi w:val="0"/>
        <w:spacing w:lineRule="auto" w:line="288" w:before="200" w:after="200"/>
        <w:jc w:val="left"/>
        <w:rPr>
          <w:rFonts w:ascii="ITC Avant Garde Pro Bk;sans-serif" w:hAnsi="ITC Avant Garde Pro Bk;sans-serif"/>
          <w:b/>
          <w:color w:val="313D48"/>
          <w:sz w:val="28"/>
        </w:rPr>
      </w:pPr>
      <w:r>
        <w:rPr>
          <w:rFonts w:ascii="ITC Avant Garde Pro Bk;sans-serif" w:hAnsi="ITC Avant Garde Pro Bk;sans-serif"/>
          <w:b/>
          <w:color w:val="313D48"/>
          <w:sz w:val="28"/>
        </w:rPr>
        <w:t>Investor Rights Agreement</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 rights, with respect to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28650"/>
                <wp:effectExtent l="0" t="0" r="0" b="0"/>
                <wp:wrapNone/>
                <wp:docPr id="144"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Security Ownership of Certain Beneficial Owners and Management</w:t>
      </w:r>
    </w:p>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The following table sets forth information with respect to the beneficial ownership of our common stock as of September 30, 2026 by the following:</w:t>
      </w:r>
    </w:p>
    <w:p>
      <w:pPr>
        <w:pStyle w:val="TextBody"/>
        <w:bidi w:val="0"/>
        <w:spacing w:lineRule="auto" w:line="312" w:before="80" w:after="80"/>
        <w:ind w:left="0" w:right="0" w:hanging="216"/>
        <w:jc w:val="left"/>
        <w:rPr/>
      </w:pPr>
      <w:r>
        <w:rPr>
          <w:color w:val="EE2626"/>
        </w:rPr>
        <w:t>•</w:t>
      </w:r>
      <w:r>
        <w:rPr>
          <w:rFonts w:ascii="ITC Avant Garde Pro Md;sans-serif" w:hAnsi="ITC Avant Garde Pro Md;sans-serif"/>
          <w:b w:val="false"/>
          <w:color w:val="344049"/>
          <w:sz w:val="17"/>
        </w:rPr>
        <w:t>each stockholder, or group of affiliated stockholders, who we know beneficially owns more than 5% of the outstanding shares of our common stock;</w:t>
      </w:r>
    </w:p>
    <w:p>
      <w:pPr>
        <w:pStyle w:val="TextBody"/>
        <w:bidi w:val="0"/>
        <w:spacing w:lineRule="auto" w:line="312" w:before="80" w:after="80"/>
        <w:ind w:left="0" w:right="0" w:hanging="216"/>
        <w:jc w:val="left"/>
        <w:rPr/>
      </w:pPr>
      <w:r>
        <w:rPr>
          <w:color w:val="EE2626"/>
        </w:rPr>
        <w:t>•</w:t>
      </w:r>
      <w:r>
        <w:rPr>
          <w:rFonts w:ascii="ITC Avant Garde Pro Md;sans-serif" w:hAnsi="ITC Avant Garde Pro Md;sans-serif"/>
          <w:b w:val="false"/>
          <w:color w:val="344049"/>
          <w:sz w:val="17"/>
        </w:rPr>
        <w:t>each of our named executive officers;</w:t>
      </w:r>
    </w:p>
    <w:p>
      <w:pPr>
        <w:pStyle w:val="TextBody"/>
        <w:bidi w:val="0"/>
        <w:spacing w:lineRule="auto" w:line="312" w:before="80" w:after="80"/>
        <w:ind w:left="0" w:right="0" w:hanging="216"/>
        <w:jc w:val="left"/>
        <w:rPr/>
      </w:pPr>
      <w:r>
        <w:rPr>
          <w:color w:val="EE2626"/>
        </w:rPr>
        <w:t>•</w:t>
      </w:r>
      <w:r>
        <w:rPr>
          <w:rFonts w:ascii="ITC Avant Garde Pro Md;sans-serif" w:hAnsi="ITC Avant Garde Pro Md;sans-serif"/>
          <w:b w:val="false"/>
          <w:color w:val="344049"/>
          <w:sz w:val="17"/>
        </w:rPr>
        <w:t>each of our current directors; and</w:t>
      </w:r>
    </w:p>
    <w:p>
      <w:pPr>
        <w:pStyle w:val="TextBody"/>
        <w:bidi w:val="0"/>
        <w:spacing w:lineRule="auto" w:line="312" w:before="80" w:after="80"/>
        <w:ind w:left="0" w:right="0" w:hanging="216"/>
        <w:jc w:val="left"/>
        <w:rPr/>
      </w:pPr>
      <w:r>
        <w:rPr>
          <w:color w:val="EE2626"/>
        </w:rPr>
        <w:t>•</w:t>
      </w:r>
      <w:r>
        <w:rPr>
          <w:rFonts w:ascii="ITC Avant Garde Pro Md;sans-serif" w:hAnsi="ITC Avant Garde Pro Md;sans-serif"/>
          <w:b w:val="false"/>
          <w:color w:val="344049"/>
          <w:sz w:val="17"/>
        </w:rPr>
        <w:t>all of our current directors and current executive officers as a group.</w:t>
      </w:r>
    </w:p>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Beneficial ownership of shares is determined under the rules of the SEC and generally includes any shares over which a person exercises sole or shared voting or investment power and shares which may be acquired within 60 days.</w:t>
      </w:r>
    </w:p>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Applicable percentage ownership in the following table is based on 52,306,582 shares of common stock outstanding as of September 30, 2026. Shares of common stock subject to options exercisable and RSU awards vesting within 60 days of September 30, 2026 are deemed to be outstanding for calculating the number and percentage of outstanding shares of the person holding such options and RSU awards but are not deemed to be outstanding for calculating the percentage ownership of any other person. Beneficial ownership or voting power representing less than 1% is denoted with an asterisk (*).</w:t>
      </w:r>
    </w:p>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Shares shown in the table below include shares held in the beneficial owner’s name or jointly with others, or in the name of a bank, nominee or trustee for the beneficial owner’s account. Unless otherwise indicated and subject to applicable community property laws, to our knowledge, each stockholder named in the following table possesses sole voting and investment power over the shares listed, except for those jointly owned with that person’s spouse.</w:t>
      </w:r>
    </w:p>
    <w:p>
      <w:pPr>
        <w:pStyle w:val="TextBody"/>
        <w:bidi w:val="0"/>
        <w:spacing w:lineRule="auto" w:line="312" w:before="120" w:after="120"/>
        <w:jc w:val="left"/>
        <w:rPr>
          <w:rFonts w:ascii="ITC Avant Garde Pro Md;sans-serif" w:hAnsi="ITC Avant Garde Pro Md;sans-serif"/>
          <w:b w:val="false"/>
          <w:color w:val="344049"/>
          <w:sz w:val="17"/>
        </w:rPr>
      </w:pPr>
      <w:r>
        <w:rPr>
          <w:rFonts w:ascii="ITC Avant Garde Pro Md;sans-serif" w:hAnsi="ITC Avant Garde Pro Md;sans-serif"/>
          <w:b w:val="false"/>
          <w:color w:val="344049"/>
          <w:sz w:val="17"/>
        </w:rPr>
        <w:t>Unless otherwise noted below, the address of each person listed on the table is c/o Paylocity Holding Corporation, 1400 American Lane, Schaumburg, Illinois 60173.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25170"/>
                <wp:effectExtent l="0" t="0" r="0" b="0"/>
                <wp:wrapNone/>
                <wp:docPr id="145" name="Frame60"/>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58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Security Ownership of Certain Beneficial Owners and Management</w:t>
      </w:r>
    </w:p>
    <w:tbl>
      <w:tblPr>
        <w:tblW w:w="9717" w:type="dxa"/>
        <w:jc w:val="left"/>
        <w:tblInd w:w="0" w:type="dxa"/>
        <w:tblLayout w:type="fixed"/>
        <w:tblCellMar>
          <w:top w:w="28" w:type="dxa"/>
          <w:left w:w="28" w:type="dxa"/>
          <w:bottom w:w="28" w:type="dxa"/>
          <w:right w:w="28" w:type="dxa"/>
        </w:tblCellMar>
      </w:tblPr>
      <w:tblGrid>
        <w:gridCol w:w="1907"/>
        <w:gridCol w:w="1675"/>
        <w:gridCol w:w="1682"/>
        <w:gridCol w:w="694"/>
        <w:gridCol w:w="694"/>
        <w:gridCol w:w="696"/>
        <w:gridCol w:w="497"/>
        <w:gridCol w:w="497"/>
        <w:gridCol w:w="1375"/>
      </w:tblGrid>
      <w:tr>
        <w:trPr/>
        <w:tc>
          <w:tcPr>
            <w:tcW w:w="190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44049"/>
                <w:sz w:val="16"/>
              </w:rPr>
            </w:pPr>
            <w:r>
              <w:rPr>
                <w:rFonts w:ascii="ITC Avant Garde Pro Bk;sans-serif" w:hAnsi="ITC Avant Garde Pro Bk;sans-serif"/>
                <w:b/>
                <w:color w:val="344049"/>
                <w:sz w:val="16"/>
              </w:rPr>
              <w:t>Name of Beneficial Owner</w:t>
            </w:r>
          </w:p>
        </w:tc>
        <w:tc>
          <w:tcPr>
            <w:tcW w:w="208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44049"/>
                <w:sz w:val="16"/>
              </w:rPr>
            </w:pPr>
            <w:r>
              <w:rPr>
                <w:rFonts w:ascii="ITC Avant Garde Pro Bk;sans-serif" w:hAnsi="ITC Avant Garde Pro Bk;sans-serif"/>
                <w:b/>
                <w:color w:val="344049"/>
                <w:sz w:val="16"/>
              </w:rPr>
              <w:t xml:space="preserve">Number of Shares of </w:t>
              <w:br/>
              <w:t>Common Stock</w:t>
            </w:r>
          </w:p>
        </w:tc>
        <w:tc>
          <w:tcPr>
            <w:tcW w:w="236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44049"/>
                <w:sz w:val="16"/>
              </w:rPr>
            </w:pPr>
            <w:r>
              <w:rPr>
                <w:rFonts w:ascii="ITC Avant Garde Pro Bk;sans-serif" w:hAnsi="ITC Avant Garde Pro Bk;sans-serif"/>
                <w:b/>
                <w:color w:val="344049"/>
                <w:sz w:val="16"/>
              </w:rPr>
              <w:t xml:space="preserve">Percentage of Common </w:t>
              <w:br/>
              <w:t>Stock Owned</w:t>
            </w:r>
          </w:p>
        </w:tc>
      </w:tr>
      <w:tr>
        <w:trPr/>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44049"/>
                <w:sz w:val="17"/>
              </w:rPr>
            </w:pPr>
            <w:r>
              <w:rPr>
                <w:rFonts w:ascii="ITC Avant Garde Pro Bk;sans-serif" w:hAnsi="ITC Avant Garde Pro Bk;sans-serif"/>
                <w:b/>
                <w:color w:val="344049"/>
                <w:sz w:val="17"/>
              </w:rPr>
              <w:t>5% Stockholders:</w:t>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44049"/>
                <w:sz w:val="17"/>
              </w:rPr>
              <w:t>BlackRock, Inc.</w:t>
            </w:r>
            <w:r>
              <w:rPr>
                <w:rFonts w:ascii="ITC Avant Garde Pro Md;sans-serif" w:hAnsi="ITC Avant Garde Pro Md;sans-serif"/>
                <w:b w:val="false"/>
                <w:color w:val="344049"/>
                <w:sz w:val="11"/>
              </w:rPr>
              <w:t>(1)</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4,419,128 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8.4 </w:t>
            </w:r>
          </w:p>
        </w:tc>
        <w:tc>
          <w:tcPr>
            <w:tcW w:w="1375"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44049"/>
                <w:sz w:val="17"/>
              </w:rPr>
              <w:t>T. Rowe Price Investment Management, Inc.</w:t>
            </w:r>
            <w:r>
              <w:rPr>
                <w:rFonts w:ascii="ITC Avant Garde Pro Md;sans-serif" w:hAnsi="ITC Avant Garde Pro Md;sans-serif"/>
                <w:b w:val="false"/>
                <w:color w:val="344049"/>
                <w:sz w:val="11"/>
              </w:rPr>
              <w:t>(2)</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3,105,531 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5.9 </w:t>
            </w:r>
          </w:p>
        </w:tc>
        <w:tc>
          <w:tcPr>
            <w:tcW w:w="1375"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E48"/>
                <w:sz w:val="17"/>
              </w:rPr>
            </w:pPr>
            <w:r>
              <w:rPr>
                <w:rFonts w:ascii="ITC Avant Garde Pro Bk;sans-serif" w:hAnsi="ITC Avant Garde Pro Bk;sans-serif"/>
                <w:b/>
                <w:color w:val="313E48"/>
                <w:sz w:val="17"/>
              </w:rPr>
              <w:t>Named Executive Officers and Directors:</w:t>
            </w:r>
          </w:p>
        </w:tc>
        <w:tc>
          <w:tcPr>
            <w:tcW w:w="2084"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Steven I. Sarowitz</w:t>
            </w:r>
            <w:r>
              <w:rPr>
                <w:rFonts w:ascii="ITC Avant Garde Pro Bk;sans-serif" w:hAnsi="ITC Avant Garde Pro Bk;sans-serif"/>
                <w:b/>
                <w:color w:val="313D48"/>
                <w:sz w:val="11"/>
              </w:rPr>
              <w:t>(3)</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8,363,216 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16.0 </w:t>
            </w:r>
          </w:p>
        </w:tc>
        <w:tc>
          <w:tcPr>
            <w:tcW w:w="1375"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Steven R. Beauchamp</w:t>
            </w:r>
            <w:r>
              <w:rPr>
                <w:rFonts w:ascii="ITC Avant Garde Pro Bk;sans-serif" w:hAnsi="ITC Avant Garde Pro Bk;sans-serif"/>
                <w:b/>
                <w:color w:val="313D48"/>
                <w:sz w:val="11"/>
              </w:rPr>
              <w:t>(4)</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1,891,717 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3.6 </w:t>
            </w:r>
          </w:p>
        </w:tc>
        <w:tc>
          <w:tcPr>
            <w:tcW w:w="1375"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Toby J. Williams</w:t>
            </w:r>
            <w:r>
              <w:rPr>
                <w:rFonts w:ascii="ITC Avant Garde Pro Bk;sans-serif" w:hAnsi="ITC Avant Garde Pro Bk;sans-serif"/>
                <w:b/>
                <w:color w:val="313D48"/>
                <w:sz w:val="11"/>
              </w:rPr>
              <w:t>(5)</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117,312 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0.2 </w:t>
            </w:r>
          </w:p>
        </w:tc>
        <w:tc>
          <w:tcPr>
            <w:tcW w:w="1375" w:type="dxa"/>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Ryan Glenn</w:t>
            </w:r>
            <w:r>
              <w:rPr>
                <w:rFonts w:ascii="ITC Avant Garde Pro Bk;sans-serif" w:hAnsi="ITC Avant Garde Pro Bk;sans-serif"/>
                <w:b/>
                <w:color w:val="313D48"/>
                <w:sz w:val="11"/>
              </w:rPr>
              <w:t>(6)</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30,821 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Andres D. Reiner</w:t>
            </w:r>
            <w:r>
              <w:rPr>
                <w:rFonts w:ascii="ITC Avant Garde Pro Bk;sans-serif" w:hAnsi="ITC Avant Garde Pro Bk;sans-serif"/>
                <w:b/>
                <w:color w:val="313D48"/>
                <w:sz w:val="11"/>
              </w:rPr>
              <w:t>(7)</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28,938 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Joshua Scutt</w:t>
            </w:r>
            <w:r>
              <w:rPr>
                <w:rFonts w:ascii="ITC Avant Garde Pro Bk;sans-serif" w:hAnsi="ITC Avant Garde Pro Bk;sans-serif"/>
                <w:b/>
                <w:color w:val="313D48"/>
                <w:sz w:val="11"/>
              </w:rPr>
              <w:t>(8)</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17,881 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Melissa King</w:t>
            </w:r>
            <w:r>
              <w:rPr>
                <w:rFonts w:ascii="ITC Avant Garde Pro Bk;sans-serif" w:hAnsi="ITC Avant Garde Pro Bk;sans-serif"/>
                <w:b/>
                <w:color w:val="313D48"/>
                <w:sz w:val="11"/>
              </w:rPr>
              <w:t>(9)</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11,164 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Virginia G. Breen</w:t>
            </w:r>
            <w:r>
              <w:rPr>
                <w:rFonts w:ascii="ITC Avant Garde Pro Bk;sans-serif" w:hAnsi="ITC Avant Garde Pro Bk;sans-serif"/>
                <w:b/>
                <w:color w:val="313D48"/>
                <w:sz w:val="11"/>
              </w:rPr>
              <w:t>(10)</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10,846 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Ronald V. Waters III</w:t>
            </w:r>
            <w:r>
              <w:rPr>
                <w:rFonts w:ascii="ITC Avant Garde Pro Bk;sans-serif" w:hAnsi="ITC Avant Garde Pro Bk;sans-serif"/>
                <w:b/>
                <w:color w:val="313D48"/>
                <w:sz w:val="11"/>
              </w:rPr>
              <w:t>(11)</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9,985 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Robin L. Pederson</w:t>
            </w:r>
            <w:r>
              <w:rPr>
                <w:rFonts w:ascii="ITC Avant Garde Pro Bk;sans-serif" w:hAnsi="ITC Avant Garde Pro Bk;sans-serif"/>
                <w:b/>
                <w:color w:val="313D48"/>
                <w:sz w:val="11"/>
              </w:rPr>
              <w:t>(12)</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7,544 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Kenneth B. Robinson</w:t>
            </w:r>
            <w:r>
              <w:rPr>
                <w:rFonts w:ascii="ITC Avant Garde Pro Bk;sans-serif" w:hAnsi="ITC Avant Garde Pro Bk;sans-serif"/>
                <w:b/>
                <w:color w:val="313D48"/>
                <w:sz w:val="11"/>
              </w:rPr>
              <w:t>(13)</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5,090 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Linda M. Breard</w:t>
            </w:r>
            <w:r>
              <w:rPr>
                <w:rFonts w:ascii="ITC Avant Garde Pro Bk;sans-serif" w:hAnsi="ITC Avant Garde Pro Bk;sans-serif"/>
                <w:b/>
                <w:color w:val="313D48"/>
                <w:sz w:val="11"/>
              </w:rPr>
              <w:t>(14)</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4,078 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Andrew Cappotelli</w:t>
            </w:r>
            <w:r>
              <w:rPr>
                <w:rFonts w:ascii="ITC Avant Garde Pro Bk;sans-serif" w:hAnsi="ITC Avant Garde Pro Bk;sans-serif"/>
                <w:b/>
                <w:color w:val="313D48"/>
                <w:sz w:val="11"/>
              </w:rPr>
              <w:t>(15)</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3,406 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Craig A. Conway</w:t>
            </w:r>
            <w:r>
              <w:rPr>
                <w:rFonts w:ascii="ITC Avant Garde Pro Bk;sans-serif" w:hAnsi="ITC Avant Garde Pro Bk;sans-serif"/>
                <w:b/>
                <w:color w:val="313D48"/>
                <w:sz w:val="11"/>
              </w:rPr>
              <w:t>(16)</w:t>
            </w:r>
          </w:p>
        </w:tc>
        <w:tc>
          <w:tcPr>
            <w:tcW w:w="13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552 </w:t>
            </w:r>
          </w:p>
        </w:tc>
        <w:tc>
          <w:tcPr>
            <w:tcW w:w="6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r>
        <w:trPr/>
        <w:tc>
          <w:tcPr>
            <w:tcW w:w="5264"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E48"/>
                <w:sz w:val="17"/>
              </w:rPr>
              <w:t>All executive officers and directors as a group (15 persons)</w:t>
            </w:r>
            <w:r>
              <w:rPr>
                <w:rFonts w:ascii="ITC Avant Garde Pro Md;sans-serif" w:hAnsi="ITC Avant Garde Pro Md;sans-serif"/>
                <w:b w:val="false"/>
                <w:color w:val="313E48"/>
                <w:sz w:val="11"/>
              </w:rPr>
              <w:t>(17)</w:t>
            </w:r>
          </w:p>
        </w:tc>
        <w:tc>
          <w:tcPr>
            <w:tcW w:w="1388" w:type="dxa"/>
            <w:gridSpan w:val="2"/>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10,503,733 </w:t>
            </w:r>
          </w:p>
        </w:tc>
        <w:tc>
          <w:tcPr>
            <w:tcW w:w="696"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20.1 </w:t>
            </w:r>
          </w:p>
        </w:tc>
        <w:tc>
          <w:tcPr>
            <w:tcW w:w="1375"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w:t>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 xml:space="preserve">Based on information contained in Amendment No. 4 to a Schedule 13G filed by BlackRock, Inc. (“BlackRock”) on January 26, 2024, BlackRock had sole voting power over 4,200,342 shares of common stock and sole dispositive power over 4,419,128 shares of common stock. BlackRock is located at 55 East 52nd Street, New York, NY 10055.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Based on information contained in Amendment No. 2 to a Schedule 13G filed by T. Rowe Price Investment Management, Inc. (“T. Rowe Price Investment”) on August 14, 2026, T. Rowe Price Investment (i) had sole voting power over 3,094,505 shares of common stock and sole dispositive power over 3,105,531 shares of common stock. T. Rowe Price Investment is located at 100 East Pratt Street, Baltimore, MD 21202.</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(3)</w:t>
      </w:r>
      <w:r>
        <w:rPr>
          <w:rFonts w:ascii="ITC Avant Garde Pro Md;sans-serif" w:hAnsi="ITC Avant Garde Pro Md;sans-serif"/>
          <w:b w:val="false"/>
          <w:color w:val="313D48"/>
          <w:sz w:val="16"/>
        </w:rPr>
        <w:t>Includes 552 shares issuable upon vesting of restricted stock units within 60 days of September 30, 2026 and 3,916,476 shares held by the Jessica P. Sarowitz Declaration of Trust for the benefit of Mr. Sarowitz's spouse. Mr. Sarowitz is our founder and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(4)</w:t>
      </w:r>
      <w:r>
        <w:rPr>
          <w:rFonts w:ascii="ITC Avant Garde Pro Md;sans-serif" w:hAnsi="ITC Avant Garde Pro Md;sans-serif"/>
          <w:b w:val="false"/>
          <w:color w:val="313D48"/>
          <w:sz w:val="16"/>
        </w:rPr>
        <w:t>Includes 3,687 shares issuable upon vesting of restricted stock units, in each case within 60 days of September 30, 2026, 235,000 shares held by the IRIE Family Trust where Mr. Beauchamp’s spouse is the trustee, 15,800 shares held by the IRIE Foundation, 220,000 shares held by SRB 2025 GRAT, and 194,926 shares held by Gotham Triple Advantage Strategy LP, where Mr. Beauchamp owns a 99% limited partner interest and retains investment control over the shares held. Mr. Beauchamp is our Executive Chairman and is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(5)</w:t>
      </w:r>
      <w:r>
        <w:rPr>
          <w:rFonts w:ascii="ITC Avant Garde Pro Md;sans-serif" w:hAnsi="ITC Avant Garde Pro Md;sans-serif"/>
          <w:b w:val="false"/>
          <w:color w:val="313D48"/>
          <w:sz w:val="16"/>
        </w:rPr>
        <w:t>Includes 21,451 shares issuable upon vesting of restricted stock units within 60 days of September 30, 2026. Mr. Williams is our President and Chief Executive Officer and is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(6)</w:t>
      </w:r>
      <w:r>
        <w:rPr>
          <w:rFonts w:ascii="ITC Avant Garde Pro Md;sans-serif" w:hAnsi="ITC Avant Garde Pro Md;sans-serif"/>
          <w:b w:val="false"/>
          <w:color w:val="313D48"/>
          <w:sz w:val="16"/>
        </w:rPr>
        <w:t>Includes 8,476 shares issuable upon the vesting of restricted stock units within 60 days of September 30, 2026. Mr. Glenn is our Chief Financial Officer.</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(7)</w:t>
      </w:r>
      <w:r>
        <w:rPr>
          <w:rFonts w:ascii="ITC Avant Garde Pro Md;sans-serif" w:hAnsi="ITC Avant Garde Pro Md;sans-serif"/>
          <w:b w:val="false"/>
          <w:color w:val="313D48"/>
          <w:sz w:val="16"/>
        </w:rPr>
        <w:t>Includes 552 shares issuable upon the vesting of restricted stock units within 60 days of September 30, 2026. Mr. Reiner is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(8)</w:t>
      </w:r>
      <w:r>
        <w:rPr>
          <w:rFonts w:ascii="ITC Avant Garde Pro Md;sans-serif" w:hAnsi="ITC Avant Garde Pro Md;sans-serif"/>
          <w:b w:val="false"/>
          <w:color w:val="313D48"/>
          <w:sz w:val="16"/>
        </w:rPr>
        <w:t>Includes 5,237 shares issuable upon the vesting of restricted stock units within 60 days of September 30, 2026. Mr. Scutt is our Senior Vice President of Sales and Marketing and Chief Sales Officer.</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(9)</w:t>
      </w:r>
      <w:r>
        <w:rPr>
          <w:rFonts w:ascii="ITC Avant Garde Pro Md;sans-serif" w:hAnsi="ITC Avant Garde Pro Md;sans-serif"/>
          <w:b w:val="false"/>
          <w:color w:val="313D48"/>
          <w:sz w:val="16"/>
        </w:rPr>
        <w:t>Includes 2,951 shares issuable upon the vesting of restricted stock units within 60 days of September 30, 2026. Ms. King is our Senior Vice President of Product and Technology and Chief Product Technology Officer.</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(10)</w:t>
      </w:r>
      <w:r>
        <w:rPr>
          <w:rFonts w:ascii="ITC Avant Garde Pro Md;sans-serif" w:hAnsi="ITC Avant Garde Pro Md;sans-serif"/>
          <w:b w:val="false"/>
          <w:color w:val="313D48"/>
          <w:sz w:val="16"/>
        </w:rPr>
        <w:t>Includes 552 shares issuable upon the vesting of restricted stock units within 60 days of September 30, 2026. Ms. Breen is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(11)</w:t>
      </w:r>
      <w:r>
        <w:rPr>
          <w:rFonts w:ascii="ITC Avant Garde Pro Md;sans-serif" w:hAnsi="ITC Avant Garde Pro Md;sans-serif"/>
          <w:b w:val="false"/>
          <w:color w:val="313D48"/>
          <w:sz w:val="16"/>
        </w:rPr>
        <w:t>Includes 552 shares issuable upon the vesting of restricted stock units within 60 days of September 30, 2026. Mr. Waters is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(12)</w:t>
      </w:r>
      <w:r>
        <w:rPr>
          <w:rFonts w:ascii="ITC Avant Garde Pro Md;sans-serif" w:hAnsi="ITC Avant Garde Pro Md;sans-serif"/>
          <w:b w:val="false"/>
          <w:color w:val="313D48"/>
          <w:sz w:val="16"/>
        </w:rPr>
        <w:t>Includes 552 shares issuable upon the vesting of restricted stock units within 60 days of September 30, 2026. Mr. Pederson is a member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28650"/>
                <wp:effectExtent l="0" t="0" r="0" b="0"/>
                <wp:wrapNone/>
                <wp:docPr id="146" name="Frame6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Security Ownership of Certain Beneficial Owners and Management</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(13)</w:t>
      </w:r>
      <w:r>
        <w:rPr>
          <w:rFonts w:ascii="ITC Avant Garde Pro Md;sans-serif" w:hAnsi="ITC Avant Garde Pro Md;sans-serif"/>
          <w:b w:val="false"/>
          <w:color w:val="313D48"/>
          <w:sz w:val="16"/>
        </w:rPr>
        <w:t>Includes 552 shares issuable upon the vesting of restricted stock units within 60 days of September 30, 2026. Mr. Robinson is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(14)</w:t>
      </w:r>
      <w:r>
        <w:rPr>
          <w:rFonts w:ascii="ITC Avant Garde Pro Md;sans-serif" w:hAnsi="ITC Avant Garde Pro Md;sans-serif"/>
          <w:b w:val="false"/>
          <w:color w:val="313D48"/>
          <w:sz w:val="16"/>
        </w:rPr>
        <w:t>Includes 552 shares issuable upon the vesting of restricted stock units within 60 days of September 30, 2026. Ms. Breard is a member of our board of directors.</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(15)</w:t>
      </w:r>
      <w:r>
        <w:rPr>
          <w:rFonts w:ascii="ITC Avant Garde Pro Md;sans-serif" w:hAnsi="ITC Avant Garde Pro Md;sans-serif"/>
          <w:b w:val="false"/>
          <w:color w:val="313D48"/>
          <w:sz w:val="16"/>
        </w:rPr>
        <w:t xml:space="preserve">Includes 3,406 shares issuable upon the vesting of restricted stock units within 60 days of September 30, 2026. Mr. Cappotelli is our Senior Vice President of Operations and Chief Client Officer.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(16)</w:t>
      </w:r>
      <w:r>
        <w:rPr>
          <w:rFonts w:ascii="ITC Avant Garde Pro Md;sans-serif" w:hAnsi="ITC Avant Garde Pro Md;sans-serif"/>
          <w:b w:val="false"/>
          <w:color w:val="313D48"/>
          <w:sz w:val="16"/>
        </w:rPr>
        <w:t xml:space="preserve">Includes 552 shares issuable upon the vesting of restricted stock units within 60 days of September 30, 2026. Mr. Conway is a member of our board of directors. </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(17)</w:t>
      </w:r>
      <w:r>
        <w:rPr>
          <w:rFonts w:ascii="ITC Avant Garde Pro Md;sans-serif" w:hAnsi="ITC Avant Garde Pro Md;sans-serif"/>
          <w:b w:val="false"/>
          <w:color w:val="313D48"/>
          <w:sz w:val="16"/>
        </w:rPr>
        <w:t>Includes 50,807 shares issuable upon the vesting of restricted stock units, in each case within 60 days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25170"/>
                <wp:effectExtent l="0" t="0" r="0" b="0"/>
                <wp:wrapNone/>
                <wp:docPr id="147" name="Frame6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Delinquent Section 16(a) Reports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Section 16(a) of the Exchange Act requires our executive officers and directors and persons who beneficially own more than 10% of our common stock to file initial reports of beneficial ownership and reports of changes in beneficial ownership with the SEC. Such persons are required by SEC regulations to furnish us with copies of all Section 16(a) forms filed by such person.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Based solely on our review of such forms and written representations from certain reporting persons, we believe that each of our executive officers, directors and greater-than-10% stockholders complied with all such filing requirements during the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28650"/>
                <wp:effectExtent l="0" t="0" r="0" b="0"/>
                <wp:wrapNone/>
                <wp:docPr id="148" name="Frame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10"/>
        <w:jc w:val="left"/>
        <w:rPr/>
      </w:pPr>
      <w:r>
        <w:rPr/>
        <w:drawing>
          <wp:inline distT="0" distB="0" distL="0" distR="0">
            <wp:extent cx="714375" cy="104775"/>
            <wp:effectExtent l="0" t="0" r="0" b="0"/>
            <wp:docPr id="14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6" descr=""/>
                    <pic:cNvPicPr>
                      <a:picLocks noChangeAspect="1" noChangeArrowheads="1"/>
                    </pic:cNvPicPr>
                  </pic:nvPicPr>
                  <pic:blipFill>
                    <a:blip r:embed="rId87"/>
                    <a:stretch>
                      <a:fillRect/>
                    </a:stretch>
                  </pic:blipFill>
                  <pic:spPr bwMode="auto">
                    <a:xfrm>
                      <a:off x="0" y="0"/>
                      <a:ext cx="714375" cy="104775"/>
                    </a:xfrm>
                    <a:prstGeom prst="rect">
                      <a:avLst/>
                    </a:prstGeom>
                  </pic:spPr>
                </pic:pic>
              </a:graphicData>
            </a:graphic>
          </wp:inline>
        </w:drawing>
      </w:r>
      <w:bookmarkStart w:id="85" w:name="i-86"/>
      <w:bookmarkEnd w:id="85"/>
    </w:p>
    <w:p>
      <w:pPr>
        <w:pStyle w:val="TextBody"/>
        <w:bidi w:val="0"/>
        <w:spacing w:lineRule="auto" w:line="312" w:before="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Proposal No. 3 Advisory Vote to Approve the Compensation of Our Named Executive Officers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Section 14A of the Exchange Act entitles our stockholders to vote to approve, on an advisory or nonbinding basis, the compensation of our named executive officers as disclosed in this Proxy Statement. We currently conduct advisory votes on executive compensation annually.</w:t>
      </w:r>
    </w:p>
    <w:p>
      <w:pPr>
        <w:pStyle w:val="TextBody"/>
        <w:bidi w:val="0"/>
        <w:spacing w:lineRule="auto" w:line="312" w:before="120" w:after="120"/>
        <w:jc w:val="left"/>
        <w:rPr/>
      </w:pPr>
      <w:r>
        <w:rPr>
          <w:rFonts w:ascii="ITC Avant Garde Pro Md;sans-serif" w:hAnsi="ITC Avant Garde Pro Md;sans-serif"/>
          <w:b w:val="false"/>
          <w:color w:val="313D48"/>
          <w:sz w:val="17"/>
        </w:rPr>
        <w:t>Our compensation committee and the board of directors believe that our executive compensation program, as described in the section titled “</w:t>
      </w:r>
      <w:r>
        <w:rPr>
          <w:rFonts w:ascii="ITC Avant Garde Pro Md;sans-serif" w:hAnsi="ITC Avant Garde Pro Md;sans-serif"/>
          <w:b w:val="false"/>
          <w:i/>
          <w:color w:val="313D48"/>
          <w:sz w:val="17"/>
        </w:rPr>
        <w:t>Compensation Discussion and Analysis</w:t>
      </w:r>
      <w:r>
        <w:rPr>
          <w:rFonts w:ascii="ITC Avant Garde Pro Md;sans-serif" w:hAnsi="ITC Avant Garde Pro Md;sans-serif"/>
          <w:b w:val="false"/>
          <w:color w:val="313D48"/>
          <w:sz w:val="17"/>
        </w:rPr>
        <w:t>,” the compensation tables and the related narratives reflect our philosophy of linking the compensation of our named executive officers with our performance. Our compensation committee and the board believe that the executive compensation program is reasonable and effective in that it aligns the interests of our named executive officers with both the short-term and long-term interests of our stockholders.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This proposal gives you as a stockholder the opportunity to endorse or not endorse our executive compensation program through the following resolution:</w:t>
      </w:r>
    </w:p>
    <w:p>
      <w:pPr>
        <w:pStyle w:val="TextBody"/>
        <w:bidi w:val="0"/>
        <w:spacing w:lineRule="auto" w:line="312" w:before="120" w:after="120"/>
        <w:jc w:val="left"/>
        <w:rPr/>
      </w:pPr>
      <w:r>
        <w:rPr>
          <w:color w:val="313D48"/>
        </w:rPr>
        <w:t>“</w:t>
      </w:r>
      <w:r>
        <w:rPr>
          <w:rFonts w:ascii="ITC Avant Garde Pro Md;sans-serif" w:hAnsi="ITC Avant Garde Pro Md;sans-serif"/>
          <w:b w:val="false"/>
          <w:color w:val="313D48"/>
          <w:sz w:val="17"/>
        </w:rPr>
        <w:t>RESOLVED, that the compensation of our named executive officers, as described in the section titled “</w:t>
      </w:r>
      <w:r>
        <w:rPr>
          <w:rFonts w:ascii="ITC Avant Garde Pro Md;sans-serif" w:hAnsi="ITC Avant Garde Pro Md;sans-serif"/>
          <w:b w:val="false"/>
          <w:i/>
          <w:color w:val="313D48"/>
          <w:sz w:val="17"/>
        </w:rPr>
        <w:t>Compensation Discussion and Analysis</w:t>
      </w:r>
      <w:r>
        <w:rPr>
          <w:rFonts w:ascii="ITC Avant Garde Pro Md;sans-serif" w:hAnsi="ITC Avant Garde Pro Md;sans-serif"/>
          <w:b w:val="false"/>
          <w:color w:val="313D48"/>
          <w:sz w:val="17"/>
        </w:rPr>
        <w:t>,” the compensation tables and the related narratives are hereby approved.”</w:t>
      </w:r>
    </w:p>
    <w:p>
      <w:pPr>
        <w:pStyle w:val="TextBody"/>
        <w:bidi w:val="0"/>
        <w:spacing w:lineRule="auto" w:line="312" w:before="120" w:after="120"/>
        <w:jc w:val="left"/>
        <w:rPr/>
      </w:pPr>
      <w:r>
        <w:rPr>
          <w:rFonts w:ascii="ITC Avant Garde Pro Md;sans-serif" w:hAnsi="ITC Avant Garde Pro Md;sans-serif"/>
          <w:b w:val="false"/>
          <w:color w:val="313D48"/>
          <w:sz w:val="17"/>
        </w:rPr>
        <w:t>Because this vote is advisory, it will not be binding upon the board of directors or our compensation committee. However, our compensation committee will carefully consider the outcome of the vote when determining future executive compensation arrangements. This vote is not intended to address any specific item of compensation, but rather the overall compensation of our named executive officers and the philosophy, policies and practices described in this Proxy Statement. For information on how our compensation committee considered the 2026 advisory vote on executive compensation, see “</w:t>
      </w:r>
      <w:r>
        <w:rPr>
          <w:rFonts w:ascii="ITC Avant Garde Pro Md;sans-serif" w:hAnsi="ITC Avant Garde Pro Md;sans-serif"/>
          <w:b w:val="false"/>
          <w:i/>
          <w:color w:val="313D48"/>
          <w:sz w:val="17"/>
        </w:rPr>
        <w:t xml:space="preserve">Compensation Discussion and Analysis - Response to the </w:t>
      </w:r>
      <w:r>
        <w:rPr>
          <w:rFonts w:ascii="ITC Avant Garde Pro Md;sans-serif" w:hAnsi="ITC Avant Garde Pro Md;sans-serif"/>
          <w:b w:val="false"/>
          <w:color w:val="313D48"/>
          <w:sz w:val="17"/>
        </w:rPr>
        <w:t>2026</w:t>
      </w:r>
      <w:r>
        <w:rPr>
          <w:color w:val="313D48"/>
        </w:rPr>
        <w:t xml:space="preserve"> </w:t>
      </w:r>
      <w:r>
        <w:rPr>
          <w:rFonts w:ascii="ITC Avant Garde Pro Md;sans-serif" w:hAnsi="ITC Avant Garde Pro Md;sans-serif"/>
          <w:b w:val="false"/>
          <w:i/>
          <w:color w:val="313D48"/>
          <w:sz w:val="17"/>
        </w:rPr>
        <w:t>Advisory Vote on Executive Compensation and Future Advisory Vote</w:t>
      </w:r>
      <w:r>
        <w:rPr>
          <w:color w:val="313D48"/>
        </w:rPr>
        <w:t>”</w:t>
      </w:r>
      <w:r>
        <w:rPr>
          <w:rFonts w:ascii="ITC Avant Garde Pro Md;sans-serif" w:hAnsi="ITC Avant Garde Pro Md;sans-serif"/>
          <w:b w:val="false"/>
          <w:color w:val="313D48"/>
          <w:sz w:val="17"/>
        </w:rPr>
        <w:t>.</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Vote Required and Board of Directors Recommendation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affirmative vote of a majority of the voting power of the shares present at the meeting or represented by proxy and entitled to vote on the matter at the annual meeting is required for approval of this proposal. Abstentions will have the effect of a vote “against” this proposal. Broker non-votes will have no effect on the outcome of the vote.</w:t>
      </w:r>
    </w:p>
    <w:tbl>
      <w:tblPr>
        <w:tblW w:w="10205" w:type="dxa"/>
        <w:jc w:val="left"/>
        <w:tblInd w:w="0" w:type="dxa"/>
        <w:tblLayout w:type="fixed"/>
        <w:tblCellMar>
          <w:top w:w="28" w:type="dxa"/>
          <w:left w:w="28" w:type="dxa"/>
          <w:bottom w:w="28" w:type="dxa"/>
          <w:right w:w="28" w:type="dxa"/>
        </w:tblCellMar>
      </w:tblPr>
      <w:tblGrid>
        <w:gridCol w:w="368"/>
        <w:gridCol w:w="323"/>
        <w:gridCol w:w="325"/>
        <w:gridCol w:w="2689"/>
        <w:gridCol w:w="2689"/>
        <w:gridCol w:w="3811"/>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01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81025" cy="581025"/>
                  <wp:effectExtent l="0" t="0" r="0" b="0"/>
                  <wp:docPr id="15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7" descr=""/>
                          <pic:cNvPicPr>
                            <a:picLocks noChangeAspect="1" noChangeArrowheads="1"/>
                          </pic:cNvPicPr>
                        </pic:nvPicPr>
                        <pic:blipFill>
                          <a:blip r:embed="rId88"/>
                          <a:stretch>
                            <a:fillRect/>
                          </a:stretch>
                        </pic:blipFill>
                        <pic:spPr bwMode="auto">
                          <a:xfrm>
                            <a:off x="0" y="0"/>
                            <a:ext cx="581025" cy="581025"/>
                          </a:xfrm>
                          <a:prstGeom prst="rect">
                            <a:avLst/>
                          </a:prstGeom>
                        </pic:spPr>
                      </pic:pic>
                    </a:graphicData>
                  </a:graphic>
                </wp:inline>
              </w:drawing>
            </w:r>
            <w:bookmarkStart w:id="86" w:name="i-87"/>
            <w:bookmarkEnd w:id="86"/>
          </w:p>
        </w:tc>
        <w:tc>
          <w:tcPr>
            <w:tcW w:w="9189"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vMerge w:val="continue"/>
            <w:tcBorders/>
            <w:tcMar>
              <w:top w:w="0" w:type="dxa"/>
              <w:left w:w="0" w:type="dxa"/>
              <w:bottom w:w="0" w:type="dxa"/>
              <w:right w:w="0" w:type="dxa"/>
            </w:tcMar>
            <w:vAlign w:val="center"/>
          </w:tcPr>
          <w:p>
            <w:pPr>
              <w:pStyle w:val="Normal"/>
              <w:bidi w:val="0"/>
              <w:jc w:val="left"/>
              <w:rPr/>
            </w:pPr>
            <w:r>
              <w:rPr/>
            </w:r>
          </w:p>
        </w:tc>
        <w:tc>
          <w:tcPr>
            <w:tcW w:w="9189" w:type="dxa"/>
            <w:gridSpan w:val="3"/>
            <w:tcBorders/>
            <w:shd w:fill="F2F1EB" w:val="clear"/>
            <w:tcMar>
              <w:top w:w="0" w:type="dxa"/>
              <w:left w:w="0" w:type="dxa"/>
              <w:bottom w:w="0" w:type="dxa"/>
              <w:right w:w="0" w:type="dxa"/>
            </w:tcMar>
            <w:vAlign w:val="center"/>
          </w:tcPr>
          <w:p>
            <w:pPr>
              <w:pStyle w:val="TableContents"/>
              <w:bidi w:val="0"/>
              <w:spacing w:lineRule="auto" w:line="312" w:before="120" w:after="120"/>
              <w:jc w:val="left"/>
              <w:rPr/>
            </w:pPr>
            <w:r>
              <w:rPr>
                <w:rFonts w:ascii="ITC Avant Garde Pro Md;sans-serif" w:hAnsi="ITC Avant Garde Pro Md;sans-serif"/>
                <w:b w:val="false"/>
                <w:color w:val="313E48"/>
                <w:sz w:val="17"/>
              </w:rPr>
              <w:t xml:space="preserve">The Board of Directors unanimously recommends that you vote </w:t>
            </w:r>
            <w:r>
              <w:rPr>
                <w:color w:val="344049"/>
              </w:rPr>
              <w:t>“</w:t>
            </w:r>
            <w:r>
              <w:rPr>
                <w:rFonts w:ascii="ITC Avant Garde Pro Md;sans-serif" w:hAnsi="ITC Avant Garde Pro Md;sans-serif"/>
                <w:b/>
                <w:color w:val="EE2626"/>
                <w:sz w:val="17"/>
              </w:rPr>
              <w:t>FOR</w:t>
            </w:r>
            <w:r>
              <w:rPr>
                <w:color w:val="344049"/>
              </w:rPr>
              <w:t xml:space="preserve">” </w:t>
            </w:r>
            <w:r>
              <w:rPr>
                <w:rFonts w:ascii="ITC Avant Garde Pro Md;sans-serif" w:hAnsi="ITC Avant Garde Pro Md;sans-serif"/>
                <w:b w:val="false"/>
                <w:color w:val="313E48"/>
                <w:sz w:val="17"/>
              </w:rPr>
              <w:t>approval of the advisory vote to approve the compensation of our named executive officers.</w:t>
            </w:r>
          </w:p>
        </w:tc>
      </w:tr>
      <w:tr>
        <w:trPr/>
        <w:tc>
          <w:tcPr>
            <w:tcW w:w="1016" w:type="dxa"/>
            <w:gridSpan w:val="3"/>
            <w:vMerge w:val="continue"/>
            <w:tcBorders/>
            <w:tcMar>
              <w:top w:w="0" w:type="dxa"/>
              <w:left w:w="0" w:type="dxa"/>
              <w:bottom w:w="0" w:type="dxa"/>
              <w:right w:w="0" w:type="dxa"/>
            </w:tcMar>
            <w:vAlign w:val="center"/>
          </w:tcPr>
          <w:p>
            <w:pPr>
              <w:pStyle w:val="Normal"/>
              <w:bidi w:val="0"/>
              <w:jc w:val="left"/>
              <w:rPr/>
            </w:pPr>
            <w:r>
              <w:rPr/>
            </w:r>
          </w:p>
        </w:tc>
        <w:tc>
          <w:tcPr>
            <w:tcW w:w="9189" w:type="dxa"/>
            <w:gridSpan w:val="3"/>
            <w:tcBorders/>
            <w:shd w:fill="F2F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25170"/>
                <wp:effectExtent l="0" t="0" r="0" b="0"/>
                <wp:wrapNone/>
                <wp:docPr id="151" name="Frame6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10"/>
        <w:jc w:val="right"/>
        <w:rPr/>
      </w:pPr>
      <w:r>
        <w:rPr/>
        <w:drawing>
          <wp:inline distT="0" distB="0" distL="0" distR="0">
            <wp:extent cx="714375" cy="104775"/>
            <wp:effectExtent l="0" t="0" r="0" b="0"/>
            <wp:docPr id="15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8" descr=""/>
                    <pic:cNvPicPr>
                      <a:picLocks noChangeAspect="1" noChangeArrowheads="1"/>
                    </pic:cNvPicPr>
                  </pic:nvPicPr>
                  <pic:blipFill>
                    <a:blip r:embed="rId89"/>
                    <a:stretch>
                      <a:fillRect/>
                    </a:stretch>
                  </pic:blipFill>
                  <pic:spPr bwMode="auto">
                    <a:xfrm>
                      <a:off x="0" y="0"/>
                      <a:ext cx="714375" cy="104775"/>
                    </a:xfrm>
                    <a:prstGeom prst="rect">
                      <a:avLst/>
                    </a:prstGeom>
                  </pic:spPr>
                </pic:pic>
              </a:graphicData>
            </a:graphic>
          </wp:inline>
        </w:drawing>
      </w:r>
      <w:bookmarkStart w:id="87" w:name="i-88"/>
      <w:bookmarkEnd w:id="87"/>
    </w:p>
    <w:p>
      <w:pPr>
        <w:pStyle w:val="TextBody"/>
        <w:bidi w:val="0"/>
        <w:spacing w:lineRule="auto" w:line="312" w:before="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Proposal No. 4 Approval of the Second Amended and Restated 2023 Equity Incentive Plan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are asking stockholders to approve the second amended and restated 2023 Equity Incentive Plan, or 2023 Plan, which was initially approved by stockholders on November 30, 2023 and most recently amended and restated on December 4, 2025. Our Board, upon the recommendation of the compensation committee of our board of directors, or the Committee, has amended and restated the 2023 Plan, subject to stockholder approval, in order to increase the current share reserve under the 2023 Plan by an additional 1,230,000 shares. Other than these changes, there are no substantive differences between the terms of the 2023 Plan as currently in effect and its terms as proposed to be amended and restated.</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As of our record date, October 6, 2026, 406,867 shares remained available for future grants under the 2023 Plan, a number the Committee and our Board believe is insufficient to meet our future needs. The approval of the proposed second amended and restated 2023 Plan will allow us to continue to provide equity awards under the 2023 Plan in excess of the number of shares currently remaining available under the 2023 Plan for future grants. If this proposal is not approved, we will continue to have the ability to grant awards under the 2023 Plan, but without the share reserve increase we believe we would be at a significant disadvantage against our competitors for recruiting, retaining and motivating those individuals who are critical to our success. We could be forced to increase cash compensation, reducing resources available to meet our other business needs.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If this proposal is approved, the second amended and restated 2023 Plan will become effective on the date of the annual meeting, referred to as the Amendment Effective Date, and we anticipate that the aggregate shares authorized and reserved for issuance under the 2023 Plan will allow us to maintain our regular equity compensation program without interruption until the 2028 annual meeting of stockholders. The share reserve may, however, last for a shorter or longer period of time depending on various factors, such as the number of grant recipients, future grant practices, our stock price and forfeiture rates.</w:t>
      </w:r>
    </w:p>
    <w:p>
      <w:pPr>
        <w:pStyle w:val="TextBody"/>
        <w:bidi w:val="0"/>
        <w:spacing w:lineRule="auto" w:line="268"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Our Chief Executive Officer must hold 100% of the shares issued pursuant to any stock option, stock appreciation right or other share appreciation award for a minimum period of one year following the date of exercise or settlement of the shares subject to such share appreciation award to the Chief Executive Officer, including but not limited to any such share appreciation award granted under the 2023 Plan.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As of October 6, 2026, the record date of the annual meeting, there were 52,174,262 shares of our common stock outstanding. The closing price of our common stock as reported on Nasdaq on October 6, 2026 was $146.16 per share.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Alignment of the 2023 Plan with the Interests of the Company and Stockholders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Board believes that using equity awards to recruit, retain and motivate key employees is critical to the achievement of our strategy and long-term goals and considered the following factors, among other things, when adopting the second amended and restated 2023 Plan:</w:t>
      </w:r>
    </w:p>
    <w:p>
      <w:pPr>
        <w:pStyle w:val="TextBody"/>
        <w:bidi w:val="0"/>
        <w:spacing w:lineRule="auto" w:line="312" w:before="120" w:after="120"/>
        <w:jc w:val="left"/>
        <w:rPr/>
      </w:pPr>
      <w:r>
        <w:rPr>
          <w:rFonts w:ascii="ITC Avant Garde Pro Md;sans-serif" w:hAnsi="ITC Avant Garde Pro Md;sans-serif"/>
          <w:b w:val="false"/>
          <w:i/>
          <w:color w:val="313D48"/>
          <w:sz w:val="17"/>
        </w:rPr>
        <w:t>The 2023 Plan allows us to recruit and retain top talent.</w:t>
      </w:r>
      <w:r>
        <w:rPr>
          <w:color w:val="313D48"/>
        </w:rPr>
        <w:t xml:space="preserve"> </w:t>
      </w:r>
      <w:r>
        <w:rPr>
          <w:rFonts w:ascii="ITC Avant Garde Pro Md;sans-serif" w:hAnsi="ITC Avant Garde Pro Md;sans-serif"/>
          <w:b w:val="false"/>
          <w:color w:val="313D48"/>
          <w:sz w:val="17"/>
        </w:rPr>
        <w:t>The proposed increase in the shares available under the 2023 Plan will serve a critical role in attracting and retaining high-caliber individuals essential to our success. We operate in a highly competitive market for talent and compete with companies in the technology sector for the talent necessary to drive our operations and business strategy. Without the approval of an addition to our share reserve, we will not be able to effectively compete in this highly competitive market, which could ultimately result in the loss of critical talent and inhibit our ability to achieve our business goals.</w:t>
      </w:r>
    </w:p>
    <w:p>
      <w:pPr>
        <w:pStyle w:val="TextBody"/>
        <w:bidi w:val="0"/>
        <w:spacing w:lineRule="auto" w:line="312" w:before="120" w:after="120"/>
        <w:jc w:val="left"/>
        <w:rPr/>
      </w:pPr>
      <w:r>
        <w:rPr>
          <w:rFonts w:ascii="ITC Avant Garde Pro Md;sans-serif" w:hAnsi="ITC Avant Garde Pro Md;sans-serif"/>
          <w:b w:val="false"/>
          <w:i/>
          <w:color w:val="313D48"/>
          <w:sz w:val="17"/>
        </w:rPr>
        <w:t>Allows us to align participant and stockholder interests.</w:t>
      </w:r>
      <w:r>
        <w:rPr>
          <w:color w:val="313D48"/>
        </w:rPr>
        <w:t xml:space="preserve"> </w:t>
      </w:r>
      <w:r>
        <w:rPr>
          <w:rFonts w:ascii="ITC Avant Garde Pro Md;sans-serif" w:hAnsi="ITC Avant Garde Pro Md;sans-serif"/>
          <w:b w:val="false"/>
          <w:color w:val="313D48"/>
          <w:sz w:val="17"/>
        </w:rPr>
        <w:t>Stock ownership by employees and non-employee directors provides performance incentives and fosters long-term commitment to our benefit and to the benefit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28650"/>
                <wp:effectExtent l="0" t="0" r="0" b="0"/>
                <wp:wrapNone/>
                <wp:docPr id="153" name="Frame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312" w:before="120" w:after="120"/>
        <w:jc w:val="left"/>
        <w:rPr/>
      </w:pPr>
      <w:r>
        <w:rPr>
          <w:rFonts w:ascii="ITC Avant Garde Pro Md;sans-serif" w:hAnsi="ITC Avant Garde Pro Md;sans-serif"/>
          <w:b w:val="false"/>
          <w:i/>
          <w:color w:val="313D48"/>
          <w:sz w:val="17"/>
        </w:rPr>
        <w:t>Equity awards support our pay-for-performance philosophy.</w:t>
      </w:r>
      <w:r>
        <w:rPr>
          <w:color w:val="313D48"/>
        </w:rPr>
        <w:t xml:space="preserve"> </w:t>
      </w:r>
      <w:r>
        <w:rPr>
          <w:rFonts w:ascii="ITC Avant Garde Pro Md;sans-serif" w:hAnsi="ITC Avant Garde Pro Md;sans-serif"/>
          <w:b w:val="false"/>
          <w:color w:val="313D48"/>
          <w:sz w:val="17"/>
        </w:rPr>
        <w:t>We currently grant restricted stock units, or RSUs, to a broad-based group of employees and non-employee directors. We also grant market share units, or MSUs, and performance stock units, or PSUs, to senior-level employees that vest based on both time and performance conditions. The Board believes that equity awards, the value of which depends on the performance of our stock, and which require achievement of performance criteria and/or continued service over time, are consistent with our pay-for-performance philosophy and motivate our employees and non-employee directors to enhance our growth and profitability.</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Key Features of the 2023 Plan</w:t>
      </w:r>
    </w:p>
    <w:p>
      <w:pPr>
        <w:pStyle w:val="TextBody"/>
        <w:bidi w:val="0"/>
        <w:spacing w:lineRule="auto" w:line="312" w:before="120" w:after="120"/>
        <w:jc w:val="both"/>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2023 Plan includes provisions that are designed to protect our stockholders’ interests and to reflect corporate governance best practices including:</w:t>
      </w:r>
    </w:p>
    <w:p>
      <w:pPr>
        <w:pStyle w:val="TextBody"/>
        <w:bidi w:val="0"/>
        <w:spacing w:lineRule="auto" w:line="312" w:before="120" w:after="120"/>
        <w:jc w:val="left"/>
        <w:rPr/>
      </w:pPr>
      <w:r>
        <w:rPr>
          <w:rFonts w:ascii="ITC Avant Garde Pro Md;sans-serif" w:hAnsi="ITC Avant Garde Pro Md;sans-serif"/>
          <w:b/>
          <w:color w:val="313E48"/>
          <w:sz w:val="17"/>
        </w:rPr>
        <w:t>Administration.</w:t>
      </w:r>
      <w:r>
        <w:rPr>
          <w:color w:val="313D48"/>
        </w:rPr>
        <w:t> </w:t>
      </w:r>
      <w:r>
        <w:rPr>
          <w:rFonts w:ascii="ITC Avant Garde Pro Md;sans-serif" w:hAnsi="ITC Avant Garde Pro Md;sans-serif"/>
          <w:b w:val="false"/>
          <w:color w:val="313D48"/>
          <w:sz w:val="17"/>
        </w:rPr>
        <w:t>The 2023 Plan is generally administered by the Committee, which is composed entirely of independent, non-employee directors.</w:t>
      </w:r>
    </w:p>
    <w:p>
      <w:pPr>
        <w:pStyle w:val="TextBody"/>
        <w:bidi w:val="0"/>
        <w:spacing w:lineRule="auto" w:line="312" w:before="120" w:after="120"/>
        <w:jc w:val="left"/>
        <w:rPr/>
      </w:pPr>
      <w:r>
        <w:rPr>
          <w:rFonts w:ascii="ITC Avant Garde Pro Md;sans-serif" w:hAnsi="ITC Avant Garde Pro Md;sans-serif"/>
          <w:b/>
          <w:color w:val="313E48"/>
          <w:sz w:val="17"/>
        </w:rPr>
        <w:t>Stockholder Approval is Required for Any Additional Shares.</w:t>
      </w:r>
      <w:r>
        <w:rPr>
          <w:color w:val="000000"/>
        </w:rPr>
        <w:t> </w:t>
      </w:r>
      <w:r>
        <w:rPr>
          <w:rFonts w:ascii="ITC Avant Garde Pro Md;sans-serif" w:hAnsi="ITC Avant Garde Pro Md;sans-serif"/>
          <w:b w:val="false"/>
          <w:color w:val="313D48"/>
          <w:sz w:val="17"/>
        </w:rPr>
        <w:t>The 2023 Plan does not contain an annual "evergreen" provision and instead reserves a fixed maximum number of shares of common stock. Additional stockholder approval is required to increase that number.</w:t>
      </w:r>
    </w:p>
    <w:p>
      <w:pPr>
        <w:pStyle w:val="TextBody"/>
        <w:bidi w:val="0"/>
        <w:spacing w:lineRule="auto" w:line="312" w:before="120" w:after="120"/>
        <w:jc w:val="left"/>
        <w:rPr/>
      </w:pPr>
      <w:r>
        <w:rPr>
          <w:rFonts w:ascii="ITC Avant Garde Pro Md;sans-serif" w:hAnsi="ITC Avant Garde Pro Md;sans-serif"/>
          <w:b/>
          <w:color w:val="313D48"/>
          <w:sz w:val="17"/>
        </w:rPr>
        <w:t>No Liberal Share Recycling for Stock Options or Stock Appreciation Rights.</w:t>
      </w:r>
      <w:r>
        <w:rPr>
          <w:color w:val="313D48"/>
        </w:rPr>
        <w:t xml:space="preserve"> </w:t>
      </w:r>
      <w:r>
        <w:rPr>
          <w:rFonts w:ascii="ITC Avant Garde Pro Md;sans-serif" w:hAnsi="ITC Avant Garde Pro Md;sans-serif"/>
          <w:b w:val="false"/>
          <w:color w:val="313D48"/>
          <w:sz w:val="17"/>
        </w:rPr>
        <w:t>Shares tendered, exchanged or withheld to pay the exercise price or to satisfy withholding taxes with respect to stock options or stock appreciation rights are not available again for grant.</w:t>
      </w:r>
    </w:p>
    <w:p>
      <w:pPr>
        <w:pStyle w:val="TextBody"/>
        <w:bidi w:val="0"/>
        <w:spacing w:lineRule="auto" w:line="312" w:before="120" w:after="120"/>
        <w:jc w:val="left"/>
        <w:rPr/>
      </w:pPr>
      <w:r>
        <w:rPr>
          <w:rFonts w:ascii="ITC Avant Garde Pro Md;sans-serif" w:hAnsi="ITC Avant Garde Pro Md;sans-serif"/>
          <w:b/>
          <w:color w:val="313E48"/>
          <w:sz w:val="17"/>
        </w:rPr>
        <w:t>Stockholder Approval is Required for Any Repricings.</w:t>
      </w:r>
      <w:r>
        <w:rPr>
          <w:color w:val="000000"/>
        </w:rPr>
        <w:t> </w:t>
      </w:r>
      <w:r>
        <w:rPr>
          <w:rFonts w:ascii="ITC Avant Garde Pro Md;sans-serif" w:hAnsi="ITC Avant Garde Pro Md;sans-serif"/>
          <w:b w:val="false"/>
          <w:color w:val="313D48"/>
          <w:sz w:val="17"/>
        </w:rPr>
        <w:t>Stock options and stock appreciation rights may not be repriced, exchanged for other equity awards or cashed out without stockholder approval.</w:t>
      </w:r>
    </w:p>
    <w:p>
      <w:pPr>
        <w:pStyle w:val="TextBody"/>
        <w:bidi w:val="0"/>
        <w:spacing w:lineRule="auto" w:line="312" w:before="120" w:after="120"/>
        <w:jc w:val="left"/>
        <w:rPr/>
      </w:pPr>
      <w:r>
        <w:rPr>
          <w:rFonts w:ascii="ITC Avant Garde Pro Md;sans-serif" w:hAnsi="ITC Avant Garde Pro Md;sans-serif"/>
          <w:b/>
          <w:color w:val="313D48"/>
          <w:sz w:val="17"/>
        </w:rPr>
        <w:t>Compensation Limits for Non-Employee Directors</w:t>
      </w:r>
      <w:r>
        <w:rPr>
          <w:rFonts w:ascii="ITC Avant Garde Pro Md;sans-serif" w:hAnsi="ITC Avant Garde Pro Md;sans-serif"/>
          <w:b w:val="false"/>
          <w:color w:val="313D48"/>
          <w:sz w:val="17"/>
        </w:rPr>
        <w:t>. The aggregate value of all regular compensation paid to any non-employee director for board services rendered in any calendar year, inclusive of cash and the grant date fair value of equity awards under the 2023 Plan, is limited to $750,000.</w:t>
      </w:r>
    </w:p>
    <w:p>
      <w:pPr>
        <w:pStyle w:val="TextBody"/>
        <w:bidi w:val="0"/>
        <w:spacing w:lineRule="auto" w:line="312" w:before="120" w:after="120"/>
        <w:jc w:val="left"/>
        <w:rPr/>
      </w:pPr>
      <w:r>
        <w:rPr>
          <w:rFonts w:ascii="ITC Avant Garde Pro Md;sans-serif" w:hAnsi="ITC Avant Garde Pro Md;sans-serif"/>
          <w:b/>
          <w:color w:val="313D48"/>
          <w:sz w:val="17"/>
        </w:rPr>
        <w:t>No Dividend Payment Until Underlying Shares Vest.</w:t>
      </w:r>
      <w:r>
        <w:rPr>
          <w:color w:val="313D48"/>
        </w:rPr>
        <w:t> </w:t>
      </w:r>
      <w:r>
        <w:rPr>
          <w:rFonts w:ascii="ITC Avant Garde Pro Md;sans-serif" w:hAnsi="ITC Avant Garde Pro Md;sans-serif"/>
          <w:b w:val="false"/>
          <w:color w:val="313D48"/>
          <w:sz w:val="17"/>
        </w:rPr>
        <w:t>Dividends and dividend equivalents on restricted stock, restricted stock units and performance share awards vest and are paid only if and to the extent those underlying awards become vested. No dividends are payable with respect to outstanding options and stock appreciation rights.</w:t>
      </w:r>
    </w:p>
    <w:p>
      <w:pPr>
        <w:pStyle w:val="TextBody"/>
        <w:bidi w:val="0"/>
        <w:spacing w:lineRule="auto" w:line="312" w:before="120" w:after="120"/>
        <w:jc w:val="left"/>
        <w:rPr/>
      </w:pPr>
      <w:r>
        <w:rPr>
          <w:rFonts w:ascii="ITC Avant Garde Pro Md;sans-serif" w:hAnsi="ITC Avant Garde Pro Md;sans-serif"/>
          <w:b/>
          <w:color w:val="313E48"/>
          <w:sz w:val="17"/>
        </w:rPr>
        <w:t>No Liberal Change in Control Definition.</w:t>
      </w:r>
      <w:r>
        <w:rPr>
          <w:color w:val="000000"/>
        </w:rPr>
        <w:t> </w:t>
      </w:r>
      <w:r>
        <w:rPr>
          <w:rFonts w:ascii="ITC Avant Garde Pro Md;sans-serif" w:hAnsi="ITC Avant Garde Pro Md;sans-serif"/>
          <w:b w:val="false"/>
          <w:color w:val="313D48"/>
          <w:sz w:val="17"/>
        </w:rPr>
        <w:t>The 2023 Plan defines change in control based, in part, on the consummation of the transaction rather than the announcement or stockholder approval of the transaction.</w:t>
      </w:r>
    </w:p>
    <w:p>
      <w:pPr>
        <w:pStyle w:val="TextBody"/>
        <w:bidi w:val="0"/>
        <w:spacing w:lineRule="auto" w:line="312" w:before="120" w:after="120"/>
        <w:jc w:val="left"/>
        <w:rPr/>
      </w:pPr>
      <w:r>
        <w:rPr>
          <w:rFonts w:ascii="ITC Avant Garde Pro Md;sans-serif" w:hAnsi="ITC Avant Garde Pro Md;sans-serif"/>
          <w:b/>
          <w:color w:val="313E48"/>
          <w:sz w:val="17"/>
        </w:rPr>
        <w:t>Limited Transferability.</w:t>
      </w:r>
      <w:r>
        <w:rPr>
          <w:color w:val="000000"/>
        </w:rPr>
        <w:t> </w:t>
      </w:r>
      <w:r>
        <w:rPr>
          <w:rFonts w:ascii="ITC Avant Garde Pro Md;sans-serif" w:hAnsi="ITC Avant Garde Pro Md;sans-serif"/>
          <w:b w:val="false"/>
          <w:color w:val="313D48"/>
          <w:sz w:val="17"/>
        </w:rPr>
        <w:t>Awards are not transferable except by will or by the laws of descent and distribution, or pursuant to a domestic relations order.</w:t>
      </w:r>
    </w:p>
    <w:p>
      <w:pPr>
        <w:pStyle w:val="TextBody"/>
        <w:bidi w:val="0"/>
        <w:spacing w:lineRule="auto" w:line="312" w:before="120" w:after="120"/>
        <w:jc w:val="left"/>
        <w:rPr/>
      </w:pPr>
      <w:r>
        <w:rPr>
          <w:rFonts w:ascii="ITC Avant Garde Pro Md;sans-serif" w:hAnsi="ITC Avant Garde Pro Md;sans-serif"/>
          <w:b/>
          <w:color w:val="313E48"/>
          <w:sz w:val="17"/>
        </w:rPr>
        <w:t>Awards Subject to Clawback</w:t>
      </w:r>
      <w:r>
        <w:rPr>
          <w:rFonts w:ascii="ITC Avant Garde Pro Md;sans-serif" w:hAnsi="ITC Avant Garde Pro Md;sans-serif"/>
          <w:b w:val="false"/>
          <w:color w:val="313E48"/>
          <w:sz w:val="17"/>
        </w:rPr>
        <w:t xml:space="preserve">. All awards granted under the 2023 Plan are subject to forfeiture or recovery to the fullest extent required by the listing standards of the Nasdaq or any current or future clawback policy that may be adopted by Paylocity. </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Responsible and Prudent Equity Usage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are mindful of the dilutive impact of our equity compensation programs on our stockholders. The proposed increase to the share reserve is intended to balance this impact with our need to compete for skilled talent, maintain competitive compensation practices, and attract and retain the talent required to support our strategic objectives. The proposal would increase the number of shares available for future issuance under the 2023 Plan by an additional 1,230,000 shares, representing approximately 2.3% of our shares outstanding as of fiscal 2026.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manage our long-term stockholder dilution by managing the number of equity awards granted annually while regularly evaluating the equity compensation practices of those companies with which we compete for talent. We grant what we believe is an appropriate amount of equity necessary to effectively attract, retain, and reward employees in the context of the market in which we compete for talent. Our three-year average burn rate, which we define as the number of shares subject to equity awards granted in any given year divided by the weighted average number of shares outstanding for that year, was 1.7% for fiscal years 2024 through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25170"/>
                <wp:effectExtent l="0" t="0" r="0" b="0"/>
                <wp:wrapNone/>
                <wp:docPr id="154" name="Frame6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283"/>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268"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table below presents the number of shares that were subject to outstanding equity awards under the 2023 Plan and the 2014 Equity Incentive Plan, or 2014 Plan, which was the predecessor to the 2023 Plan, as of September 4, 2026. No outstanding awards were held under, and no shares remained available for future grants pursuant to, any other equity incentive plan.</w:t>
      </w:r>
    </w:p>
    <w:tbl>
      <w:tblPr>
        <w:tblW w:w="5923" w:type="dxa"/>
        <w:jc w:val="left"/>
        <w:tblInd w:w="0" w:type="dxa"/>
        <w:tblLayout w:type="fixed"/>
        <w:tblCellMar>
          <w:top w:w="28" w:type="dxa"/>
          <w:left w:w="28" w:type="dxa"/>
          <w:bottom w:w="28" w:type="dxa"/>
          <w:right w:w="28" w:type="dxa"/>
        </w:tblCellMar>
      </w:tblPr>
      <w:tblGrid>
        <w:gridCol w:w="1487"/>
        <w:gridCol w:w="1308"/>
        <w:gridCol w:w="1314"/>
        <w:gridCol w:w="531"/>
        <w:gridCol w:w="531"/>
        <w:gridCol w:w="752"/>
      </w:tblGrid>
      <w:tr>
        <w:trPr/>
        <w:tc>
          <w:tcPr>
            <w:tcW w:w="148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313D48"/>
                <w:sz w:val="16"/>
              </w:rPr>
              <w:t>Outstanding Award Type</w:t>
            </w:r>
            <w:r>
              <w:rPr>
                <w:rFonts w:ascii="ITC Avant Garde Pro Bk;sans-serif" w:hAnsi="ITC Avant Garde Pro Bk;sans-serif"/>
                <w:b/>
                <w:color w:val="313D48"/>
                <w:sz w:val="10"/>
              </w:rPr>
              <w:t>(1)</w:t>
            </w:r>
          </w:p>
        </w:tc>
        <w:tc>
          <w:tcPr>
            <w:tcW w:w="181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Number of Shares</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Restricted stock units</w:t>
            </w:r>
          </w:p>
        </w:tc>
        <w:tc>
          <w:tcPr>
            <w:tcW w:w="10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2,453,045 </w:t>
            </w:r>
          </w:p>
        </w:tc>
        <w:tc>
          <w:tcPr>
            <w:tcW w:w="7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D48"/>
                <w:sz w:val="17"/>
              </w:rPr>
              <w:t>Performance stock units</w:t>
            </w:r>
            <w:r>
              <w:rPr>
                <w:rFonts w:ascii="ITC Avant Garde Pro Md;sans-serif" w:hAnsi="ITC Avant Garde Pro Md;sans-serif"/>
                <w:b w:val="false"/>
                <w:color w:val="313D48"/>
                <w:sz w:val="11"/>
              </w:rPr>
              <w:t>(2)</w:t>
            </w:r>
          </w:p>
        </w:tc>
        <w:tc>
          <w:tcPr>
            <w:tcW w:w="1062"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144,592 </w:t>
            </w:r>
          </w:p>
        </w:tc>
        <w:tc>
          <w:tcPr>
            <w:tcW w:w="75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D48"/>
                <w:sz w:val="17"/>
              </w:rPr>
              <w:t>Market stock units</w:t>
            </w:r>
            <w:r>
              <w:rPr>
                <w:rFonts w:ascii="ITC Avant Garde Pro Md;sans-serif" w:hAnsi="ITC Avant Garde Pro Md;sans-serif"/>
                <w:b w:val="false"/>
                <w:color w:val="313D48"/>
                <w:sz w:val="11"/>
              </w:rPr>
              <w:t>(2)</w:t>
            </w:r>
          </w:p>
        </w:tc>
        <w:tc>
          <w:tcPr>
            <w:tcW w:w="1062"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110,356 </w:t>
            </w:r>
          </w:p>
        </w:tc>
        <w:tc>
          <w:tcPr>
            <w:tcW w:w="75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Total shares subject to outstanding awards</w:t>
            </w:r>
          </w:p>
        </w:tc>
        <w:tc>
          <w:tcPr>
            <w:tcW w:w="1062"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2,707,993 </w:t>
            </w:r>
          </w:p>
        </w:tc>
        <w:tc>
          <w:tcPr>
            <w:tcW w:w="752"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Number of shares remaining available for grant</w:t>
            </w:r>
          </w:p>
        </w:tc>
        <w:tc>
          <w:tcPr>
            <w:tcW w:w="1062" w:type="dxa"/>
            <w:gridSpan w:val="2"/>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397,196 </w:t>
            </w:r>
          </w:p>
        </w:tc>
        <w:tc>
          <w:tcPr>
            <w:tcW w:w="752"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The table includes the only equity awards outstanding as of September 4, 2026. There were no stock appreciation rights or options outstanding as of this date. The Company has not granted any stock appreciation rights under the 2023 Plan or the 2014 Plan, and the last grant of stock options occurred in fiscal 2016 and have since been cancelled or exercised.</w:t>
      </w:r>
    </w:p>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(2)</w:t>
      </w:r>
      <w:r>
        <w:rPr>
          <w:rFonts w:ascii="ITC Avant Garde Pro Md;sans-serif" w:hAnsi="ITC Avant Garde Pro Md;sans-serif"/>
          <w:b w:val="false"/>
          <w:color w:val="313D48"/>
          <w:sz w:val="16"/>
        </w:rPr>
        <w:t xml:space="preserve">The number of PSUs and MSUs that are outstanding as of September 4, 2026 reflects the target number of shares. Up to 200% of the target number of Performance Stock Units and Market Stock Units, respectively, could be earned based on satisfaction of the applicable performance goals. </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table below presents the three-year average equity award “burn-rate”:</w:t>
      </w:r>
    </w:p>
    <w:tbl>
      <w:tblPr>
        <w:tblW w:w="7437" w:type="dxa"/>
        <w:jc w:val="left"/>
        <w:tblInd w:w="0" w:type="dxa"/>
        <w:tblLayout w:type="fixed"/>
        <w:tblCellMar>
          <w:top w:w="28" w:type="dxa"/>
          <w:left w:w="28" w:type="dxa"/>
          <w:bottom w:w="28" w:type="dxa"/>
          <w:right w:w="28" w:type="dxa"/>
        </w:tblCellMar>
      </w:tblPr>
      <w:tblGrid>
        <w:gridCol w:w="413"/>
        <w:gridCol w:w="362"/>
        <w:gridCol w:w="364"/>
        <w:gridCol w:w="494"/>
        <w:gridCol w:w="494"/>
        <w:gridCol w:w="496"/>
        <w:gridCol w:w="1129"/>
        <w:gridCol w:w="1129"/>
        <w:gridCol w:w="1131"/>
        <w:gridCol w:w="416"/>
        <w:gridCol w:w="416"/>
        <w:gridCol w:w="593"/>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Fiscal Year</w:t>
            </w:r>
          </w:p>
        </w:tc>
        <w:tc>
          <w:tcPr>
            <w:tcW w:w="148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Total Granted</w:t>
              <w:br/>
              <w:t>(in thousands)</w:t>
            </w:r>
          </w:p>
        </w:tc>
        <w:tc>
          <w:tcPr>
            <w:tcW w:w="338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Weighted-Average Common</w:t>
              <w:br/>
              <w:t>Shares Outstanding (in thousands)</w:t>
            </w:r>
          </w:p>
        </w:tc>
        <w:tc>
          <w:tcPr>
            <w:tcW w:w="142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Burn Rate (%)</w:t>
            </w:r>
          </w:p>
        </w:tc>
      </w:tr>
      <w:tr>
        <w:trPr/>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2026</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965 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54,082 </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1.8</w:t>
            </w:r>
          </w:p>
        </w:tc>
      </w:tr>
      <w:tr>
        <w:trPr/>
        <w:tc>
          <w:tcPr>
            <w:tcW w:w="113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2025</w:t>
            </w:r>
          </w:p>
        </w:tc>
        <w:tc>
          <w:tcPr>
            <w:tcW w:w="9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1,010 </w:t>
            </w:r>
          </w:p>
        </w:tc>
        <w:tc>
          <w:tcPr>
            <w:tcW w:w="4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55,649 </w:t>
            </w:r>
          </w:p>
        </w:tc>
        <w:tc>
          <w:tcPr>
            <w:tcW w:w="1131"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1.8</w:t>
            </w:r>
          </w:p>
        </w:tc>
      </w:tr>
      <w:tr>
        <w:trPr/>
        <w:tc>
          <w:tcPr>
            <w:tcW w:w="1139"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2024</w:t>
            </w:r>
          </w:p>
        </w:tc>
        <w:tc>
          <w:tcPr>
            <w:tcW w:w="98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882 </w:t>
            </w:r>
          </w:p>
        </w:tc>
        <w:tc>
          <w:tcPr>
            <w:tcW w:w="496"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56,214 </w:t>
            </w:r>
          </w:p>
        </w:tc>
        <w:tc>
          <w:tcPr>
            <w:tcW w:w="1131"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w:t>
            </w:r>
          </w:p>
        </w:tc>
      </w:tr>
      <w:tr>
        <w:trPr/>
        <w:tc>
          <w:tcPr>
            <w:tcW w:w="1139"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Average</w:t>
            </w:r>
          </w:p>
        </w:tc>
        <w:tc>
          <w:tcPr>
            <w:tcW w:w="1484" w:type="dxa"/>
            <w:gridSpan w:val="3"/>
            <w:tcBorders>
              <w:top w:val="single" w:sz="4" w:space="0" w:color="93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4" w:space="0" w:color="939595"/>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1.7</w:t>
            </w:r>
          </w:p>
        </w:tc>
      </w:tr>
    </w:tbl>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We also considered overhang, which measures potential shareholder dilution, in setting the number of additional shares authorized for issuance under the second amended and restated 2023 Plan. As of our record date of October 6, 2026, there were 52,174,262 shares of common stock outstanding, 2,694,288 shares were subject to outstanding stock-based awards (consisting of RSUs, PSUs and MSUs, as shown in the outstanding equity awards table above), and 406,867 shares were available for future awards under the 2023 Plan. Therefore, as of October 6, 2026, our overhang (calculated as the number of shares subject to outstanding awards plus the number of shares available to be granted, divided by the total number of outstanding shares) was 5.9%. Had the 1,230,000 additional shares being requested under the 2023 Plan pursuant to this proposal been available for grant as of the record date, our overhang would have increased to 8.3%.</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For purposes of the calculations of the burn rates and overhang shown above, the number of shares issuable pursuant to an award that provides for issuance of a variable number of shares based on the extent to which performance targets are satisfied is deemed to be the target number of shares that may be issued on attainment of performance targets, even though a lesser or greater number of shares may be or may have been issued based on actual performance.</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Summary of the 2023 Plan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is a summary of the material terms of the proposed second amended and restated 2023 Plan, subject to stockholder approval. This summary does not purport to be a complete description of all of the provisions of the second amended and restated 2023 Plan. It is qualified in its entirety by reference to the full text of the second amended and restated 2023 Plan, a copy of which is attached to this proxy statement as Appendix B.</w:t>
      </w:r>
    </w:p>
    <w:p>
      <w:pPr>
        <w:pStyle w:val="TextBody"/>
        <w:bidi w:val="0"/>
        <w:spacing w:lineRule="auto" w:line="312" w:before="120" w:after="120"/>
        <w:jc w:val="left"/>
        <w:rPr>
          <w:rFonts w:ascii="ITC Avant Garde Pro Md;sans-serif" w:hAnsi="ITC Avant Garde Pro Md;sans-serif"/>
          <w:b w:val="false"/>
          <w:i/>
          <w:color w:val="313E48"/>
          <w:sz w:val="17"/>
        </w:rPr>
      </w:pPr>
      <w:r>
        <w:rPr>
          <w:rFonts w:ascii="ITC Avant Garde Pro Md;sans-serif" w:hAnsi="ITC Avant Garde Pro Md;sans-serif"/>
          <w:b w:val="false"/>
          <w:i/>
          <w:color w:val="313E48"/>
          <w:sz w:val="17"/>
        </w:rPr>
        <w:t>General</w:t>
      </w:r>
    </w:p>
    <w:p>
      <w:pPr>
        <w:pStyle w:val="TextBody"/>
        <w:bidi w:val="0"/>
        <w:spacing w:lineRule="auto" w:line="312" w:before="120" w:after="120"/>
        <w:jc w:val="left"/>
        <w:rPr/>
      </w:pPr>
      <w:r>
        <w:rPr>
          <w:rFonts w:ascii="ITC Avant Garde Pro Md;sans-serif" w:hAnsi="ITC Avant Garde Pro Md;sans-serif"/>
          <w:b w:val="false"/>
          <w:color w:val="313D48"/>
          <w:sz w:val="17"/>
        </w:rPr>
        <w:t>The 2023 Plan provides for the grant of incentive and nonstatutory stock options, stock appreciation rights, restricted st</w:t>
      </w:r>
      <w:r>
        <w:rPr>
          <w:rFonts w:ascii="ITC Avant Garde Pro Md;sans-serif" w:hAnsi="ITC Avant Garde Pro Md;sans-serif"/>
          <w:b w:val="false"/>
          <w:color w:val="313E48"/>
          <w:sz w:val="17"/>
        </w:rPr>
        <w:t>ock, unrestricted stock, restricted stock units, performance units, performance shares (including performance stock units and other stock-based awards as well as cash-based awards). Incentive stock options granted under the 2023 Plan are intended to qualify as "incentive stock options" within the meaning of Section 422 of the Internal Revenue Code of 1986, as amended, which is referred to as "the Code" in this Proposal. Nonstatutory stock options granted under the 2023 Plan are not intended to qualify as incentive stock options under the Code.</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28650"/>
                <wp:effectExtent l="0" t="0" r="0" b="0"/>
                <wp:wrapNone/>
                <wp:docPr id="155" name="Frame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312" w:before="120" w:after="120"/>
        <w:jc w:val="left"/>
        <w:rPr>
          <w:rFonts w:ascii="ITC Avant Garde Pro Md;sans-serif" w:hAnsi="ITC Avant Garde Pro Md;sans-serif"/>
          <w:b w:val="false"/>
          <w:i/>
          <w:color w:val="313E48"/>
          <w:sz w:val="17"/>
        </w:rPr>
      </w:pPr>
      <w:r>
        <w:rPr>
          <w:rFonts w:ascii="ITC Avant Garde Pro Md;sans-serif" w:hAnsi="ITC Avant Garde Pro Md;sans-serif"/>
          <w:b w:val="false"/>
          <w:i/>
          <w:color w:val="313E48"/>
          <w:sz w:val="17"/>
        </w:rPr>
        <w:t>Purpose</w:t>
      </w:r>
    </w:p>
    <w:p>
      <w:pPr>
        <w:pStyle w:val="TextBody"/>
        <w:bidi w:val="0"/>
        <w:spacing w:lineRule="auto" w:line="312" w:before="120" w:after="120"/>
        <w:jc w:val="left"/>
        <w:rPr>
          <w:rFonts w:ascii="ITC Avant Garde Pro Md;sans-serif" w:hAnsi="ITC Avant Garde Pro Md;sans-serif"/>
          <w:b w:val="false"/>
          <w:color w:val="313E48"/>
          <w:sz w:val="17"/>
        </w:rPr>
      </w:pPr>
      <w:r>
        <w:rPr>
          <w:rFonts w:ascii="ITC Avant Garde Pro Md;sans-serif" w:hAnsi="ITC Avant Garde Pro Md;sans-serif"/>
          <w:b w:val="false"/>
          <w:color w:val="313E48"/>
          <w:sz w:val="17"/>
        </w:rPr>
        <w:t>The purpose of the 2023 Plan is to advance the interests of Paylocity and its stockholders by providing an incentive to attract and retain the best qualified personnel to perform services for Paylocity, by motivating such persons to contribute to Paylocity's growth and profitability, by aligning their interests with the interests of Paylocity's stockholders and by rewarding such persons for their services by tying a portion of their total compensation package to Paylocity's success.</w:t>
      </w:r>
    </w:p>
    <w:p>
      <w:pPr>
        <w:pStyle w:val="TextBody"/>
        <w:bidi w:val="0"/>
        <w:spacing w:lineRule="auto" w:line="312" w:before="120" w:after="120"/>
        <w:jc w:val="left"/>
        <w:rPr>
          <w:rFonts w:ascii="ITC Avant Garde Pro Md;sans-serif" w:hAnsi="ITC Avant Garde Pro Md;sans-serif"/>
          <w:b w:val="false"/>
          <w:i/>
          <w:color w:val="313E48"/>
          <w:sz w:val="17"/>
        </w:rPr>
      </w:pPr>
      <w:r>
        <w:rPr>
          <w:rFonts w:ascii="ITC Avant Garde Pro Md;sans-serif" w:hAnsi="ITC Avant Garde Pro Md;sans-serif"/>
          <w:b w:val="false"/>
          <w:i/>
          <w:color w:val="313E48"/>
          <w:sz w:val="17"/>
        </w:rPr>
        <w:t>Administration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2023 Plan will generally be administered by the Committee. Subject to the limitations in the 2023 Plan, the Committee has the authority to interpret the 2023 Plan and to determine the recipients of awards, the number of shares subject to each award, the times when an award will become exercisable or vest, the exercise price, the type of consideration to be paid upon exercise and other terms of the award. To the extent permitted by applicable law and the terms of the 2023 Plan, the Committee may delegate to the appropriate officers of Paylocity the authority to grant, amend, modify, cancel, extend or renew awards to persons other than directors or executive officers whose transactions are subject to Section 16 of the Exchange Act, as amended. Accordingly, as used herein with respect to the 2023 Plan, references to the "Committee" include the board of directors, the Committee and any of Paylocity's officer(s) to whom such authority may be delegated as provided in the 2023 Plan, to the extent such delegation is applicable.</w:t>
      </w:r>
    </w:p>
    <w:p>
      <w:pPr>
        <w:pStyle w:val="TextBody"/>
        <w:bidi w:val="0"/>
        <w:spacing w:lineRule="auto" w:line="312" w:before="120" w:after="120"/>
        <w:jc w:val="left"/>
        <w:rPr>
          <w:rFonts w:ascii="ITC Avant Garde Pro Md;sans-serif" w:hAnsi="ITC Avant Garde Pro Md;sans-serif"/>
          <w:b w:val="false"/>
          <w:i/>
          <w:color w:val="313E48"/>
          <w:sz w:val="17"/>
        </w:rPr>
      </w:pPr>
      <w:r>
        <w:rPr>
          <w:rFonts w:ascii="ITC Avant Garde Pro Md;sans-serif" w:hAnsi="ITC Avant Garde Pro Md;sans-serif"/>
          <w:b w:val="false"/>
          <w:i/>
          <w:color w:val="313E48"/>
          <w:sz w:val="17"/>
        </w:rPr>
        <w:t>Maximum Number of Shares Issuable Under the 2023 Plan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If the second amended and restated 2023 Plan is approved by stockholders, the total number of shares available for issuance under the 2023 Plan would be increased by an additional 1,230,000 shares. Accordingly, the maximum number of shares that may be issued pursuant to awards under the second amended and restated 2023 Plan will be equal to the sum of:</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1,627,196 shares (which equals the 397,196 shares that remained available for issuance under the 2023 Plan as of September 4, 2026, plus an additional 1,230,000 shares) less one share subject to any equity award granted under the 2023 Plan after September 4, 2026 and prior to the Amendment Effective Date, (provided that in no event shall the number of shares subject to any equity award granted under the 2023 Plan after September 4, 2026 and prior to the Amendment Effective Date exceed 397,196 shares) plus</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the number of any shares subject to stock options granted under the 2014 Plan or the 2023 Plan and outstanding as of September 4, 2026 or which are granted and outstanding under the 2023 Plan after September 4, 2026 and prior to the Amendment Effective Date which expire, or for any reason are forfeited, canceled or terminated, after that date without being exercised, plus</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the number of any shares subject to full-value awards (including RSUs, PSUs and MSUs) granted under the 2014 Plan or the 2023 Plan that are outstanding as of September 4, 2026 or which are granted and outstanding under the 2023 Plan after September 4, 2026 and prior to the Amendment Effective Date which are forfeited, terminated, canceled, not earned due to any performance goal that is not met or that fail to vest or are otherwise reacquired after that date without having become vested, plus</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the number of any shares subject to full-value awards (including RSUs, PSUs and MSUs) granted under the 2014 Plan or the 2023 Plan and outstanding as of September 4, 2026 or which are granted and outstanding under the 2023 Plan after September 4, 2026 and prior to the Amendment Effective Date that are exchanged by a participant or withheld by Paylocity on or after the Amendment Effective Date to satisfy any tax withholding or tax payment obligations related to such award.</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Share Counting</w:t>
      </w:r>
      <w:r>
        <w:rPr>
          <w:rFonts w:ascii="ITC Avant Garde Pro Md;sans-serif" w:hAnsi="ITC Avant Garde Pro Md;sans-serif"/>
          <w:b w:val="false"/>
          <w:color w:val="313D48"/>
          <w:sz w:val="17"/>
        </w:rPr>
        <w:t>. The following are rules for counting shares against the maximum number of shares that may be issued pursuant to the second amended and restated 2023 Plan:</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To the extent that an award is settled in cash, the shares that would have been issued had there been no such cash settlement are not counted against the maximum number of shares that are issuable pursuant to the 2023 Plan.</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Shares that are subject to awards that are forfeited, terminated, canceled, not earned due to any performance goal that is not met or otherwise fail to vest or are reacquired by Paylocity are again available for subsequent awards under the 2023 Plan.</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Shares that are exchanged by a participant or withheld by Paylocity to satisfy the tax withholding or payment obligations related to any full value equity award are not counted against the maximum number of shares that are issuable pursuant to the 2023 Plan.</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 xml:space="preserve">To the extent that shares are delivered pursuant to the exercise of a stock option or stock appreciation right, the full number of underlying shares to which the exercise related shall be counted against the applicable share limits,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25170"/>
                <wp:effectExtent l="0" t="0" r="0" b="0"/>
                <wp:wrapNone/>
                <wp:docPr id="156" name="Frame68"/>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66</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283"/>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312"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regardless of the number of shares actually issued. Further, any shares that are exchanged by a participant or withheld by Paylocity as full or partial payment of the exercise price of any stock option or stock appreciation right or to satisfy any tax withholding or payment obligations related to any stock option or stock appreciation right will not be available for issuance of subsequent awards under the 2023 Plan.</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Shares purchased or repurchased by Paylocity with option exercise proceeds are not available for subsequent awards.</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Shares issued in connection with awards that are granted by or become obligations of Paylocity through the assumption, substitution or conversion of awards in connection with an acquisition of another company will not count against the shares available for issuance under the 2023 Plan unless determined otherwise by the Committee, and such awards may reflect the original terms of the related award being assumed, substituted or converted and need not comply with other specific terms of the 2023 Plan.</w:t>
      </w:r>
    </w:p>
    <w:p>
      <w:pPr>
        <w:pStyle w:val="TextBody"/>
        <w:bidi w:val="0"/>
        <w:spacing w:lineRule="auto" w:line="312" w:before="80" w:after="80"/>
        <w:ind w:left="0" w:right="0" w:hanging="216"/>
        <w:jc w:val="left"/>
        <w:rPr/>
      </w:pPr>
      <w:r>
        <w:rPr>
          <w:color w:val="EE2724"/>
        </w:rPr>
        <w:t>•</w:t>
      </w:r>
      <w:r>
        <w:rPr>
          <w:rFonts w:ascii="ITC Avant Garde Pro Md;sans-serif" w:hAnsi="ITC Avant Garde Pro Md;sans-serif"/>
          <w:b w:val="false"/>
          <w:color w:val="313D48"/>
          <w:sz w:val="17"/>
        </w:rPr>
        <w:t>Shares of stock of an acquired company that are available under a pre-existing plan approved by its stockholders and not adopted in contemplation of such acquisition (as adjusted using the exchange ratio or other adjustment formula used in such acquisition or combination to determine the consideration payable to its stockholders) may be used for awards under the 2023 Plan and will not reduce the number of shares available for issuance under the 2023 Plan, provided that awards using such available shares cannot be made after the date the awards or grants could have been made under the terms of the pre-existing plan and will only be made to individuals who were not employees, consultants or non-employee directors of Paylocity prior to such acquisition or combination.</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Eligibility and Award Limitations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Awards other than incentive stock options are generally granted to our employees and non-employee directors, although the 2023 Plan permits the grant of awards to consultants. Incentive stock options may be granted only to employees. As of June 30, 2026, Paylocity had approximately 6,900 employees and 8 non-employee directors who were eligible to participate in the 2023 Plan. Consistent with past practices, Paylocity has not and does not currently intend to grant awards to consultants.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number of shares issued under the 2023 Plan pursuant to the exercise of incentive stock options since its original adoption in November 2023 may not exceed 1,760,000 shares. If an incentive stock option is granted to any person who, at the time of the grant, owns (or is deemed to own) stock possessing more than 10% of the total combined voting power of Paylocity, or any of its parent or subsidiary corporations, the option must be granted at an exercise price that is at least 110% of the fair market value of Paylocity's stock on the date of grant, and the term of the option must not exceed five years. The aggregate fair market value, determined at the time of grant, of the shares of common stock with respect to which incentive stock options granted under the 2023 Plan that are exercisable for the first time by an optionee during any calendar year (under all our plans and our parent and subsidiary corporations) may not exceed $100,000.</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Limitation on Awards to Non-Employee Directors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2023 Plan provides for an annual limit of $750,000 for compensation awarded to each of our non-employee directors. These annual limits do not apply to any compensation for service rendered as an employee or consultant or to any compensation that the Board determines is for special services or services beyond that required in the regular course of duties performed by a non-employee director.</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Restrictions on Transfer</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During a participant’s lifetime, exercisable awards (stock options and stock appreciation rights) may be exercised only by the participant or the participant’s guardian or legal representative. 2023 Plan awards shall not be subjected in any manner to anticipation, alienation, sale, exchange, transfer, assignment, pledge, encumbrance or garnishment. Participants generally may not transfer equity awards granted under the 2023 Plan, except by will or by the laws of descent and distribution, or pursuant to a domestic relations order.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28650"/>
                <wp:effectExtent l="0" t="0" r="0" b="0"/>
                <wp:wrapNone/>
                <wp:docPr id="157" name="Frame6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312" w:before="0" w:after="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Stock Options and Stock Appreciation Rights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is a general description of the terms of stock options and stock appreciation rights that may be awarded under the 2023 Plan. Individual grants may have different terms, subject to the overall requirements of the 2023 Plan.</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Exercise Price; Payment</w:t>
      </w:r>
      <w:r>
        <w:rPr>
          <w:rFonts w:ascii="ITC Avant Garde Pro Md;sans-serif" w:hAnsi="ITC Avant Garde Pro Md;sans-serif"/>
          <w:b w:val="false"/>
          <w:color w:val="313D48"/>
          <w:sz w:val="17"/>
        </w:rPr>
        <w:t>. The exercise price of incentive stock options under the 2023 Plan may not be less than the fair market value of Paylocity's common stock subject to the option on the date of grant, and in some cases may not be less than 110% of the fair market value on the grant date, as described above. The exercise price of a nonstatutory stock option and a stock appreciation right may not be less than the fair market value of Paylocity's stock subject to the award on the date of grant. The exercise price of options granted under the 2023 Plan must be paid: (1) in cash, check or a cash equivalent; (2) by cashless exercise or tender of shares of common stock of Paylocity subject to attestation to the ownership of the shares and to having a fair market value not less than the exercise price; (3) by net exercise whereby the number of shares issuable upon the exercise of the option is reduced by a number of shares having a fair market value equal to the exercise price; (4) in any other form of payment as may be approved by the Committee; or (5) by a combination of the above forms of payment.</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Repricing and Reload Options Prohibited</w:t>
      </w:r>
      <w:r>
        <w:rPr>
          <w:rFonts w:ascii="ITC Avant Garde Pro Md;sans-serif" w:hAnsi="ITC Avant Garde Pro Md;sans-serif"/>
          <w:b w:val="false"/>
          <w:color w:val="313D48"/>
          <w:sz w:val="17"/>
        </w:rPr>
        <w:t>. Paylocity may not, without obtaining stockholder approval, (1) amend or modify the terms of any outstanding option or stock appreciation right to reduce the exercise price; (2) cancel, exchange or permit or accept the surrender of any outstanding option or stock appreciation right in exchange for an option or stock appreciation right with a lower exercise price; or (3) cancel, exchange or permit or accept the surrender of any outstanding option or stock appreciation right in exchange for any other award, cash or other securities for purposes of repricing that option or stock appreciation right. Also, no option may be granted to any participant on account of the use of shares to exercise a prior option.</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Vesting and Exercise</w:t>
      </w:r>
      <w:r>
        <w:rPr>
          <w:rFonts w:ascii="ITC Avant Garde Pro Md;sans-serif" w:hAnsi="ITC Avant Garde Pro Md;sans-serif"/>
          <w:b w:val="false"/>
          <w:color w:val="313D48"/>
          <w:sz w:val="17"/>
        </w:rPr>
        <w:t>. Stock options and stock appreciation rights granted under the 2023 Plan vest and become exercisable in cumulative increments as determined by the Committee, provided that the holder's employment by, or service as a director of or consultant to, Paylocity or certain related entities or designated affiliates, continues from the date of grant until the applicable vesting date. Stock options and stock appreciation rights granted under the 2023 Plan may be subject to different vesting terms. In addition, the Committee has the power to accelerate the time during which an award may be exercised.</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Term</w:t>
      </w:r>
      <w:r>
        <w:rPr>
          <w:rFonts w:ascii="ITC Avant Garde Pro Md;sans-serif" w:hAnsi="ITC Avant Garde Pro Md;sans-serif"/>
          <w:b w:val="false"/>
          <w:color w:val="313D48"/>
          <w:sz w:val="17"/>
        </w:rPr>
        <w:t>. The maximum term of stock options and stock appreciation rights under the 2023 Plan is ten years, except for certain incentive stock options with a maximum term of five years, as described above. The 2023 Plan provides for the earlier termination of an award due to the holder’s termination of service.</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Restricted Stock Units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may grant restricted stock units under the 2023 Plan. Restricted stock units represent a right to receive shares of Paylocity's common stock at a future date determined in accordance with the participant's award agreement. There is no purchase or exercise price associated with restricted stock units or with the shares issued in settlement of the award. The Committee may grant restricted stock unit awards that are subject to time-based vesting or performance-based vesting.</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Participants may not transfer shares acquired pursuant to restricted stock units until the award vests and is settled. Participants have no voting rights or rights to receive cash dividends with respect to restricted stock unit awards until shares of common stock are issued in settlement of such awards. However, the Committee may grant restricted stock units that entitle the holders to receive dividend equivalents, which are rights to receive additional restricted stock units or cash amounts on restricted stock units that vest based on the value of any cash dividends Paylocity declares prior to the settlement of vested restricted stock units. Any dividend equivalents are subject to the same restrictions and risk of forfeiture as the underlying award.</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Restricted Stock Awards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may grant restricted stock awards under the 2023 Plan specifying the number of shares of stock subject to the award and including such terms and conditions as the Committee shall from time to time establish. The Committee determines the purchase price payable under restricted stock purchase rights, which may be less than the then current fair market value of Paylocity’s common stock, or may grant restricted stock without any purchase price. Restricted stock awards may be subject to vesting conditions specified by the Committee based on service or performance criteria. Participants may not transfer shares acquired pursuant to a restricted stock award until the shares vest. Unless otherwise provided by the Committee, participants forfeit any unvested shares of restricted stock upon termination of service. Participants holding restricted stock generally may vote the shares and receive any dividends paid; however, no dividends or distributions will be paid on shares of stock subject to vesting conditions except to the extent that such vesting conditions are satisfied, and the restrictions on the original restricted stock award apply to adjustments made upon a change in the capital structure of Paylocity, and any substituted or additional securities or property arising from such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25170"/>
                <wp:effectExtent l="0" t="0" r="0" b="0"/>
                <wp:wrapNone/>
                <wp:docPr id="158" name="Frame70"/>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68</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283"/>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Performance Awards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may grant performance awards subject to the fulfillment of conditions and the attainment of performance goals with such terms and over such periods as the Committee determines in writing and sets forth in a written agreement between Paylocity and the participant. These awards may be designated as performance shares or performance units and may provide for a payment in shares (or cash equivalent to the fair market value of shares) based on satisfaction of performance goals established by the Committee.</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Committee may make positive or negative adjustments to performance award payments to reflect individual job performance or other factors. At its discretion, the Committee may provide for the payment of dividend equivalents (which will be subject to the same restrictions and risks of forfeiture as the underlying award) with respect to cash dividends paid on Paylocity's common stock to a participant awarded performance shares. The Committee may provide for performance award payments in lump sums or installments. If any payment is to be made on a deferred basis, the Committee may provide for the payment of dividend equivalents or interest during the deferral period.</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Other Stock-Based Awards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2023 Plan permits the Committee to grant other awards based on Paylocity's stock or based on dividends paid on its stock. Participants have no voting rights or rights to receive cash dividends with respect to other awards until shares of common stock are issued in settlement of such awards. At its discretion, the Committee may provide for the payment of dividend equivalents (which will be subject to the same restrictions and risks of forfeiture as the underlying award) with respect to cash dividends paid on Paylocity’s common stock that are subject to such awards.</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Cash-Based Awards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2023 Plan permits the Committee to grant awards that provide for potential to receive a cash payment amount or cash payment range and with such other terms, including the achievement of performance criteria, as the Committee may determine.</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Adjustments Upon Certain Corporate Events</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Capitalization Adjustments</w:t>
      </w:r>
      <w:r>
        <w:rPr>
          <w:rFonts w:ascii="ITC Avant Garde Pro Md;sans-serif" w:hAnsi="ITC Avant Garde Pro Md;sans-serif"/>
          <w:b w:val="false"/>
          <w:color w:val="313D48"/>
          <w:sz w:val="17"/>
        </w:rPr>
        <w:t>. In the event of any stock dividend, stock split, reverse stock split, recapitalization, combination, reclassification or similar change in the capital structure of Paylocity, or in the event of any extraordinary cash dividend, the 2023 Plan provides for appropriate adjustments in (i) the maximum number and class of shares subject to the 2023 Plan and to any outstanding awards, and (ii) the exercise or purchase price per share of any outstanding equity awards. Any fractional share resulting from an adjustment is rounded down to the nearest whole number, and at no time will the exercise price of any stock option or stock appreciation right be decreased to an amount less than par value of the stock subject to the award.</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Change in Control</w:t>
      </w:r>
      <w:r>
        <w:rPr>
          <w:rFonts w:ascii="ITC Avant Garde Pro Md;sans-serif" w:hAnsi="ITC Avant Garde Pro Md;sans-serif"/>
          <w:b w:val="false"/>
          <w:color w:val="313D48"/>
          <w:sz w:val="17"/>
        </w:rPr>
        <w:t>. In the event of a change in control of the Company the acquiring or successor entity may assume or continue all or any awards outstanding under the 2023 Plan or substitute substantially equivalent awards. The Committee may provide for the acceleration of vesting of any or all outstanding awards upon such terms and to such extent as it determines, except that the vesting of all awards held by members of the Board who are not employees will automatically be accelerated in full. Any awards that are not assumed, continued, or substituted for in connection with a change in control or are not exercised or settled prior to the change in control will terminate effective as of the time of the change in control. The 2023 Plan also permits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or purchase price per share, if any, under the award.</w:t>
      </w:r>
    </w:p>
    <w:p>
      <w:pPr>
        <w:pStyle w:val="TextBody"/>
        <w:bidi w:val="0"/>
        <w:spacing w:lineRule="auto" w:line="312" w:before="120" w:after="120"/>
        <w:jc w:val="left"/>
        <w:rPr>
          <w:rFonts w:ascii="ITC Avant Garde Pro Md;sans-serif" w:hAnsi="ITC Avant Garde Pro Md;sans-serif"/>
          <w:b/>
          <w:i/>
          <w:color w:val="313D48"/>
          <w:sz w:val="17"/>
        </w:rPr>
      </w:pPr>
      <w:r>
        <w:rPr>
          <w:rFonts w:ascii="ITC Avant Garde Pro Md;sans-serif" w:hAnsi="ITC Avant Garde Pro Md;sans-serif"/>
          <w:b/>
          <w:i/>
          <w:color w:val="313D48"/>
          <w:sz w:val="17"/>
        </w:rPr>
        <w:t>Duration, Amendment and Termination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The Committee may amend or terminate the 2023 Plan at any time. Incentive stock option awards will not be granted under the 2023 Plan later than the tenth anniversary of the date the Board or Committee most recently approved the applicable number of shares issuable under the 2023 Plan pursuant to the exercise of incentive stock options, or if earlier, the tenth anniversary of the date the stockholders most recently approved the applicable number of shares issuable under the 2023 Plan pursuant to the exercise of incentive stock options. No amendment authorized by the Committee will be effective unless approved by the stockholders of Paylocity if the amendment would (1) increase the number of shares reserved under the 2023 Plan; (2) change the class of persons eligible to receive incentive stock options; (3) reprice any stock option or stock appreciation right or (4) modify the 2023 Plan in any other way that requires stockholder approval under applicable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28650"/>
                <wp:effectExtent l="0" t="0" r="0" b="0"/>
                <wp:wrapNone/>
                <wp:docPr id="159" name="Frame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United States Federal Income Tax Information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following discussion is intended to be a general summary only of the federal income tax aspects of awards granted under the 2023 Plan and not of state or local taxes that may apply to awards under the 2023 Plan. Tax consequences may vary depending on particular circumstances, and administrative and judicial interpretations of the application of the federal income tax laws are subject to change. Participants in the 2023 Plan who are residents of or are employed in a country other than the United States may be subject to taxation in accordance with the tax laws of that particular country in addition to or in lieu of United States federal income taxes. This discussion is based on the provisions of the Code in effect at the time this summary was drafted for inclusion in this proxy statement. It does not include a discussion of or anticipate changes that may become effective or be implemented after June 30, 2026. Subsequent developments in the U.S. federal income tax law could have a material effect on the U.S. federal income tax consequences of awards granted under the 2023 Plan.</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Our ability to realize the benefit of any tax deductions described below depends on our generation of taxable income as well as the requirement of reasonableness, the limitations of Section 162(m) of the Code and the satisfaction of our tax reporting obligations. Section 162(m) may limit the deductibility of compensation paid to our chief executive officer and to each of our other "covered employees." Under Section 162(m), the annual compensation paid to any of these specified executives will be deductible by us only to the extent that it does not exceed $1,000,000. The Committee reserves the right to grant awards under the 2023 Plan that result in compensation to our covered employees in excess of the $1,000,000 Section 162(m) deduction limitation.</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Incentive Stock Options</w:t>
      </w:r>
      <w:r>
        <w:rPr>
          <w:rFonts w:ascii="ITC Avant Garde Pro Md;sans-serif" w:hAnsi="ITC Avant Garde Pro Md;sans-serif"/>
          <w:b w:val="false"/>
          <w:color w:val="313D48"/>
          <w:sz w:val="17"/>
        </w:rPr>
        <w:t>. An optionee recognizes no taxable income for regular income tax purposes as the result of the grant or exercise of an incentive stock option. Optionees who do not dispose of their shares for at least two years following the date the incentive stock option was granted or within one year following the exercise of the option normally will recognize a long-term capital gain or loss equal to the difference, if any, between the sale price and the purchase price of the shares. If an optionee satisfies both such holding periods upon a sale of the shares, Paylocity will not be entitled to any deduction for federal income tax purposes. If an optionee disposes of shares either within two years after the date of grant or within one year from the date of exercise (referred to as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treated as a capital gain. If a loss is recognized, it will be a capital loss. A capital gain or loss will be long-term if the optionee’s holding period is more than 12 months. Any ordinary income recognized by the optionee upon the disqualifying disposition of the shares generally should be deductible by Paylocity for federal income tax purposes, except to the extent such deduction is limited by applicable provisions of the Code or the regulations thereunder. The difference between the option exercise price and the fair market value of the shares on the exercise date of an incentive stock option is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Nonstatutory Stock Options and Stock Appreciation Rights</w:t>
      </w:r>
      <w:r>
        <w:rPr>
          <w:rFonts w:ascii="ITC Avant Garde Pro Md;sans-serif" w:hAnsi="ITC Avant Garde Pro Md;sans-serif"/>
          <w:b w:val="false"/>
          <w:color w:val="313D48"/>
          <w:sz w:val="17"/>
        </w:rPr>
        <w:t>. Nonstatutory stock options and stock appreciation rights have no special tax status. A holder of these awards generally does not recognize taxable income as the result of the grant of such award. Upon exercise of a nonstatutory stock option or stock appreciation right, the holder normally recognizes ordinary income in an amount equal to the difference between the exercise price and the fair market value of the shares on the exercise date. If the holder is an employee, such ordinary income generally is subject to withholding of income and employment taxes. Upon the sale of stock acquired by the exercise of a nonstatutory stock option or stock appreciation right, any gain or loss, based on the difference between the sale price and the fair market value on the exercise date, will be taxed as capital gain or loss. A capital gain or loss will be long-term if the holding period of the shares is more than 12 months. Paylocity generally is entitled to a deduction equal to the amount of ordinary income recognized by the optionee as a result of the exercise of a nonstatutory stock option or stock appreciation right, except to the extent such deduction is limited by applicable provisions of the Code or the regulations thereunder. No tax deduction is available to Paylocity with respect to the grant of a nonstatutory stock option or stock appreciation right or the sale of the stock acquired pursuant to such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25170"/>
                <wp:effectExtent l="0" t="0" r="0" b="0"/>
                <wp:wrapNone/>
                <wp:docPr id="160" name="Frame7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70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70</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283"/>
        <w:jc w:val="left"/>
        <w:rPr/>
      </w:pPr>
      <w:r>
        <w:rPr/>
      </w:r>
    </w:p>
    <w:p>
      <w:pPr>
        <w:pStyle w:val="TextBody"/>
        <w:bidi w:val="0"/>
        <w:spacing w:lineRule="auto" w:line="312" w:before="150" w:after="283"/>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Restricted Stock</w:t>
      </w:r>
      <w:r>
        <w:rPr>
          <w:rFonts w:ascii="ITC Avant Garde Pro Md;sans-serif" w:hAnsi="ITC Avant Garde Pro Md;sans-serif"/>
          <w:b w:val="false"/>
          <w:color w:val="313D48"/>
          <w:sz w:val="17"/>
        </w:rPr>
        <w:t>. A participant acquiring restricted stock generally will recognize ordinary income equal to the fair market value of the shares on the "determination date."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If the determination date is after the date on which the participant acquires the shares, the participant may elect, pursuant to Section 83(b) of the Code, to have the date of acquisition be the determination date by filing an election with the Internal Revenue Service, or IRS,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on the determination date, will be taxed as capital gain or loss. Paylocity generally should be entitled to a deduction equal to the amount of ordinary income recognized by the participant on the determination date, except to the extent such deduction is limited by applicable provisions of the Code.</w:t>
      </w:r>
    </w:p>
    <w:p>
      <w:pPr>
        <w:pStyle w:val="TextBody"/>
        <w:bidi w:val="0"/>
        <w:spacing w:lineRule="auto" w:line="312" w:before="120" w:after="120"/>
        <w:jc w:val="left"/>
        <w:rPr/>
      </w:pPr>
      <w:r>
        <w:rPr>
          <w:rFonts w:ascii="ITC Avant Garde Pro Md;sans-serif" w:hAnsi="ITC Avant Garde Pro Md;sans-serif"/>
          <w:b w:val="false"/>
          <w:color w:val="313D48"/>
          <w:sz w:val="17"/>
          <w:u w:val="single"/>
        </w:rPr>
        <w:t>Performance Shares, Performance Units and Restricted Stock Unit Awards</w:t>
      </w:r>
      <w:r>
        <w:rPr>
          <w:rFonts w:ascii="ITC Avant Garde Pro Md;sans-serif" w:hAnsi="ITC Avant Garde Pro Md;sans-serif"/>
          <w:b w:val="false"/>
          <w:color w:val="313D48"/>
          <w:sz w:val="17"/>
        </w:rPr>
        <w:t xml:space="preserve">. A participant generally will recognize no income upon the receipt of a performance share, performance unit or restricted stock unit award. Upon the settlement of such an award, participants normally will recognize ordinary income in the year of receipt in an amount equal to the cash received and the fair market value of any substantially vested shares received. If the participant is an employee, such ordinary income generally is subject to withholding of income and employment taxes. If the participant receives shares of restricted stock, the participant generally will be taxed in the same manner as described under "Restricted Stock." Upon the sale of any shares received, any gain or loss, based on the difference between the sale price and the fair market value on the determination date (as defined under "Restricted Stock"), will be taxed as capital gain or loss. Paylocity generally is entitled to a deduction equal to the amount of ordinary income recognized by the participant on the determination date, except to the extent such deduction is limited by applicable provisions of the Code. </w:t>
      </w:r>
    </w:p>
    <w:p>
      <w:pPr>
        <w:pStyle w:val="TextBody"/>
        <w:bidi w:val="0"/>
        <w:spacing w:lineRule="auto" w:line="288" w:before="360" w:after="200"/>
        <w:jc w:val="left"/>
        <w:rPr>
          <w:rFonts w:ascii="ITC Avant Garde Pro Bk;sans-serif" w:hAnsi="ITC Avant Garde Pro Bk;sans-serif"/>
          <w:b/>
          <w:color w:val="F78D2D"/>
          <w:sz w:val="36"/>
        </w:rPr>
      </w:pPr>
      <w:r>
        <w:rPr>
          <w:rFonts w:ascii="ITC Avant Garde Pro Bk;sans-serif" w:hAnsi="ITC Avant Garde Pro Bk;sans-serif"/>
          <w:b/>
          <w:color w:val="F78D2D"/>
          <w:sz w:val="36"/>
        </w:rPr>
        <w:t>New Plan Benefits</w:t>
      </w:r>
    </w:p>
    <w:p>
      <w:pPr>
        <w:pStyle w:val="TextBody"/>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No awards made under the 2023 Plan prior to the date of the 2027 Annual Meeting of Stockholders were granted subject to stockholder approval of this proposal. The future awards to be made under the 2023 Plan are subject to the discretion of the Committee and are therefore not determinable at this time. Moreover, the number of shares that would be earned with respect to any grant may vary based on the achievement of any applicable performance goals, which is not determinable at this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28650"/>
                <wp:effectExtent l="0" t="0" r="0" b="0"/>
                <wp:wrapNone/>
                <wp:docPr id="161"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312" w:before="15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Proposal No. 4 Approval of the Second Amended and Restated 2023 Equity Incentive Plan</w:t>
      </w:r>
    </w:p>
    <w:p>
      <w:pPr>
        <w:pStyle w:val="TextBody"/>
        <w:bidi w:val="0"/>
        <w:spacing w:lineRule="auto" w:line="288" w:before="320" w:after="80"/>
        <w:jc w:val="left"/>
        <w:rPr>
          <w:rFonts w:ascii="ITC Avant Garde Pro Bk;sans-serif" w:hAnsi="ITC Avant Garde Pro Bk;sans-serif"/>
          <w:b/>
          <w:color w:val="F78D2D"/>
          <w:sz w:val="36"/>
        </w:rPr>
      </w:pPr>
      <w:r>
        <w:rPr>
          <w:rFonts w:ascii="ITC Avant Garde Pro Bk;sans-serif" w:hAnsi="ITC Avant Garde Pro Bk;sans-serif"/>
          <w:b/>
          <w:color w:val="F78D2D"/>
          <w:sz w:val="36"/>
        </w:rPr>
        <w:t>Prior Plan Benefits</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The following table shows all awards granted to the applicable individuals and groups since the 2023 Plan's original effectiveness through September 4, 2026. The number of PSUs and MSUs granted reflect the target number of shares that could be earned based on satisfaction of the applicable performance goals. </w:t>
      </w:r>
    </w:p>
    <w:tbl>
      <w:tblPr>
        <w:tblW w:w="10205" w:type="dxa"/>
        <w:jc w:val="left"/>
        <w:tblInd w:w="0" w:type="dxa"/>
        <w:tblLayout w:type="fixed"/>
        <w:tblCellMar>
          <w:top w:w="28" w:type="dxa"/>
          <w:left w:w="28" w:type="dxa"/>
          <w:bottom w:w="28" w:type="dxa"/>
          <w:right w:w="28" w:type="dxa"/>
        </w:tblCellMar>
      </w:tblPr>
      <w:tblGrid>
        <w:gridCol w:w="2168"/>
        <w:gridCol w:w="1762"/>
        <w:gridCol w:w="1772"/>
        <w:gridCol w:w="539"/>
        <w:gridCol w:w="506"/>
        <w:gridCol w:w="457"/>
        <w:gridCol w:w="539"/>
        <w:gridCol w:w="457"/>
        <w:gridCol w:w="457"/>
        <w:gridCol w:w="500"/>
        <w:gridCol w:w="444"/>
        <w:gridCol w:w="604"/>
      </w:tblGrid>
      <w:tr>
        <w:trPr/>
        <w:tc>
          <w:tcPr>
            <w:tcW w:w="2168"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570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313D48"/>
                <w:sz w:val="16"/>
              </w:rPr>
              <w:t>Name and Position</w:t>
            </w:r>
            <w:r>
              <w:rPr>
                <w:rFonts w:ascii="ITC Avant Garde Pro Bk;sans-serif" w:hAnsi="ITC Avant Garde Pro Bk;sans-serif"/>
                <w:b/>
                <w:color w:val="313D48"/>
                <w:sz w:val="10"/>
              </w:rPr>
              <w:t>(1)</w:t>
            </w:r>
          </w:p>
        </w:tc>
        <w:tc>
          <w:tcPr>
            <w:tcW w:w="15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Number of RSUs</w:t>
              <w:br/>
              <w:t>Granted (#)</w:t>
            </w:r>
          </w:p>
        </w:tc>
        <w:tc>
          <w:tcPr>
            <w:tcW w:w="145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Number of PSUs</w:t>
              <w:br/>
              <w:t>Granted (#)</w:t>
            </w:r>
          </w:p>
        </w:tc>
        <w:tc>
          <w:tcPr>
            <w:tcW w:w="154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Number of MSUs</w:t>
              <w:br/>
              <w:t>Granted (#)</w:t>
            </w:r>
          </w:p>
        </w:tc>
      </w:tr>
      <w:tr>
        <w:trPr/>
        <w:tc>
          <w:tcPr>
            <w:tcW w:w="5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68D2C"/>
                <w:sz w:val="17"/>
              </w:rPr>
            </w:pPr>
            <w:r>
              <w:rPr>
                <w:rFonts w:ascii="ITC Avant Garde Pro Bk;sans-serif" w:hAnsi="ITC Avant Garde Pro Bk;sans-serif"/>
                <w:b/>
                <w:color w:val="F68D2C"/>
                <w:sz w:val="17"/>
              </w:rPr>
              <w:t>Toby J. Williams</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President, Chief Executive Officer and Director</w:t>
            </w:r>
          </w:p>
        </w:tc>
        <w:tc>
          <w:tcPr>
            <w:tcW w:w="10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241,988 </w:t>
            </w:r>
          </w:p>
        </w:tc>
        <w:tc>
          <w:tcPr>
            <w:tcW w:w="4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112,336 </w:t>
            </w:r>
          </w:p>
        </w:tc>
        <w:tc>
          <w:tcPr>
            <w:tcW w:w="4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57,871 </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68D2C"/>
                <w:sz w:val="17"/>
              </w:rPr>
            </w:pPr>
            <w:r>
              <w:rPr>
                <w:rFonts w:ascii="ITC Avant Garde Pro Bk;sans-serif" w:hAnsi="ITC Avant Garde Pro Bk;sans-serif"/>
                <w:b/>
                <w:color w:val="F68D2C"/>
                <w:sz w:val="17"/>
              </w:rPr>
              <w:t>Steven R. Beauchamp</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Executive Chairman</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30,807 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16,312 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8,404 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68D2C"/>
                <w:sz w:val="17"/>
              </w:rPr>
            </w:pPr>
            <w:r>
              <w:rPr>
                <w:rFonts w:ascii="ITC Avant Garde Pro Bk;sans-serif" w:hAnsi="ITC Avant Garde Pro Bk;sans-serif"/>
                <w:b/>
                <w:color w:val="F68D2C"/>
                <w:sz w:val="17"/>
              </w:rPr>
              <w:t>Ryan Glenn</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Chief Financial Officer</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109,178 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28,009 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14,005 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68D2C"/>
                <w:sz w:val="17"/>
              </w:rPr>
            </w:pPr>
            <w:r>
              <w:rPr>
                <w:rFonts w:ascii="ITC Avant Garde Pro Bk;sans-serif" w:hAnsi="ITC Avant Garde Pro Bk;sans-serif"/>
                <w:b/>
                <w:color w:val="F68D2C"/>
                <w:sz w:val="17"/>
              </w:rPr>
              <w:t>Joshua Scutt</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Senior Vice President of Sales and Marketing and Chief Sales Officer</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67,924 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18,066 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9,034 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68D2C"/>
                <w:sz w:val="17"/>
              </w:rPr>
            </w:pPr>
            <w:r>
              <w:rPr>
                <w:rFonts w:ascii="ITC Avant Garde Pro Bk;sans-serif" w:hAnsi="ITC Avant Garde Pro Bk;sans-serif"/>
                <w:b/>
                <w:color w:val="F68D2C"/>
                <w:sz w:val="17"/>
              </w:rPr>
              <w:t>Melissa King</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Senior Vice President of Product and Technology and Chief Product and Technology Officer</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60,484 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10,814 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5,407 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68D2C"/>
                <w:sz w:val="17"/>
              </w:rPr>
            </w:pPr>
            <w:r>
              <w:rPr>
                <w:rFonts w:ascii="ITC Avant Garde Pro Bk;sans-serif" w:hAnsi="ITC Avant Garde Pro Bk;sans-serif"/>
                <w:b/>
                <w:color w:val="F68D2C"/>
                <w:sz w:val="17"/>
              </w:rPr>
              <w:t>Andrew Cappotelli</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Senior Vice President of Operations and Chief Client Officer</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48,634 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11,968 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5,985 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Non-Executive Director Nominees</w:t>
            </w:r>
          </w:p>
        </w:tc>
        <w:tc>
          <w:tcPr>
            <w:tcW w:w="1502"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4" w:space="0" w:color="93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Linda M. Breard</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4,806 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Virginia G. Breen</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4,806 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Robin L. Pederson</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4,806 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Andres D. Reiner</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4,806 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Kenneth B. Robinson</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4,806 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Steven I. Sarowitz</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4,806 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68D2C"/>
                <w:sz w:val="17"/>
              </w:rPr>
            </w:pPr>
            <w:r>
              <w:rPr>
                <w:rFonts w:ascii="ITC Avant Garde Pro Bk;sans-serif" w:hAnsi="ITC Avant Garde Pro Bk;sans-serif"/>
                <w:b/>
                <w:color w:val="F68D2C"/>
                <w:sz w:val="17"/>
              </w:rPr>
              <w:t>Ronald V. Waters III</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4,806 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268"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All Executive Officers as a Group (7 persons)</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575,422 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197,505 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100,706 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tcBorders>
            <w:tcMar>
              <w:top w:w="30" w:type="dxa"/>
              <w:left w:w="0" w:type="dxa"/>
              <w:bottom w:w="0" w:type="dxa"/>
              <w:right w:w="0" w:type="dxa"/>
            </w:tcMar>
            <w:vAlign w:val="center"/>
          </w:tcPr>
          <w:p>
            <w:pPr>
              <w:pStyle w:val="TableContents"/>
              <w:bidi w:val="0"/>
              <w:spacing w:lineRule="auto" w:line="268"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All Directors Who Are Not Executive Officers as a Group (8 persons)</w:t>
            </w:r>
          </w:p>
        </w:tc>
        <w:tc>
          <w:tcPr>
            <w:tcW w:w="1045"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38,994 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457"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tcBorders>
            <w:tcMar>
              <w:top w:w="30" w:type="dxa"/>
              <w:left w:w="0" w:type="dxa"/>
              <w:bottom w:w="0" w:type="dxa"/>
              <w:right w:w="0" w:type="dxa"/>
            </w:tcMar>
            <w:vAlign w:val="center"/>
          </w:tcPr>
          <w:p>
            <w:pPr>
              <w:pStyle w:val="TableContents"/>
              <w:bidi w:val="0"/>
              <w:spacing w:lineRule="auto" w:line="312" w:before="0" w:after="283"/>
              <w:jc w:val="right"/>
              <w:rPr>
                <w:color w:val="313D48"/>
              </w:rPr>
            </w:pPr>
            <w:r>
              <w:rPr>
                <w:color w:val="313D48"/>
              </w:rPr>
              <w:t>— </w:t>
            </w:r>
          </w:p>
        </w:tc>
        <w:tc>
          <w:tcPr>
            <w:tcW w:w="604" w:type="dxa"/>
            <w:tcBorders>
              <w:top w:val="single" w:sz="4" w:space="0" w:color="93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2" w:type="dxa"/>
            <w:gridSpan w:val="3"/>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All Employees Who are Not Executive Officers as a Group</w:t>
            </w:r>
          </w:p>
        </w:tc>
        <w:tc>
          <w:tcPr>
            <w:tcW w:w="1045" w:type="dxa"/>
            <w:gridSpan w:val="2"/>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2,585,265 </w:t>
            </w:r>
          </w:p>
        </w:tc>
        <w:tc>
          <w:tcPr>
            <w:tcW w:w="457"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19,298 </w:t>
            </w:r>
          </w:p>
        </w:tc>
        <w:tc>
          <w:tcPr>
            <w:tcW w:w="457"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9,650 </w:t>
            </w:r>
          </w:p>
        </w:tc>
        <w:tc>
          <w:tcPr>
            <w:tcW w:w="604" w:type="dxa"/>
            <w:tcBorders>
              <w:top w:val="single" w:sz="4" w:space="0" w:color="939595"/>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7"/>
        </w:rPr>
        <w:t>No equity awards have been granted under the 2023 Plan to affiliates of any of our directors, executive officers or director nominees. Additionally, no other person received 5% of the awards under the 2023 Plan.</w:t>
      </w:r>
    </w:p>
    <w:p>
      <w:pPr>
        <w:pStyle w:val="TextBody"/>
        <w:bidi w:val="0"/>
        <w:spacing w:lineRule="auto" w:line="288" w:before="200" w:after="80"/>
        <w:jc w:val="left"/>
        <w:rPr>
          <w:rFonts w:ascii="ITC Avant Garde Pro Bk;sans-serif" w:hAnsi="ITC Avant Garde Pro Bk;sans-serif"/>
          <w:b/>
          <w:color w:val="F78D2D"/>
          <w:sz w:val="36"/>
        </w:rPr>
      </w:pPr>
      <w:r>
        <w:rPr>
          <w:rFonts w:ascii="ITC Avant Garde Pro Bk;sans-serif" w:hAnsi="ITC Avant Garde Pro Bk;sans-serif"/>
          <w:b/>
          <w:color w:val="F78D2D"/>
          <w:sz w:val="36"/>
        </w:rPr>
        <w:t>Registration with the SEC</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Subject to stockholder approval to amend and restate the 2023 Plan, we intend to file with the SEC a registration statement on Form S-8 covering the 1,230,000 additional shares reserved for issuance under the 2023 Plan.</w:t>
      </w:r>
    </w:p>
    <w:p>
      <w:pPr>
        <w:pStyle w:val="TextBody"/>
        <w:bidi w:val="0"/>
        <w:spacing w:lineRule="auto" w:line="288" w:before="200" w:after="80"/>
        <w:jc w:val="left"/>
        <w:rPr>
          <w:rFonts w:ascii="ITC Avant Garde Pro Bk;sans-serif" w:hAnsi="ITC Avant Garde Pro Bk;sans-serif"/>
          <w:b/>
          <w:color w:val="F78D2D"/>
          <w:sz w:val="36"/>
        </w:rPr>
      </w:pPr>
      <w:r>
        <w:rPr>
          <w:rFonts w:ascii="ITC Avant Garde Pro Bk;sans-serif" w:hAnsi="ITC Avant Garde Pro Bk;sans-serif"/>
          <w:b/>
          <w:color w:val="F78D2D"/>
          <w:sz w:val="36"/>
        </w:rPr>
        <w:t>Vote Required and Board of Directors Recommendation</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The affirmative vote of a majority of the voting power of the shares present at the meeting or represented by proxy and entitled to vote on the matter at the annual meeting is required for approval of this proposal. Abstentions will have the effect of a vote “against” this proposal. Broker non-votes will have no effect on the outcome of the vote. Should stockholder approval not be obtained, the second amendment and restatement of the 2023 Plan will not be implemented, and the 2023 Plan will continue in effect pursuant to its current terms.</w:t>
      </w:r>
    </w:p>
    <w:p>
      <w:pPr>
        <w:pStyle w:val="TextBody"/>
        <w:bidi w:val="0"/>
        <w:spacing w:lineRule="auto" w:line="300" w:before="80" w:after="8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The Board of directors believes that the proposed second amendment and restatement of the 2023 Plan is in the best interests of Paylocity and its stockholders for the reasons stated above. </w:t>
      </w:r>
    </w:p>
    <w:tbl>
      <w:tblPr>
        <w:tblW w:w="10205" w:type="dxa"/>
        <w:jc w:val="left"/>
        <w:tblInd w:w="0" w:type="dxa"/>
        <w:tblLayout w:type="fixed"/>
        <w:tblCellMar>
          <w:top w:w="28" w:type="dxa"/>
          <w:left w:w="28" w:type="dxa"/>
          <w:bottom w:w="28" w:type="dxa"/>
          <w:right w:w="28" w:type="dxa"/>
        </w:tblCellMar>
      </w:tblPr>
      <w:tblGrid>
        <w:gridCol w:w="406"/>
        <w:gridCol w:w="357"/>
        <w:gridCol w:w="358"/>
        <w:gridCol w:w="2658"/>
        <w:gridCol w:w="2658"/>
        <w:gridCol w:w="3768"/>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112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47700" cy="647700"/>
                  <wp:effectExtent l="0" t="0" r="0" b="0"/>
                  <wp:docPr id="16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89" descr=""/>
                          <pic:cNvPicPr>
                            <a:picLocks noChangeAspect="1" noChangeArrowheads="1"/>
                          </pic:cNvPicPr>
                        </pic:nvPicPr>
                        <pic:blipFill>
                          <a:blip r:embed="rId90"/>
                          <a:stretch>
                            <a:fillRect/>
                          </a:stretch>
                        </pic:blipFill>
                        <pic:spPr bwMode="auto">
                          <a:xfrm>
                            <a:off x="0" y="0"/>
                            <a:ext cx="647700" cy="647700"/>
                          </a:xfrm>
                          <a:prstGeom prst="rect">
                            <a:avLst/>
                          </a:prstGeom>
                        </pic:spPr>
                      </pic:pic>
                    </a:graphicData>
                  </a:graphic>
                </wp:inline>
              </w:drawing>
            </w:r>
            <w:bookmarkStart w:id="88" w:name="i-89"/>
            <w:bookmarkEnd w:id="88"/>
          </w:p>
        </w:tc>
        <w:tc>
          <w:tcPr>
            <w:tcW w:w="9084"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9084" w:type="dxa"/>
            <w:gridSpan w:val="3"/>
            <w:tcBorders/>
            <w:shd w:fill="F2F1EB" w:val="clear"/>
            <w:tcMar>
              <w:top w:w="0" w:type="dxa"/>
              <w:left w:w="0" w:type="dxa"/>
              <w:bottom w:w="0" w:type="dxa"/>
              <w:right w:w="0" w:type="dxa"/>
            </w:tcMar>
            <w:vAlign w:val="center"/>
          </w:tcPr>
          <w:p>
            <w:pPr>
              <w:pStyle w:val="TableContents"/>
              <w:bidi w:val="0"/>
              <w:spacing w:lineRule="auto" w:line="312" w:before="0" w:after="0"/>
              <w:jc w:val="left"/>
              <w:rPr/>
            </w:pPr>
            <w:r>
              <w:rPr>
                <w:rFonts w:ascii="ITC Avant Garde Pro Md;sans-serif" w:hAnsi="ITC Avant Garde Pro Md;sans-serif"/>
                <w:b w:val="false"/>
                <w:color w:val="313E48"/>
                <w:sz w:val="17"/>
              </w:rPr>
              <w:t xml:space="preserve">The Board of Directors unanimously recommends that you vote </w:t>
            </w:r>
            <w:r>
              <w:rPr>
                <w:color w:val="344049"/>
              </w:rPr>
              <w:t>“</w:t>
            </w:r>
            <w:r>
              <w:rPr>
                <w:rFonts w:ascii="ITC Avant Garde Pro Md;sans-serif" w:hAnsi="ITC Avant Garde Pro Md;sans-serif"/>
                <w:b/>
                <w:color w:val="EE2626"/>
                <w:sz w:val="17"/>
              </w:rPr>
              <w:t>FOR</w:t>
            </w:r>
            <w:r>
              <w:rPr>
                <w:color w:val="344049"/>
              </w:rPr>
              <w:t>”</w:t>
            </w:r>
            <w:r>
              <w:rPr>
                <w:color w:val="313E48"/>
              </w:rPr>
              <w:t xml:space="preserve"> </w:t>
            </w:r>
            <w:r>
              <w:rPr>
                <w:rFonts w:ascii="ITC Avant Garde Pro Md;sans-serif" w:hAnsi="ITC Avant Garde Pro Md;sans-serif"/>
                <w:b w:val="false"/>
                <w:color w:val="313E48"/>
                <w:sz w:val="17"/>
              </w:rPr>
              <w:t>the approval of the proposed second amended and restated 2023 equity incentive plan.</w:t>
            </w:r>
          </w:p>
        </w:tc>
      </w:tr>
      <w:tr>
        <w:trPr/>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9084" w:type="dxa"/>
            <w:gridSpan w:val="3"/>
            <w:tcBorders/>
            <w:shd w:fill="F2EE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25170"/>
                <wp:effectExtent l="0" t="0" r="0" b="0"/>
                <wp:wrapNone/>
                <wp:docPr id="163" name="Frame74"/>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72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72</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Stockholder Proposals or Nominations to be Presented at Next Annual Meeting</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Pursuant to Rule 14a-8 under the Exchange Act, certain stockholder proposals, other than director nominations, may be eligible for inclusion in our proxy statement for the 2028 annual meeting. These stockholder proposals must be submitted, along with proof of ownership of our stock in accordance with Rule 14a-8(b)(2), to the Corporate Secretary at our principal executive offices no later than the close of business on June 24, 2027 (120 days prior to the anniversary of this year’s mailing date). Failure to deliver a proposal in accordance with these procedures may result in it not being deemed timely received.</w:t>
      </w:r>
    </w:p>
    <w:p>
      <w:pPr>
        <w:pStyle w:val="TextBody"/>
        <w:bidi w:val="0"/>
        <w:spacing w:lineRule="auto" w:line="312" w:before="120" w:after="120"/>
        <w:jc w:val="left"/>
        <w:rPr/>
      </w:pPr>
      <w:r>
        <w:rPr>
          <w:rFonts w:ascii="ITC Avant Garde Pro Md;sans-serif" w:hAnsi="ITC Avant Garde Pro Md;sans-serif"/>
          <w:b w:val="false"/>
          <w:color w:val="313D48"/>
          <w:sz w:val="17"/>
        </w:rPr>
        <w:t>Submitting a stockholder proposal does not guarantee that we will include it in our proxy statement. Our nominating and corporate governance committee reviews all stockholder proposals and makes recommendations to the board for actions on such proposals. For information on qualifications of director nominees considered by our nominating and corporate governance committee, see the “</w:t>
      </w:r>
      <w:r>
        <w:rPr>
          <w:rFonts w:ascii="ITC Avant Garde Pro Md;sans-serif" w:hAnsi="ITC Avant Garde Pro Md;sans-serif"/>
          <w:b w:val="false"/>
          <w:i/>
          <w:color w:val="313D48"/>
          <w:sz w:val="17"/>
        </w:rPr>
        <w:t>Corporate Governance—Director Nominations</w:t>
      </w:r>
      <w:r>
        <w:rPr>
          <w:color w:val="313D48"/>
        </w:rPr>
        <w:t xml:space="preserve">” </w:t>
      </w:r>
      <w:r>
        <w:rPr>
          <w:rFonts w:ascii="ITC Avant Garde Pro Md;sans-serif" w:hAnsi="ITC Avant Garde Pro Md;sans-serif"/>
          <w:b w:val="false"/>
          <w:color w:val="313D48"/>
          <w:sz w:val="17"/>
        </w:rPr>
        <w:t>section of this Proxy Statement.</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In addition, our Bylaws establish advance notice procedures for any stockholder intending to nominate a candidate for election to the board or to bring a proposal at our 2028 annual meeting that is not included in our proxy materials. In accordance with our Bylaws, for a nominee or proposal not included in our proxy materials to be properly brought before the 2028 annual meeting, a stockholder's notice must be made to the Corporate Secretary at our principal executive offices, not earlier than the close of business on the 120th day (August 5, 2027) or later than the close of business on the 90th day (September 7, 2027) prior to the first anniversary of the date of the preceding year’s annual meeting as first specified in the notice of meeting (without regard to any postponements or adjournments of such meeting after the notice was first given). The notice must include the information specified in our Bylaws, including information concerning the nominee or proposal, as the case may be, and information concerning the proposing or nominating stockholder’s ownership of and agreements related to our stock. If the 2028 annual meeting is held more than 30 days before or after the first anniversary of the date of the 2027 annual meeting, the stockholder must submit notice of any such nomination or proposal by the later of the 90th day prior to the 2028 annual meeting or the 10th day following the date on which public announcement of the date of such meeting is first made. In addition to satisfying advance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October 4, 2027, which is 60 days prior to the anniversary date of the Annual Meeting. We will not entertain any proposals or nominations at the meeting that do not meet the requirements set forth in our Bylaws. If the stockholder does not also comply with the requirements of Rule 14a-4(c)(2) under the Exchange Act, we may exercise discretionary voting under proxies that we solicit to vote in accordance with our best judgment on any stockholder proposal or nomination. To make a submission or request a copy of our Bylaws, stockholders should contact our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28650"/>
                <wp:effectExtent l="0" t="0" r="0" b="0"/>
                <wp:wrapNone/>
                <wp:docPr id="164"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Transaction of Other Business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At the date of this Proxy Statement, the board of directors knows of no other business that will be conducted at the 2027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25170"/>
                <wp:effectExtent l="0" t="0" r="0" b="0"/>
                <wp:wrapNone/>
                <wp:docPr id="165" name="Frame76"/>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74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left"/>
                        <w:tblInd w:w="0" w:type="dxa"/>
                        <w:tblLayout w:type="fixed"/>
                        <w:tblCellMar>
                          <w:top w:w="28" w:type="dxa"/>
                          <w:left w:w="28" w:type="dxa"/>
                          <w:bottom w:w="28" w:type="dxa"/>
                          <w:right w:w="28" w:type="dxa"/>
                        </w:tblCellMar>
                      </w:tblPr>
                      <w:tblGrid>
                        <w:gridCol w:w="130"/>
                        <w:gridCol w:w="115"/>
                        <w:gridCol w:w="116"/>
                        <w:gridCol w:w="929"/>
                        <w:gridCol w:w="929"/>
                        <w:gridCol w:w="932"/>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74</w:t>
                            </w:r>
                          </w:p>
                        </w:tc>
                        <w:tc>
                          <w:tcPr>
                            <w:tcW w:w="27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Stockholders Sharing the Same Last Name and Address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To reduce the expense of delivering duplicate proxy materials to stockholders who may have more than one account holding Paylocity stock but sharing the same address, we have adopted a procedure approved by the SEC called “householding.” Under this procedure, certain stockholders of record who have the same address and last name, and who do not participate in electronic delivery of proxy materials, will receive only one copy of our Proxy Statement and Annual Report and, as applicable, any additional proxy materials that are delivered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If you receive a single set of proxy materials as a result of householding, and you would like to have separate copies of our annual report and other proxy materials mailed to you, please submit a written request to our Corporate Secretary, Paylocity Holding Corporation, 1400 American Lane, Schaumburg, Illinois 60173, or call our Investor Relations department at 847-463-3200, and we will promptly send you what you have requested. You can also contact our Corporate Secretary or Investor Relations department if you received multiple copies of the annual meeting materials and would prefer to receive a single copy in the future, or if you would like to opt out of householding for future mailings.</w:t>
      </w:r>
    </w:p>
    <w:p>
      <w:pPr>
        <w:pStyle w:val="TextBody"/>
        <w:bidi w:val="0"/>
        <w:spacing w:lineRule="auto" w:line="312"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By order of the board of directors</w:t>
      </w:r>
    </w:p>
    <w:tbl>
      <w:tblPr>
        <w:tblW w:w="3285" w:type="dxa"/>
        <w:jc w:val="left"/>
        <w:tblInd w:w="0" w:type="dxa"/>
        <w:tblLayout w:type="fixed"/>
        <w:tblCellMar>
          <w:top w:w="28" w:type="dxa"/>
          <w:left w:w="28" w:type="dxa"/>
          <w:bottom w:w="28" w:type="dxa"/>
          <w:right w:w="28" w:type="dxa"/>
        </w:tblCellMar>
      </w:tblPr>
      <w:tblGrid>
        <w:gridCol w:w="1052"/>
        <w:gridCol w:w="924"/>
        <w:gridCol w:w="1309"/>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542925"/>
                  <wp:effectExtent l="0" t="0" r="0" b="0"/>
                  <wp:docPr id="16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90" descr=""/>
                          <pic:cNvPicPr>
                            <a:picLocks noChangeAspect="1" noChangeArrowheads="1"/>
                          </pic:cNvPicPr>
                        </pic:nvPicPr>
                        <pic:blipFill>
                          <a:blip r:embed="rId91"/>
                          <a:stretch>
                            <a:fillRect/>
                          </a:stretch>
                        </pic:blipFill>
                        <pic:spPr bwMode="auto">
                          <a:xfrm>
                            <a:off x="0" y="0"/>
                            <a:ext cx="914400" cy="542925"/>
                          </a:xfrm>
                          <a:prstGeom prst="rect">
                            <a:avLst/>
                          </a:prstGeom>
                        </pic:spPr>
                      </pic:pic>
                    </a:graphicData>
                  </a:graphic>
                </wp:inline>
              </w:drawing>
            </w:r>
            <w:bookmarkStart w:id="89" w:name="i-90"/>
            <w:bookmarkEnd w:id="89"/>
          </w:p>
        </w:tc>
      </w:tr>
      <w:tr>
        <w:trPr/>
        <w:tc>
          <w:tcPr>
            <w:tcW w:w="328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313D48"/>
                <w:sz w:val="17"/>
              </w:rPr>
            </w:pPr>
            <w:r>
              <w:rPr>
                <w:rFonts w:ascii="ITC Avant Garde Pro Bk;sans-serif" w:hAnsi="ITC Avant Garde Pro Bk;sans-serif"/>
                <w:b/>
                <w:color w:val="313D48"/>
                <w:sz w:val="17"/>
              </w:rPr>
              <w:t>Toby Williams</w:t>
            </w:r>
          </w:p>
          <w:p>
            <w:pPr>
              <w:pStyle w:val="TableContents"/>
              <w:bidi w:val="0"/>
              <w:spacing w:lineRule="auto" w:line="312" w:before="0" w:after="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President and Chief Executive Officer</w:t>
            </w:r>
          </w:p>
        </w:tc>
      </w:tr>
    </w:tbl>
    <w:p>
      <w:pPr>
        <w:pStyle w:val="TextBody"/>
        <w:bidi w:val="0"/>
        <w:spacing w:lineRule="auto" w:line="312" w:before="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October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28650"/>
                <wp:effectExtent l="0" t="0" r="0" b="0"/>
                <wp:wrapNone/>
                <wp:docPr id="167" name="Frame7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523" w:type="dxa"/>
                        <w:jc w:val="right"/>
                        <w:tblInd w:w="0" w:type="dxa"/>
                        <w:tblLayout w:type="fixed"/>
                        <w:tblCellMar>
                          <w:top w:w="28" w:type="dxa"/>
                          <w:left w:w="28" w:type="dxa"/>
                          <w:bottom w:w="28" w:type="dxa"/>
                          <w:right w:w="28" w:type="dxa"/>
                        </w:tblCellMar>
                      </w:tblPr>
                      <w:tblGrid>
                        <w:gridCol w:w="124"/>
                        <w:gridCol w:w="109"/>
                        <w:gridCol w:w="109"/>
                        <w:gridCol w:w="929"/>
                        <w:gridCol w:w="929"/>
                        <w:gridCol w:w="932"/>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Appendix A - Non-GAAP Financial Measures</w:t>
      </w:r>
    </w:p>
    <w:p>
      <w:pPr>
        <w:pStyle w:val="TextBody"/>
        <w:bidi w:val="0"/>
        <w:spacing w:lineRule="auto" w:line="300"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We present certain non-GAAP financial measures in this proxy statement because we consider them to be important supplemental measures in evaluating our financial and operating performance. 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Management uses these non-GAAP financial measures for planning purposes, including analysis of the company's performance against prior periods, the preparation of operating budgets and to determine appropriate levels of operating and capital investments. </w:t>
      </w:r>
    </w:p>
    <w:p>
      <w:pPr>
        <w:pStyle w:val="TextBody"/>
        <w:bidi w:val="0"/>
        <w:spacing w:lineRule="auto" w:line="300" w:before="120" w:after="120"/>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 xml:space="preserve">Non-GAAP financial measures have limitations as an analytical tool. We encourage you to review the reconciliation of the non-GAAP measures to their most directly comparable GAAP measures provided in this proxy statement. We define Adjusted EBITDA as net income before interest expense, income tax expense, and depreciation and amortization expense, adjusted to eliminate stock-based compensation expense and employer payroll taxes related to stock releases and option exercises and other items as described below. Adjusted EBITDA excluding interest income on funds held for clients is calculated in the same manner as Adjusted EBITDA and is further adjusted to eliminate interest income on funds held for clients. We calculate Adjusted EBITDA margin as Adjusted EBITDA divided by total revenues. We calculate Adjusted EBITDA excluding interest income on funds held for clients margin as Adjusted EBITDA excluding interest income on funds held for clients divided by recurring and other revenue. Free cash flow is defined as net cash provided by operating activities less capitalized internal-use software costs and purchases of property and equipment. Free cash flow margin is calculated by dividing free cash flow by total revenues. Free cash flow excluding interest income on funds held for clients is defined in the same manner as free cash flow but also excludes interest income on funds held for clients. Free cash flow excluding interest income on funds held for clients margin is calculated by dividing free cash flow excluding interest income on funds held for clients by recurring and other revenue. Please note that other companies may define their non-GAAP financial measures differently than we do. </w:t>
      </w:r>
    </w:p>
    <w:tbl>
      <w:tblPr>
        <w:tblW w:w="10205" w:type="dxa"/>
        <w:jc w:val="left"/>
        <w:tblInd w:w="0" w:type="dxa"/>
        <w:tblLayout w:type="fixed"/>
        <w:tblCellMar>
          <w:top w:w="28" w:type="dxa"/>
          <w:left w:w="28" w:type="dxa"/>
          <w:bottom w:w="28" w:type="dxa"/>
          <w:right w:w="28" w:type="dxa"/>
        </w:tblCellMar>
      </w:tblPr>
      <w:tblGrid>
        <w:gridCol w:w="1359"/>
        <w:gridCol w:w="1196"/>
        <w:gridCol w:w="1199"/>
        <w:gridCol w:w="226"/>
        <w:gridCol w:w="946"/>
        <w:gridCol w:w="109"/>
        <w:gridCol w:w="226"/>
        <w:gridCol w:w="946"/>
        <w:gridCol w:w="109"/>
        <w:gridCol w:w="226"/>
        <w:gridCol w:w="946"/>
        <w:gridCol w:w="109"/>
        <w:gridCol w:w="226"/>
        <w:gridCol w:w="946"/>
        <w:gridCol w:w="109"/>
        <w:gridCol w:w="226"/>
        <w:gridCol w:w="946"/>
        <w:gridCol w:w="155"/>
      </w:tblGrid>
      <w:tr>
        <w:trPr/>
        <w:tc>
          <w:tcPr>
            <w:tcW w:w="135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4"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Reconciliation from Net income to Adjusted EBITDA and Adjusted EBITDA</w:t>
              <w:br/>
              <w:t xml:space="preserve">excluding interest income on funds held for clients </w:t>
              <w:br/>
              <w:t>($ in thousands):</w:t>
            </w:r>
          </w:p>
        </w:tc>
        <w:tc>
          <w:tcPr>
            <w:tcW w:w="6451"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ITC Avant Garde Pro Bk;sans-serif" w:hAnsi="ITC Avant Garde Pro Bk;sans-serif"/>
                <w:b/>
                <w:color w:val="313D48"/>
                <w:sz w:val="16"/>
              </w:rPr>
            </w:pPr>
            <w:r>
              <w:rPr>
                <w:rFonts w:ascii="ITC Avant Garde Pro Bk;sans-serif" w:hAnsi="ITC Avant Garde Pro Bk;sans-serif"/>
                <w:b/>
                <w:color w:val="313D48"/>
                <w:sz w:val="16"/>
              </w:rPr>
              <w:t>Year Ended June 30,</w:t>
            </w:r>
          </w:p>
        </w:tc>
      </w:tr>
      <w:tr>
        <w:trPr/>
        <w:tc>
          <w:tcPr>
            <w:tcW w:w="3754" w:type="dxa"/>
            <w:gridSpan w:val="3"/>
            <w:vMerge w:val="continue"/>
            <w:tcBorders/>
            <w:tcMar>
              <w:top w:w="0" w:type="dxa"/>
              <w:left w:w="0" w:type="dxa"/>
              <w:bottom w:w="0" w:type="dxa"/>
              <w:right w:w="0" w:type="dxa"/>
            </w:tcMar>
            <w:vAlign w:val="center"/>
          </w:tcPr>
          <w:p>
            <w:pPr>
              <w:pStyle w:val="Normal"/>
              <w:bidi w:val="0"/>
              <w:jc w:val="left"/>
              <w:rPr/>
            </w:pPr>
            <w:r>
              <w:rPr/>
            </w:r>
          </w:p>
        </w:tc>
        <w:tc>
          <w:tcPr>
            <w:tcW w:w="12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2022</w:t>
            </w:r>
          </w:p>
        </w:tc>
        <w:tc>
          <w:tcPr>
            <w:tcW w:w="12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2023</w:t>
            </w:r>
          </w:p>
        </w:tc>
        <w:tc>
          <w:tcPr>
            <w:tcW w:w="12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2024</w:t>
            </w:r>
          </w:p>
        </w:tc>
        <w:tc>
          <w:tcPr>
            <w:tcW w:w="12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2025</w:t>
            </w:r>
          </w:p>
        </w:tc>
        <w:tc>
          <w:tcPr>
            <w:tcW w:w="132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2026</w:t>
            </w:r>
          </w:p>
        </w:tc>
      </w:tr>
      <w:tr>
        <w:trPr/>
        <w:tc>
          <w:tcPr>
            <w:tcW w:w="3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Net income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90,777 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140,822 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206,766 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227,127 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269,741 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Interest expense</w:t>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498 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752 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758 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13,053 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5,828 </w:t>
            </w:r>
          </w:p>
        </w:tc>
        <w:tc>
          <w:tcPr>
            <w:tcW w:w="15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Income tax expense (benefit)</w:t>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(7,180)</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17,792 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70,249 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81,936 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117,562 </w:t>
            </w:r>
          </w:p>
        </w:tc>
        <w:tc>
          <w:tcPr>
            <w:tcW w:w="15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Depreciation and amortization expense</w:t>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50,218 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60,866 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76,426 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99,636 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111,797 </w:t>
            </w:r>
          </w:p>
        </w:tc>
        <w:tc>
          <w:tcPr>
            <w:tcW w:w="15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EBITDA</w:t>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134,313</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220,232</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354,199</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421,752</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504,928</w:t>
            </w:r>
            <w:r>
              <w:rPr>
                <w:color w:val="313D48"/>
              </w:rPr>
              <w:t> </w:t>
            </w:r>
          </w:p>
        </w:tc>
        <w:tc>
          <w:tcPr>
            <w:tcW w:w="155"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Stock-based compensation expense and employer payroll taxes</w:t>
              <w:br/>
              <w:t>related to stock releases and option exercises</w:t>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101,109 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154,505 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152,446 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150,063 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144,147 </w:t>
            </w:r>
          </w:p>
        </w:tc>
        <w:tc>
          <w:tcPr>
            <w:tcW w:w="15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0"/>
              <w:jc w:val="left"/>
              <w:rPr/>
            </w:pPr>
            <w:r>
              <w:rPr>
                <w:rFonts w:ascii="ITC Avant Garde Pro Bk;sans-serif" w:hAnsi="ITC Avant Garde Pro Bk;sans-serif"/>
                <w:b/>
                <w:color w:val="F78D2D"/>
                <w:sz w:val="17"/>
              </w:rPr>
              <w:t>Other items</w:t>
            </w:r>
            <w:r>
              <w:rPr>
                <w:rFonts w:ascii="ITC Avant Garde Pro Bk;sans-serif" w:hAnsi="ITC Avant Garde Pro Bk;sans-serif"/>
                <w:b/>
                <w:color w:val="313D48"/>
                <w:sz w:val="11"/>
              </w:rPr>
              <w:t>(1)</w:t>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2,378 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446 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(1,091)</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11,182 </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5,815 </w:t>
            </w:r>
          </w:p>
        </w:tc>
        <w:tc>
          <w:tcPr>
            <w:tcW w:w="15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Adjusted EBITDA</w:t>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237,800</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375,183</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505,554</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582,997</w:t>
            </w:r>
            <w:r>
              <w:rPr>
                <w:color w:val="313D48"/>
              </w:rPr>
              <w:t> </w:t>
            </w:r>
          </w:p>
        </w:tc>
        <w:tc>
          <w:tcPr>
            <w:tcW w:w="10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654,890</w:t>
            </w:r>
            <w:r>
              <w:rPr>
                <w:color w:val="313D48"/>
              </w:rPr>
              <w:t> </w:t>
            </w:r>
          </w:p>
        </w:tc>
        <w:tc>
          <w:tcPr>
            <w:tcW w:w="155"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Interest income on funds held for clients</w:t>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(4,957)</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(76,562)</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(120,835)</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(123,420)</w:t>
            </w:r>
          </w:p>
        </w:tc>
        <w:tc>
          <w:tcPr>
            <w:tcW w:w="10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946"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(119,964)</w:t>
            </w:r>
          </w:p>
        </w:tc>
        <w:tc>
          <w:tcPr>
            <w:tcW w:w="155"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Adjusted EBITDA excluding interest income on funds held for clients</w:t>
            </w:r>
          </w:p>
        </w:tc>
        <w:tc>
          <w:tcPr>
            <w:tcW w:w="22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232,843</w:t>
            </w:r>
            <w:r>
              <w:rPr>
                <w:color w:val="313D48"/>
              </w:rPr>
              <w:t> </w:t>
            </w:r>
          </w:p>
        </w:tc>
        <w:tc>
          <w:tcPr>
            <w:tcW w:w="109"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298,621</w:t>
            </w:r>
            <w:r>
              <w:rPr>
                <w:color w:val="313D48"/>
              </w:rPr>
              <w:t> </w:t>
            </w:r>
          </w:p>
        </w:tc>
        <w:tc>
          <w:tcPr>
            <w:tcW w:w="109"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384,719</w:t>
            </w:r>
            <w:r>
              <w:rPr>
                <w:color w:val="313D48"/>
              </w:rPr>
              <w:t> </w:t>
            </w:r>
          </w:p>
        </w:tc>
        <w:tc>
          <w:tcPr>
            <w:tcW w:w="109"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459,577</w:t>
            </w:r>
            <w:r>
              <w:rPr>
                <w:color w:val="313D48"/>
              </w:rPr>
              <w:t> </w:t>
            </w:r>
          </w:p>
        </w:tc>
        <w:tc>
          <w:tcPr>
            <w:tcW w:w="109"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946"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534,926</w:t>
            </w:r>
            <w:r>
              <w:rPr>
                <w:color w:val="313D48"/>
              </w:rPr>
              <w:t> </w:t>
            </w:r>
          </w:p>
        </w:tc>
        <w:tc>
          <w:tcPr>
            <w:tcW w:w="155"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80" w:after="80"/>
        <w:ind w:left="0" w:right="0" w:hanging="288"/>
        <w:jc w:val="left"/>
        <w:rPr/>
      </w:pPr>
      <w:r>
        <w:rPr>
          <w:rFonts w:ascii="ITC Avant Garde Pro Md;sans-serif" w:hAnsi="ITC Avant Garde Pro Md;sans-serif"/>
          <w:b w:val="false"/>
          <w:color w:val="313D48"/>
          <w:sz w:val="10"/>
        </w:rPr>
        <w:t>(1)</w:t>
      </w:r>
      <w:r>
        <w:rPr>
          <w:rFonts w:ascii="ITC Avant Garde Pro Md;sans-serif" w:hAnsi="ITC Avant Garde Pro Md;sans-serif"/>
          <w:b w:val="false"/>
          <w:color w:val="313D48"/>
          <w:sz w:val="16"/>
        </w:rPr>
        <w:t>Represents acquisition and nonrecurring transaction-related costs and severance costs related to certain roles that have been eliminated. We exclude one-off severance costs that we incur as part of the normal course of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8650"/>
                <wp:effectExtent l="0" t="0" r="0" b="0"/>
                <wp:wrapNone/>
                <wp:docPr id="168" name="Frame7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611" w:type="dxa"/>
                              <w:jc w:val="left"/>
                              <w:tblInd w:w="0" w:type="dxa"/>
                              <w:tblLayout w:type="fixed"/>
                              <w:tblCellMar>
                                <w:top w:w="28" w:type="dxa"/>
                                <w:left w:w="28" w:type="dxa"/>
                                <w:bottom w:w="28" w:type="dxa"/>
                                <w:right w:w="28" w:type="dxa"/>
                              </w:tblCellMar>
                            </w:tblPr>
                            <w:tblGrid>
                              <w:gridCol w:w="163"/>
                              <w:gridCol w:w="143"/>
                              <w:gridCol w:w="143"/>
                              <w:gridCol w:w="929"/>
                              <w:gridCol w:w="929"/>
                              <w:gridCol w:w="932"/>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A-1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611" w:type="dxa"/>
                        <w:jc w:val="left"/>
                        <w:tblInd w:w="0" w:type="dxa"/>
                        <w:tblLayout w:type="fixed"/>
                        <w:tblCellMar>
                          <w:top w:w="28" w:type="dxa"/>
                          <w:left w:w="28" w:type="dxa"/>
                          <w:bottom w:w="28" w:type="dxa"/>
                          <w:right w:w="28" w:type="dxa"/>
                        </w:tblCellMar>
                      </w:tblPr>
                      <w:tblGrid>
                        <w:gridCol w:w="163"/>
                        <w:gridCol w:w="143"/>
                        <w:gridCol w:w="143"/>
                        <w:gridCol w:w="929"/>
                        <w:gridCol w:w="929"/>
                        <w:gridCol w:w="932"/>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A-1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A - Non-GAAP Financial Measures</w:t>
      </w:r>
    </w:p>
    <w:p>
      <w:pPr>
        <w:pStyle w:val="TextBody"/>
        <w:bidi w:val="0"/>
        <w:spacing w:before="120" w:after="283"/>
        <w:jc w:val="right"/>
        <w:rPr/>
      </w:pPr>
      <w:r>
        <w:rPr/>
      </w:r>
    </w:p>
    <w:tbl>
      <w:tblPr>
        <w:tblW w:w="9314" w:type="dxa"/>
        <w:jc w:val="left"/>
        <w:tblInd w:w="0" w:type="dxa"/>
        <w:tblLayout w:type="fixed"/>
        <w:tblCellMar>
          <w:top w:w="28" w:type="dxa"/>
          <w:left w:w="28" w:type="dxa"/>
          <w:bottom w:w="28" w:type="dxa"/>
          <w:right w:w="28" w:type="dxa"/>
        </w:tblCellMar>
      </w:tblPr>
      <w:tblGrid>
        <w:gridCol w:w="2443"/>
        <w:gridCol w:w="2151"/>
        <w:gridCol w:w="2156"/>
        <w:gridCol w:w="169"/>
        <w:gridCol w:w="169"/>
        <w:gridCol w:w="169"/>
        <w:gridCol w:w="350"/>
        <w:gridCol w:w="1468"/>
        <w:gridCol w:w="239"/>
      </w:tblGrid>
      <w:tr>
        <w:trPr/>
        <w:tc>
          <w:tcPr>
            <w:tcW w:w="2443"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6"/>
              </w:rPr>
            </w:pPr>
            <w:r>
              <w:rPr>
                <w:rFonts w:ascii="ITC Avant Garde Pro Bk;sans-serif" w:hAnsi="ITC Avant Garde Pro Bk;sans-serif"/>
                <w:b/>
                <w:color w:val="313D48"/>
                <w:sz w:val="16"/>
              </w:rPr>
              <w:t xml:space="preserve">Reconciliation of Free cash flow and Free cash flow excluding interest </w:t>
              <w:br/>
              <w:t>income on funds held for clients:</w:t>
            </w:r>
          </w:p>
        </w:tc>
        <w:tc>
          <w:tcPr>
            <w:tcW w:w="2564"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ITC Avant Garde Pro Bk;sans-serif" w:hAnsi="ITC Avant Garde Pro Bk;sans-serif"/>
                <w:b/>
                <w:color w:val="313D48"/>
                <w:sz w:val="16"/>
              </w:rPr>
            </w:pPr>
            <w:r>
              <w:rPr>
                <w:rFonts w:ascii="ITC Avant Garde Pro Bk;sans-serif" w:hAnsi="ITC Avant Garde Pro Bk;sans-serif"/>
                <w:b/>
                <w:color w:val="313D48"/>
                <w:sz w:val="16"/>
              </w:rPr>
              <w:t>Year Ended June 30, 2026</w:t>
              <w:br/>
              <w:t>($ in thousands)</w:t>
            </w:r>
          </w:p>
        </w:tc>
      </w:tr>
      <w:tr>
        <w:trPr/>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Net cash provided by operating activities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533,252 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Capitalized internal-use software costs</w:t>
            </w:r>
          </w:p>
        </w:tc>
        <w:tc>
          <w:tcPr>
            <w:tcW w:w="50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468"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(69,302)</w:t>
            </w:r>
          </w:p>
        </w:tc>
        <w:tc>
          <w:tcPr>
            <w:tcW w:w="23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Purchases of property and equipment</w:t>
            </w:r>
          </w:p>
        </w:tc>
        <w:tc>
          <w:tcPr>
            <w:tcW w:w="50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468"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(36,152)</w:t>
            </w:r>
          </w:p>
        </w:tc>
        <w:tc>
          <w:tcPr>
            <w:tcW w:w="23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Free cash flow</w:t>
            </w:r>
          </w:p>
        </w:tc>
        <w:tc>
          <w:tcPr>
            <w:tcW w:w="507" w:type="dxa"/>
            <w:gridSpan w:val="3"/>
            <w:tcBorders>
              <w:top w:val="single" w:sz="8" w:space="0" w:color="313E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1468" w:type="dxa"/>
            <w:tcBorders>
              <w:top w:val="single" w:sz="8" w:space="0" w:color="313E48"/>
            </w:tcBorders>
            <w:tcMar>
              <w:top w:w="30" w:type="dxa"/>
              <w:left w:w="0" w:type="dxa"/>
              <w:bottom w:w="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427,798</w:t>
            </w:r>
            <w:r>
              <w:rPr>
                <w:color w:val="313D48"/>
              </w:rPr>
              <w:t> </w:t>
            </w:r>
          </w:p>
        </w:tc>
        <w:tc>
          <w:tcPr>
            <w:tcW w:w="239" w:type="dxa"/>
            <w:tcBorders>
              <w:top w:val="single" w:sz="8" w:space="0" w:color="313E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Interest income on funds held for clients</w:t>
            </w:r>
          </w:p>
        </w:tc>
        <w:tc>
          <w:tcPr>
            <w:tcW w:w="50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w:t>
            </w:r>
          </w:p>
        </w:tc>
        <w:tc>
          <w:tcPr>
            <w:tcW w:w="1468" w:type="dxa"/>
            <w:tcBorders>
              <w:top w:val="single" w:sz="4" w:space="0" w:color="929292"/>
            </w:tcBorders>
            <w:tcMar>
              <w:top w:w="30" w:type="dxa"/>
              <w:left w:w="0" w:type="dxa"/>
              <w:bottom w:w="0" w:type="dxa"/>
              <w:right w:w="0" w:type="dxa"/>
            </w:tcMar>
            <w:vAlign w:val="center"/>
          </w:tcPr>
          <w:p>
            <w:pPr>
              <w:pStyle w:val="TableContents"/>
              <w:bidi w:val="0"/>
              <w:spacing w:lineRule="auto" w:line="312" w:before="0" w:after="283"/>
              <w:jc w:val="right"/>
              <w:rPr>
                <w:rFonts w:ascii="ITC Avant Garde Pro Md;sans-serif" w:hAnsi="ITC Avant Garde Pro Md;sans-serif"/>
                <w:b w:val="false"/>
                <w:color w:val="313D48"/>
                <w:sz w:val="17"/>
              </w:rPr>
            </w:pPr>
            <w:r>
              <w:rPr>
                <w:rFonts w:ascii="ITC Avant Garde Pro Md;sans-serif" w:hAnsi="ITC Avant Garde Pro Md;sans-serif"/>
                <w:b w:val="false"/>
                <w:color w:val="313D48"/>
                <w:sz w:val="17"/>
              </w:rPr>
              <w:t>(119,964)</w:t>
            </w:r>
          </w:p>
        </w:tc>
        <w:tc>
          <w:tcPr>
            <w:tcW w:w="239"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op w:val="single" w:sz="4" w:space="0" w:color="929292"/>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Free cash flow excluding interest income on funds held for clients</w:t>
            </w:r>
          </w:p>
        </w:tc>
        <w:tc>
          <w:tcPr>
            <w:tcW w:w="507" w:type="dxa"/>
            <w:gridSpan w:val="3"/>
            <w:tcBorders>
              <w:top w:val="single" w:sz="8" w:space="0" w:color="313E48"/>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ITC Avant Garde Pro Bk;sans-serif" w:hAnsi="ITC Avant Garde Pro Bk;sans-serif"/>
                <w:b/>
                <w:color w:val="313D48"/>
                <w:sz w:val="17"/>
              </w:rPr>
            </w:pPr>
            <w:r>
              <w:rPr>
                <w:rFonts w:ascii="ITC Avant Garde Pro Bk;sans-serif" w:hAnsi="ITC Avant Garde Pro Bk;sans-serif"/>
                <w:b/>
                <w:color w:val="313D48"/>
                <w:sz w:val="17"/>
              </w:rPr>
              <w:t>$</w:t>
            </w:r>
          </w:p>
        </w:tc>
        <w:tc>
          <w:tcPr>
            <w:tcW w:w="1468"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pPr>
            <w:r>
              <w:rPr>
                <w:rFonts w:ascii="ITC Avant Garde Pro Bk;sans-serif" w:hAnsi="ITC Avant Garde Pro Bk;sans-serif"/>
                <w:b/>
                <w:color w:val="313D48"/>
                <w:sz w:val="17"/>
              </w:rPr>
              <w:t>307,834</w:t>
            </w:r>
            <w:r>
              <w:rPr>
                <w:color w:val="313D48"/>
              </w:rPr>
              <w:t> </w:t>
            </w:r>
          </w:p>
        </w:tc>
        <w:tc>
          <w:tcPr>
            <w:tcW w:w="239" w:type="dxa"/>
            <w:tcBorders>
              <w:top w:val="single" w:sz="8" w:space="0" w:color="313E48"/>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62000"/>
                <wp:effectExtent l="0" t="0" r="0" b="0"/>
                <wp:wrapNone/>
                <wp:docPr id="169" name="Frame79"/>
                <a:graphic xmlns:a="http://schemas.openxmlformats.org/drawingml/2006/main">
                  <a:graphicData uri="http://schemas.microsoft.com/office/word/2010/wordprocessingShape">
                    <wps:wsp>
                      <wps:cNvSpPr txBox="1"/>
                      <wps:spPr>
                        <a:xfrm>
                          <a:off x="0" y="0"/>
                          <a:ext cx="6480175" cy="762000"/>
                        </a:xfrm>
                        <a:prstGeom prst="rect"/>
                        <a:solidFill>
                          <a:srgbClr val="FFFFFF"/>
                        </a:solidFill>
                      </wps:spPr>
                      <wps:txbx>
                        <w:txbxContent>
                          <w:tbl>
                            <w:tblPr>
                              <w:tblW w:w="3611"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pt;mso-wrap-distance-left:0pt;mso-wrap-distance-right:0pt;mso-wrap-distance-top:0pt;mso-wrap-distance-bottom:0pt;margin-top:0pt;mso-position-vertical:top;mso-position-vertical-relative:text;margin-left:0pt;mso-position-horizontal:left;mso-position-horizontal-relative:text">
                <v:textbox>
                  <w:txbxContent>
                    <w:tbl>
                      <w:tblPr>
                        <w:tblW w:w="3611"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Bk;sans-serif" w:hAnsi="ITC Avant Garde Pro Bk;sans-serif"/>
                                <w:b/>
                                <w:color w:val="F78D2D"/>
                                <w:sz w:val="17"/>
                              </w:rPr>
                            </w:pPr>
                            <w:r>
                              <w:rPr>
                                <w:rFonts w:ascii="ITC Avant Garde Pro Bk;sans-serif" w:hAnsi="ITC Avant Garde Pro Bk;sans-serif"/>
                                <w:b/>
                                <w:color w:val="F78D2D"/>
                                <w:sz w:val="17"/>
                              </w:rPr>
                              <w:t>A-2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288" w:before="200" w:after="560"/>
        <w:jc w:val="left"/>
        <w:rPr>
          <w:rFonts w:ascii="ITC Avant Garde Pro Bk;sans-serif" w:hAnsi="ITC Avant Garde Pro Bk;sans-serif"/>
          <w:b/>
          <w:color w:val="313D48"/>
          <w:sz w:val="56"/>
        </w:rPr>
      </w:pPr>
      <w:r>
        <w:rPr>
          <w:rFonts w:ascii="ITC Avant Garde Pro Bk;sans-serif" w:hAnsi="ITC Avant Garde Pro Bk;sans-serif"/>
          <w:b/>
          <w:color w:val="313D48"/>
          <w:sz w:val="56"/>
        </w:rPr>
        <w:t>Appendix B</w:t>
      </w:r>
    </w:p>
    <w:p>
      <w:pPr>
        <w:pStyle w:val="TextBody"/>
        <w:bidi w:val="0"/>
        <w:spacing w:lineRule="auto" w:line="312" w:before="0" w:after="0"/>
        <w:jc w:val="center"/>
        <w:rPr>
          <w:rFonts w:ascii="ITC Avant Garde Pro Bk;sans-serif" w:hAnsi="ITC Avant Garde Pro Bk;sans-serif"/>
          <w:b/>
          <w:color w:val="313D48"/>
          <w:sz w:val="17"/>
        </w:rPr>
      </w:pPr>
      <w:r>
        <w:rPr>
          <w:rFonts w:ascii="ITC Avant Garde Pro Bk;sans-serif" w:hAnsi="ITC Avant Garde Pro Bk;sans-serif"/>
          <w:b/>
          <w:color w:val="313D48"/>
          <w:sz w:val="17"/>
        </w:rPr>
        <w:t xml:space="preserve">PAYLOCITY HOLDING CORPORATION </w:t>
      </w:r>
    </w:p>
    <w:p>
      <w:pPr>
        <w:pStyle w:val="TextBody"/>
        <w:bidi w:val="0"/>
        <w:spacing w:lineRule="auto" w:line="312" w:before="0" w:after="0"/>
        <w:jc w:val="center"/>
        <w:rPr>
          <w:rFonts w:ascii="ITC Avant Garde Pro Bk;sans-serif" w:hAnsi="ITC Avant Garde Pro Bk;sans-serif"/>
          <w:b/>
          <w:color w:val="313D48"/>
          <w:sz w:val="17"/>
        </w:rPr>
      </w:pPr>
      <w:r>
        <w:rPr>
          <w:rFonts w:ascii="ITC Avant Garde Pro Bk;sans-serif" w:hAnsi="ITC Avant Garde Pro Bk;sans-serif"/>
          <w:b/>
          <w:color w:val="313D48"/>
          <w:sz w:val="17"/>
        </w:rPr>
        <w:t>SECOND AMENDED AND RESTATED 2023 EQUITY INCENTIVE PLAN</w:t>
      </w:r>
    </w:p>
    <w:p>
      <w:pPr>
        <w:pStyle w:val="TextBody"/>
        <w:bidi w:val="0"/>
        <w:spacing w:lineRule="auto" w:line="312" w:before="0" w:after="0"/>
        <w:jc w:val="center"/>
        <w:rPr>
          <w:rFonts w:ascii="ITC Avant Garde Pro Bk;sans-serif" w:hAnsi="ITC Avant Garde Pro Bk;sans-serif"/>
          <w:b/>
          <w:color w:val="313D48"/>
          <w:sz w:val="17"/>
        </w:rPr>
      </w:pPr>
      <w:r>
        <w:rPr>
          <w:rFonts w:ascii="ITC Avant Garde Pro Bk;sans-serif" w:hAnsi="ITC Avant Garde Pro Bk;sans-serif"/>
          <w:b/>
          <w:color w:val="313D48"/>
          <w:sz w:val="17"/>
        </w:rPr>
        <w:t>(AS AMENDED AND RESTATED EFFECTIVE DECEMBER 3, 2026)</w:t>
      </w:r>
    </w:p>
    <w:p>
      <w:pPr>
        <w:pStyle w:val="TextBody"/>
        <w:bidi w:val="0"/>
        <w:spacing w:before="0" w:after="0"/>
        <w:jc w:val="center"/>
        <w:rPr/>
      </w:pPr>
      <w:r>
        <w:rPr/>
      </w:r>
    </w:p>
    <w:p>
      <w:pPr>
        <w:pStyle w:val="TextBody"/>
        <w:bidi w:val="0"/>
        <w:spacing w:lineRule="auto" w:line="312" w:before="120" w:after="120"/>
        <w:ind w:left="0" w:right="0" w:firstLine="720"/>
        <w:jc w:val="both"/>
        <w:rPr/>
      </w:pPr>
      <w:r>
        <w:rPr>
          <w:rFonts w:ascii="ITC Avant Garde Pro Bk;sans-serif" w:hAnsi="ITC Avant Garde Pro Bk;sans-serif"/>
          <w:b/>
          <w:color w:val="313D48"/>
          <w:sz w:val="16"/>
        </w:rPr>
        <w:t>1.</w:t>
      </w:r>
      <w:r>
        <w:rPr>
          <w:rFonts w:ascii="ITC Avant Garde Pro Md;sans-serif" w:hAnsi="ITC Avant Garde Pro Md;sans-serif"/>
          <w:b/>
          <w:color w:val="313D48"/>
          <w:sz w:val="16"/>
          <w:u w:val="single"/>
        </w:rPr>
        <w:t>Establishment, Purpose and Term of Plan</w:t>
      </w:r>
      <w:r>
        <w:rPr>
          <w:rFonts w:ascii="ITC Avant Garde Pro Md;sans-serif" w:hAnsi="ITC Avant Garde Pro Md;sans-serif"/>
          <w:b/>
          <w:color w:val="313D48"/>
          <w:sz w:val="16"/>
        </w:rPr>
        <w: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w:t>
      </w:r>
      <w:r>
        <w:rPr>
          <w:rFonts w:ascii="ITC Avant Garde Pro Md;sans-serif" w:hAnsi="ITC Avant Garde Pro Md;sans-serif"/>
          <w:b/>
          <w:color w:val="313D48"/>
          <w:sz w:val="16"/>
        </w:rPr>
        <w:t>Establishment.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val="false"/>
          <w:color w:val="313D48"/>
          <w:sz w:val="16"/>
        </w:rPr>
        <w:t>The Paylocity Holding Corporation 2023 Equity Incentive Plan (the “</w:t>
      </w:r>
      <w:r>
        <w:rPr>
          <w:rFonts w:ascii="ITC Avant Garde Pro Md;sans-serif" w:hAnsi="ITC Avant Garde Pro Md;sans-serif"/>
          <w:b/>
          <w:i/>
          <w:color w:val="313D48"/>
          <w:sz w:val="16"/>
        </w:rPr>
        <w:t>Plan</w:t>
      </w:r>
      <w:r>
        <w:rPr>
          <w:color w:val="313D48"/>
        </w:rPr>
        <w:t>”</w:t>
      </w:r>
      <w:r>
        <w:rPr>
          <w:rFonts w:ascii="ITC Avant Garde Pro Md;sans-serif" w:hAnsi="ITC Avant Garde Pro Md;sans-serif"/>
          <w:b w:val="false"/>
          <w:color w:val="313D48"/>
          <w:sz w:val="16"/>
        </w:rPr>
        <w:t xml:space="preserve">) was originally established effective as of the Effective Date and this amendment and restatement thereof as set forth in this Paylocity Holding Corporation Second Amended and Restated 2023 Equity Incentive Plan (the </w:t>
      </w:r>
      <w:r>
        <w:rPr>
          <w:rFonts w:ascii="ITC Avant Garde Pro Md;sans-serif" w:hAnsi="ITC Avant Garde Pro Md;sans-serif"/>
          <w:b w:val="false"/>
          <w:i/>
          <w:color w:val="313D48"/>
          <w:sz w:val="16"/>
        </w:rPr>
        <w:t>"</w:t>
      </w:r>
      <w:r>
        <w:rPr>
          <w:rFonts w:ascii="ITC Avant Garde Pro Md;sans-serif" w:hAnsi="ITC Avant Garde Pro Md;sans-serif"/>
          <w:b/>
          <w:i/>
          <w:color w:val="313D48"/>
          <w:sz w:val="16"/>
        </w:rPr>
        <w:t>Plan</w:t>
      </w:r>
      <w:r>
        <w:rPr>
          <w:rFonts w:ascii="ITC Avant Garde Pro Md;sans-serif" w:hAnsi="ITC Avant Garde Pro Md;sans-serif"/>
          <w:b w:val="false"/>
          <w:i/>
          <w:color w:val="313D48"/>
          <w:sz w:val="16"/>
        </w:rPr>
        <w:t>"</w:t>
      </w:r>
      <w:r>
        <w:rPr>
          <w:rFonts w:ascii="ITC Avant Garde Pro Md;sans-serif" w:hAnsi="ITC Avant Garde Pro Md;sans-serif"/>
          <w:b w:val="false"/>
          <w:color w:val="313D48"/>
          <w:sz w:val="16"/>
        </w:rPr>
        <w:t xml:space="preserve">) is effective on December 3, 2026 (the </w:t>
      </w:r>
      <w:r>
        <w:rPr>
          <w:rFonts w:ascii="ITC Avant Garde Pro Md;sans-serif" w:hAnsi="ITC Avant Garde Pro Md;sans-serif"/>
          <w:b w:val="false"/>
          <w:i/>
          <w:color w:val="313D48"/>
          <w:sz w:val="16"/>
        </w:rPr>
        <w:t>"</w:t>
      </w:r>
      <w:r>
        <w:rPr>
          <w:rFonts w:ascii="ITC Avant Garde Pro Md;sans-serif" w:hAnsi="ITC Avant Garde Pro Md;sans-serif"/>
          <w:b/>
          <w:i/>
          <w:color w:val="313D48"/>
          <w:sz w:val="16"/>
        </w:rPr>
        <w:t>Amendment Effective Date</w:t>
      </w:r>
      <w:r>
        <w:rPr>
          <w:rFonts w:ascii="ITC Avant Garde Pro Md;sans-serif" w:hAnsi="ITC Avant Garde Pro Md;sans-serif"/>
          <w:b w:val="false"/>
          <w:i/>
          <w:color w:val="313D48"/>
          <w:sz w:val="16"/>
        </w:rPr>
        <w:t>"</w:t>
      </w:r>
      <w:r>
        <w:rPr>
          <w:rFonts w:ascii="ITC Avant Garde Pro Md;sans-serif" w:hAnsi="ITC Avant Garde Pro Md;sans-serif"/>
          <w:b w:val="false"/>
          <w:color w:val="313D48"/>
          <w:sz w:val="16"/>
        </w:rPr>
        <w:t>). Certain capitalized terms used herein have the meanings set forth in Section 2 of the Plan.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val="false"/>
          <w:color w:val="313D48"/>
          <w:sz w:val="16"/>
        </w:rPr>
        <w:t xml:space="preserve">The Plan is the successor to the Prior Plan. As of the Effective Date: (i) no additional awards may be granted under the Prior Plan; (ii) any Returning Shares will become available for issuance pursuant to Awards granted under this Plan; and (iii) all awards granted under the Prior Plan that are outstanding on the Effective Date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1.2</w:t>
      </w:r>
      <w:r>
        <w:rPr>
          <w:rFonts w:ascii="ITC Avant Garde Pro Md;sans-serif" w:hAnsi="ITC Avant Garde Pro Md;sans-serif"/>
          <w:b/>
          <w:color w:val="313D48"/>
          <w:sz w:val="16"/>
        </w:rPr>
        <w:t>Purpose</w:t>
      </w:r>
      <w:r>
        <w:rPr>
          <w:rFonts w:ascii="ITC Avant Garde Pro Md;sans-serif" w:hAnsi="ITC Avant Garde Pro Md;sans-serif"/>
          <w:b w:val="false"/>
          <w:color w:val="313D48"/>
          <w:sz w:val="16"/>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1.3</w:t>
      </w:r>
      <w:r>
        <w:rPr>
          <w:rFonts w:ascii="ITC Avant Garde Pro Md;sans-serif" w:hAnsi="ITC Avant Garde Pro Md;sans-serif"/>
          <w:b/>
          <w:color w:val="313D48"/>
          <w:sz w:val="16"/>
        </w:rPr>
        <w:t>Term of Plan</w:t>
      </w:r>
      <w:r>
        <w:rPr>
          <w:rFonts w:ascii="ITC Avant Garde Pro Md;sans-serif" w:hAnsi="ITC Avant Garde Pro Md;sans-serif"/>
          <w:b w:val="false"/>
          <w:color w:val="313D48"/>
          <w:sz w:val="16"/>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2.</w:t>
      </w:r>
      <w:r>
        <w:rPr>
          <w:rFonts w:ascii="ITC Avant Garde Pro Md;sans-serif" w:hAnsi="ITC Avant Garde Pro Md;sans-serif"/>
          <w:b/>
          <w:color w:val="313D48"/>
          <w:sz w:val="16"/>
          <w:u w:val="single"/>
        </w:rPr>
        <w:t>Definitions and Construction</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2.1</w:t>
      </w:r>
      <w:r>
        <w:rPr>
          <w:rFonts w:ascii="ITC Avant Garde Pro Md;sans-serif" w:hAnsi="ITC Avant Garde Pro Md;sans-serif"/>
          <w:b/>
          <w:color w:val="313D48"/>
          <w:sz w:val="16"/>
        </w:rPr>
        <w:t>Definitions</w:t>
      </w:r>
      <w:r>
        <w:rPr>
          <w:rFonts w:ascii="ITC Avant Garde Pro Md;sans-serif" w:hAnsi="ITC Avant Garde Pro Md;sans-serif"/>
          <w:b w:val="false"/>
          <w:color w:val="313D48"/>
          <w:sz w:val="16"/>
        </w:rPr>
        <w:t>. Whenever used herein, the following terms shall have their respective meanings set forth below:</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color w:val="313D48"/>
        </w:rPr>
        <w:t>“</w:t>
      </w:r>
      <w:r>
        <w:rPr>
          <w:rFonts w:ascii="ITC Avant Garde Pro Md;sans-serif" w:hAnsi="ITC Avant Garde Pro Md;sans-serif"/>
          <w:b/>
          <w:i/>
          <w:color w:val="313D48"/>
          <w:sz w:val="16"/>
        </w:rPr>
        <w:t>Affiliate</w:t>
      </w:r>
      <w:r>
        <w:rPr>
          <w:color w:val="313D48"/>
        </w:rPr>
        <w:t xml:space="preserve">” </w:t>
      </w:r>
      <w:r>
        <w:rPr>
          <w:rFonts w:ascii="ITC Avant Garde Pro Md;sans-serif" w:hAnsi="ITC Avant Garde Pro Md;sans-serif"/>
          <w:b w:val="false"/>
          <w:color w:val="313D48"/>
          <w:sz w:val="16"/>
        </w:rPr>
        <w:t>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color w:val="313D48"/>
        </w:rPr>
        <w:t>“</w:t>
      </w:r>
      <w:r>
        <w:rPr>
          <w:rFonts w:ascii="ITC Avant Garde Pro Md;sans-serif" w:hAnsi="ITC Avant Garde Pro Md;sans-serif"/>
          <w:b/>
          <w:i/>
          <w:color w:val="313D48"/>
          <w:sz w:val="16"/>
        </w:rPr>
        <w:t>Award</w:t>
      </w:r>
      <w:r>
        <w:rPr>
          <w:color w:val="313D48"/>
        </w:rPr>
        <w:t xml:space="preserve">” </w:t>
      </w:r>
      <w:r>
        <w:rPr>
          <w:rFonts w:ascii="ITC Avant Garde Pro Md;sans-serif" w:hAnsi="ITC Avant Garde Pro Md;sans-serif"/>
          <w:b w:val="false"/>
          <w:color w:val="313D48"/>
          <w:sz w:val="16"/>
        </w:rPr>
        <w:t>means any Option, Stock Appreciation Right, Restricted Stock Purchase Right, Restricted Stock Bonus, Restricted Stock Unit, Performance Share, Performance Unit, Cash-Based Award or Other Stock-Based Award granted under the Plan.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color w:val="313D48"/>
        </w:rPr>
        <w:t>“</w:t>
      </w:r>
      <w:r>
        <w:rPr>
          <w:rFonts w:ascii="ITC Avant Garde Pro Md;sans-serif" w:hAnsi="ITC Avant Garde Pro Md;sans-serif"/>
          <w:b/>
          <w:i/>
          <w:color w:val="313D48"/>
          <w:sz w:val="16"/>
        </w:rPr>
        <w:t>Award Agreement</w:t>
      </w:r>
      <w:r>
        <w:rPr>
          <w:color w:val="313D48"/>
        </w:rPr>
        <w:t xml:space="preserve">” </w:t>
      </w:r>
      <w:r>
        <w:rPr>
          <w:rFonts w:ascii="ITC Avant Garde Pro Md;sans-serif" w:hAnsi="ITC Avant Garde Pro Md;sans-serif"/>
          <w:b w:val="false"/>
          <w:color w:val="313D48"/>
          <w:sz w:val="16"/>
        </w:rPr>
        <w:t>means a written or electronic agreement between the Company and a Participant setting forth the terms, conditions and restrictions applicable to an Award.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(d)</w:t>
      </w:r>
      <w:r>
        <w:rPr>
          <w:color w:val="313D48"/>
        </w:rPr>
        <w:t>“</w:t>
      </w:r>
      <w:r>
        <w:rPr>
          <w:rFonts w:ascii="ITC Avant Garde Pro Md;sans-serif" w:hAnsi="ITC Avant Garde Pro Md;sans-serif"/>
          <w:b/>
          <w:i/>
          <w:color w:val="313D48"/>
          <w:sz w:val="16"/>
        </w:rPr>
        <w:t>Board</w:t>
      </w:r>
      <w:r>
        <w:rPr>
          <w:color w:val="313D48"/>
        </w:rPr>
        <w:t xml:space="preserve">” </w:t>
      </w:r>
      <w:r>
        <w:rPr>
          <w:rFonts w:ascii="ITC Avant Garde Pro Md;sans-serif" w:hAnsi="ITC Avant Garde Pro Md;sans-serif"/>
          <w:b w:val="false"/>
          <w:color w:val="313D48"/>
          <w:sz w:val="16"/>
        </w:rPr>
        <w:t>means the Board of Directors of the Company.</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(e)</w:t>
      </w:r>
      <w:r>
        <w:rPr>
          <w:color w:val="313D48"/>
        </w:rPr>
        <w:t>“</w:t>
      </w:r>
      <w:r>
        <w:rPr>
          <w:rFonts w:ascii="ITC Avant Garde Pro Md;sans-serif" w:hAnsi="ITC Avant Garde Pro Md;sans-serif"/>
          <w:b/>
          <w:i/>
          <w:color w:val="313D48"/>
          <w:sz w:val="16"/>
        </w:rPr>
        <w:t>Cash-Based Award</w:t>
      </w:r>
      <w:r>
        <w:rPr>
          <w:color w:val="313D48"/>
        </w:rPr>
        <w:t xml:space="preserve">” </w:t>
      </w:r>
      <w:r>
        <w:rPr>
          <w:rFonts w:ascii="ITC Avant Garde Pro Md;sans-serif" w:hAnsi="ITC Avant Garde Pro Md;sans-serif"/>
          <w:b w:val="false"/>
          <w:color w:val="313D48"/>
          <w:sz w:val="16"/>
        </w:rPr>
        <w:t>means an Award denominated in cash and granted pursuant to Section 11.</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(f)</w:t>
      </w:r>
      <w:r>
        <w:rPr>
          <w:color w:val="313D48"/>
        </w:rPr>
        <w:t>“</w:t>
      </w:r>
      <w:r>
        <w:rPr>
          <w:rFonts w:ascii="ITC Avant Garde Pro Md;sans-serif" w:hAnsi="ITC Avant Garde Pro Md;sans-serif"/>
          <w:b/>
          <w:i/>
          <w:color w:val="313D48"/>
          <w:sz w:val="16"/>
        </w:rPr>
        <w:t>Cashless Exercise</w:t>
      </w:r>
      <w:r>
        <w:rPr>
          <w:color w:val="313D48"/>
        </w:rPr>
        <w:t xml:space="preserve">” </w:t>
      </w:r>
      <w:r>
        <w:rPr>
          <w:rFonts w:ascii="ITC Avant Garde Pro Md;sans-serif" w:hAnsi="ITC Avant Garde Pro Md;sans-serif"/>
          <w:b w:val="false"/>
          <w:color w:val="313D48"/>
          <w:sz w:val="16"/>
        </w:rPr>
        <w:t>means a Cashless Exercise as defined in Section 6.3(b)(i).</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(g)</w:t>
      </w:r>
      <w:r>
        <w:rPr>
          <w:color w:val="313D48"/>
        </w:rPr>
        <w:t>“</w:t>
      </w:r>
      <w:r>
        <w:rPr>
          <w:rFonts w:ascii="ITC Avant Garde Pro Md;sans-serif" w:hAnsi="ITC Avant Garde Pro Md;sans-serif"/>
          <w:b/>
          <w:i/>
          <w:color w:val="313D48"/>
          <w:sz w:val="16"/>
        </w:rPr>
        <w:t>Cause</w:t>
      </w:r>
      <w:r>
        <w:rPr>
          <w:color w:val="313D48"/>
        </w:rPr>
        <w:t xml:space="preserve">” </w:t>
      </w:r>
      <w:r>
        <w:rPr>
          <w:rFonts w:ascii="ITC Avant Garde Pro Md;sans-serif" w:hAnsi="ITC Avant Garde Pro Md;sans-serif"/>
          <w:b w:val="false"/>
          <w:color w:val="313D48"/>
          <w:sz w:val="16"/>
          <w:shd w:fill="FFFFFF" w:val="clear"/>
        </w:rPr>
        <w:t xml:space="preserve">has the meaning ascribed to such term in any written agreement between the Participant and the applicable Participating Company that employs or engages Participant defining such term and, in the absence of such an agreement that contains such term, ”Cause” means, with respect to a Participant, the occurrence of any of the following events: </w:t>
      </w:r>
      <w:r>
        <w:rPr>
          <w:rFonts w:ascii="ITC Avant Garde Pro Md;sans-serif" w:hAnsi="ITC Avant Garde Pro Md;sans-serif"/>
          <w:b w:val="false"/>
          <w:color w:val="313D48"/>
          <w:sz w:val="16"/>
        </w:rPr>
        <w:t xml:space="preserve">(i) the Participant’s theft, dishonesty, willful misconduct, breach of fiduciary duty for personal profit, or falsification of any Participating Company documents or records; (ii) the Participant’s material failure to abide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04850"/>
                <wp:effectExtent l="0" t="0" r="0" b="0"/>
                <wp:wrapNone/>
                <wp:docPr id="170" name="Frame80"/>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pPr>
      <w:r>
        <w:rPr>
          <w:rFonts w:ascii="ITC Avant Garde Pro Md;sans-serif" w:hAnsi="ITC Avant Garde Pro Md;sans-serif"/>
          <w:b w:val="false"/>
          <w:color w:val="313D48"/>
          <w:sz w:val="16"/>
        </w:rPr>
        <w:t xml:space="preserve">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ITC Avant Garde Pro Md;sans-serif" w:hAnsi="ITC Avant Garde Pro Md;sans-serif"/>
          <w:b w:val="false"/>
          <w:i/>
          <w:color w:val="313D48"/>
          <w:sz w:val="16"/>
        </w:rPr>
        <w:t>nolo contendere</w:t>
      </w:r>
      <w:r>
        <w:rPr>
          <w:rFonts w:ascii="ITC Avant Garde Pro Md;sans-serif" w:hAnsi="ITC Avant Garde Pro Md;sans-serif"/>
          <w:b w:val="false"/>
          <w:color w:val="313D48"/>
          <w:sz w:val="16"/>
        </w:rPr>
        <w:t>) of any criminal act involving fraud, dishonesty, misappropriation or moral turpitude, or which impairs the Participant’s ability to perform his or her duties with a Participating Company.</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(h)</w:t>
      </w:r>
      <w:r>
        <w:rPr>
          <w:color w:val="313D48"/>
        </w:rPr>
        <w:t>“</w:t>
      </w:r>
      <w:r>
        <w:rPr>
          <w:rFonts w:ascii="ITC Avant Garde Pro Md;sans-serif" w:hAnsi="ITC Avant Garde Pro Md;sans-serif"/>
          <w:b/>
          <w:i/>
          <w:color w:val="313D48"/>
          <w:sz w:val="16"/>
        </w:rPr>
        <w:t>Change in Control</w:t>
      </w:r>
      <w:r>
        <w:rPr>
          <w:color w:val="313D48"/>
        </w:rPr>
        <w:t xml:space="preserve">” </w:t>
      </w:r>
      <w:r>
        <w:rPr>
          <w:rFonts w:ascii="ITC Avant Garde Pro Md;sans-serif" w:hAnsi="ITC Avant Garde Pro Md;sans-serif"/>
          <w:b w:val="false"/>
          <w:color w:val="313D48"/>
          <w:sz w:val="16"/>
        </w:rPr>
        <w:t>means, unless otherwise defined in the applicable Award Agreement, the occurrence of any one or a combination of the following events in each case which is actually consummated:</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w:t>
      </w:r>
      <w:r>
        <w:rPr>
          <w:rFonts w:ascii="ITC Avant Garde Pro Md;sans-serif" w:hAnsi="ITC Avant Garde Pro Md;sans-serif"/>
          <w:b w:val="false"/>
          <w:color w:val="313D48"/>
          <w:sz w:val="16"/>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(ii)</w:t>
      </w:r>
      <w:r>
        <w:rPr>
          <w:rFonts w:ascii="ITC Avant Garde Pro Md;sans-serif" w:hAnsi="ITC Avant Garde Pro Md;sans-serif"/>
          <w:b w:val="false"/>
          <w:color w:val="313D48"/>
          <w:sz w:val="16"/>
        </w:rPr>
        <w:t>an Ownership Change Event or series of related Ownership Change Events (collectively, a “</w:t>
      </w:r>
      <w:r>
        <w:rPr>
          <w:rFonts w:ascii="ITC Avant Garde Pro Md;sans-serif" w:hAnsi="ITC Avant Garde Pro Md;sans-serif"/>
          <w:b/>
          <w:i/>
          <w:color w:val="313D48"/>
          <w:sz w:val="16"/>
        </w:rPr>
        <w:t>Transaction</w:t>
      </w:r>
      <w:r>
        <w:rPr>
          <w:color w:val="313D48"/>
        </w:rPr>
        <w:t>”</w:t>
      </w:r>
      <w:r>
        <w:rPr>
          <w:rFonts w:ascii="ITC Avant Garde Pro Md;sans-serif" w:hAnsi="ITC Avant Garde Pro Md;sans-serif"/>
          <w:b w:val="false"/>
          <w:color w:val="313D48"/>
          <w:sz w:val="16"/>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ITC Avant Garde Pro Md;sans-serif" w:hAnsi="ITC Avant Garde Pro Md;sans-serif"/>
          <w:b/>
          <w:i/>
          <w:color w:val="313D48"/>
          <w:sz w:val="16"/>
        </w:rPr>
        <w:t>Transferee</w:t>
      </w:r>
      <w:r>
        <w:rPr>
          <w:color w:val="313D48"/>
        </w:rPr>
        <w:t>”</w:t>
      </w:r>
      <w:r>
        <w:rPr>
          <w:rFonts w:ascii="ITC Avant Garde Pro Md;sans-serif" w:hAnsi="ITC Avant Garde Pro Md;sans-serif"/>
          <w:b w:val="false"/>
          <w:color w:val="313D48"/>
          <w:sz w:val="16"/>
        </w:rPr>
        <w:t>), as the case may be; or</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(iii)</w:t>
      </w:r>
      <w:r>
        <w:rPr>
          <w:rFonts w:ascii="ITC Avant Garde Pro Md;sans-serif" w:hAnsi="ITC Avant Garde Pro Md;sans-serif"/>
          <w:b w:val="false"/>
          <w:color w:val="313D48"/>
          <w:sz w:val="16"/>
        </w:rPr>
        <w:t xml:space="preserve">a date specified by the Committee following approval by the stockholders of a plan of complete liquidation or dissolution of the Company; </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(i)</w:t>
      </w:r>
      <w:r>
        <w:rPr>
          <w:color w:val="313D48"/>
        </w:rPr>
        <w:t>“</w:t>
      </w:r>
      <w:r>
        <w:rPr>
          <w:rFonts w:ascii="ITC Avant Garde Pro Md;sans-serif" w:hAnsi="ITC Avant Garde Pro Md;sans-serif"/>
          <w:b/>
          <w:i/>
          <w:color w:val="313D48"/>
          <w:sz w:val="16"/>
        </w:rPr>
        <w:t>Code</w:t>
      </w:r>
      <w:r>
        <w:rPr>
          <w:color w:val="313D48"/>
        </w:rPr>
        <w:t xml:space="preserve">” </w:t>
      </w:r>
      <w:r>
        <w:rPr>
          <w:rFonts w:ascii="ITC Avant Garde Pro Md;sans-serif" w:hAnsi="ITC Avant Garde Pro Md;sans-serif"/>
          <w:b w:val="false"/>
          <w:color w:val="313D48"/>
          <w:sz w:val="16"/>
        </w:rPr>
        <w:t>means the Internal Revenue Code of 1986, as amended, and any applicable regulations and administrative guidelines promulgated thereunder.</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(j)</w:t>
      </w:r>
      <w:r>
        <w:rPr>
          <w:color w:val="313D48"/>
        </w:rPr>
        <w:t>“</w:t>
      </w:r>
      <w:r>
        <w:rPr>
          <w:rFonts w:ascii="ITC Avant Garde Pro Md;sans-serif" w:hAnsi="ITC Avant Garde Pro Md;sans-serif"/>
          <w:b/>
          <w:i/>
          <w:color w:val="313D48"/>
          <w:sz w:val="16"/>
        </w:rPr>
        <w:t>Committee</w:t>
      </w:r>
      <w:r>
        <w:rPr>
          <w:color w:val="313D48"/>
        </w:rPr>
        <w:t xml:space="preserve">” </w:t>
      </w:r>
      <w:r>
        <w:rPr>
          <w:rFonts w:ascii="ITC Avant Garde Pro Md;sans-serif" w:hAnsi="ITC Avant Garde Pro Md;sans-serif"/>
          <w:b w:val="false"/>
          <w:color w:val="313D48"/>
          <w:sz w:val="16"/>
        </w:rPr>
        <w:t xml:space="preserve">means the Compensation Committee and such other committee or subcommittee of the Board, if any, duly appointed to administer the Plan and having such powers in each instance as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032510"/>
                <wp:effectExtent l="0" t="0" r="0" b="0"/>
                <wp:wrapNone/>
                <wp:docPr id="171" name="Frame81"/>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(k)</w:t>
      </w:r>
      <w:r>
        <w:rPr>
          <w:color w:val="313D48"/>
        </w:rPr>
        <w:t>“</w:t>
      </w:r>
      <w:r>
        <w:rPr>
          <w:rFonts w:ascii="ITC Avant Garde Pro Md;sans-serif" w:hAnsi="ITC Avant Garde Pro Md;sans-serif"/>
          <w:b/>
          <w:i/>
          <w:color w:val="313D48"/>
          <w:sz w:val="16"/>
        </w:rPr>
        <w:t>Company</w:t>
      </w:r>
      <w:r>
        <w:rPr>
          <w:color w:val="313D48"/>
        </w:rPr>
        <w:t xml:space="preserve">” </w:t>
      </w:r>
      <w:r>
        <w:rPr>
          <w:rFonts w:ascii="ITC Avant Garde Pro Md;sans-serif" w:hAnsi="ITC Avant Garde Pro Md;sans-serif"/>
          <w:b w:val="false"/>
          <w:color w:val="313D48"/>
          <w:sz w:val="16"/>
        </w:rPr>
        <w:t>means Paylocity Holding Corporation, a Delaware corporation, and any successor corporation thereto.</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(l)</w:t>
      </w:r>
      <w:r>
        <w:rPr>
          <w:color w:val="313D48"/>
        </w:rPr>
        <w:t>“</w:t>
      </w:r>
      <w:r>
        <w:rPr>
          <w:rFonts w:ascii="ITC Avant Garde Pro Md;sans-serif" w:hAnsi="ITC Avant Garde Pro Md;sans-serif"/>
          <w:b/>
          <w:i/>
          <w:color w:val="313D48"/>
          <w:sz w:val="16"/>
        </w:rPr>
        <w:t>Consultant</w:t>
      </w:r>
      <w:r>
        <w:rPr>
          <w:color w:val="313D48"/>
        </w:rPr>
        <w:t xml:space="preserve">” </w:t>
      </w:r>
      <w:r>
        <w:rPr>
          <w:rFonts w:ascii="ITC Avant Garde Pro Md;sans-serif" w:hAnsi="ITC Avant Garde Pro Md;sans-serif"/>
          <w:b w:val="false"/>
          <w:color w:val="313D48"/>
          <w:sz w:val="16"/>
        </w:rPr>
        <w:t>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(m)</w:t>
      </w:r>
      <w:r>
        <w:rPr>
          <w:color w:val="313D48"/>
        </w:rPr>
        <w:t>“</w:t>
      </w:r>
      <w:r>
        <w:rPr>
          <w:rFonts w:ascii="ITC Avant Garde Pro Md;sans-serif" w:hAnsi="ITC Avant Garde Pro Md;sans-serif"/>
          <w:b/>
          <w:i/>
          <w:color w:val="313D48"/>
          <w:sz w:val="16"/>
        </w:rPr>
        <w:t>Director</w:t>
      </w:r>
      <w:r>
        <w:rPr>
          <w:color w:val="313D48"/>
        </w:rPr>
        <w:t xml:space="preserve">” </w:t>
      </w:r>
      <w:r>
        <w:rPr>
          <w:rFonts w:ascii="ITC Avant Garde Pro Md;sans-serif" w:hAnsi="ITC Avant Garde Pro Md;sans-serif"/>
          <w:b w:val="false"/>
          <w:color w:val="313D48"/>
          <w:sz w:val="16"/>
        </w:rPr>
        <w:t>means a member of the Board.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(n)</w:t>
      </w:r>
      <w:r>
        <w:rPr>
          <w:color w:val="313D48"/>
        </w:rPr>
        <w:t>“</w:t>
      </w:r>
      <w:r>
        <w:rPr>
          <w:rFonts w:ascii="ITC Avant Garde Pro Md;sans-serif" w:hAnsi="ITC Avant Garde Pro Md;sans-serif"/>
          <w:b/>
          <w:i/>
          <w:color w:val="313D48"/>
          <w:sz w:val="16"/>
        </w:rPr>
        <w:t>Disability</w:t>
      </w:r>
      <w:r>
        <w:rPr>
          <w:color w:val="313D48"/>
        </w:rPr>
        <w:t xml:space="preserve">” </w:t>
      </w:r>
      <w:r>
        <w:rPr>
          <w:rFonts w:ascii="ITC Avant Garde Pro Md;sans-serif" w:hAnsi="ITC Avant Garde Pro Md;sans-serif"/>
          <w:b w:val="false"/>
          <w:color w:val="313D48"/>
          <w:sz w:val="16"/>
        </w:rPr>
        <w:t>means the permanent and total disability of the Participant, within the meaning of Section 22(e)(3) of the Code.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(o)</w:t>
      </w:r>
      <w:r>
        <w:rPr>
          <w:color w:val="313D48"/>
        </w:rPr>
        <w:t>“</w:t>
      </w:r>
      <w:r>
        <w:rPr>
          <w:rFonts w:ascii="ITC Avant Garde Pro Md;sans-serif" w:hAnsi="ITC Avant Garde Pro Md;sans-serif"/>
          <w:b/>
          <w:i/>
          <w:color w:val="313D48"/>
          <w:sz w:val="16"/>
        </w:rPr>
        <w:t>Dividend Equivalent Right</w:t>
      </w:r>
      <w:r>
        <w:rPr>
          <w:color w:val="313D48"/>
        </w:rPr>
        <w:t xml:space="preserve">” </w:t>
      </w:r>
      <w:r>
        <w:rPr>
          <w:rFonts w:ascii="ITC Avant Garde Pro Md;sans-serif" w:hAnsi="ITC Avant Garde Pro Md;sans-serif"/>
          <w:b w:val="false"/>
          <w:color w:val="313D48"/>
          <w:sz w:val="16"/>
        </w:rPr>
        <w:t xml:space="preserve">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No Dividend Equivalent Right shall be credited or paid with respect to any Option or SAR.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(p)</w:t>
      </w:r>
      <w:r>
        <w:rPr>
          <w:color w:val="313D48"/>
        </w:rPr>
        <w:t>“</w:t>
      </w:r>
      <w:r>
        <w:rPr>
          <w:rFonts w:ascii="ITC Avant Garde Pro Md;sans-serif" w:hAnsi="ITC Avant Garde Pro Md;sans-serif"/>
          <w:b/>
          <w:i/>
          <w:color w:val="313D48"/>
          <w:sz w:val="16"/>
        </w:rPr>
        <w:t>Effective Date”</w:t>
      </w:r>
      <w:r>
        <w:rPr>
          <w:color w:val="313D48"/>
        </w:rPr>
        <w:t xml:space="preserve"> </w:t>
      </w:r>
      <w:r>
        <w:rPr>
          <w:rFonts w:ascii="ITC Avant Garde Pro Md;sans-serif" w:hAnsi="ITC Avant Garde Pro Md;sans-serif"/>
          <w:b w:val="false"/>
          <w:color w:val="313D48"/>
          <w:sz w:val="16"/>
        </w:rPr>
        <w:t>means the date of the annual meeting of shareholders of the Company held in 2023.</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(q)</w:t>
      </w:r>
      <w:r>
        <w:rPr>
          <w:color w:val="313D48"/>
        </w:rPr>
        <w:t>“</w:t>
      </w:r>
      <w:r>
        <w:rPr>
          <w:rFonts w:ascii="ITC Avant Garde Pro Md;sans-serif" w:hAnsi="ITC Avant Garde Pro Md;sans-serif"/>
          <w:b/>
          <w:i/>
          <w:color w:val="313D48"/>
          <w:sz w:val="16"/>
        </w:rPr>
        <w:t>Employee</w:t>
      </w:r>
      <w:r>
        <w:rPr>
          <w:color w:val="313D48"/>
        </w:rPr>
        <w:t xml:space="preserve">” </w:t>
      </w:r>
      <w:r>
        <w:rPr>
          <w:rFonts w:ascii="ITC Avant Garde Pro Md;sans-serif" w:hAnsi="ITC Avant Garde Pro Md;sans-serif"/>
          <w:b w:val="false"/>
          <w:color w:val="313D48"/>
          <w:sz w:val="16"/>
        </w:rPr>
        <w:t>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(r)</w:t>
      </w:r>
      <w:r>
        <w:rPr>
          <w:color w:val="313D48"/>
        </w:rPr>
        <w:t>“</w:t>
      </w:r>
      <w:r>
        <w:rPr>
          <w:rFonts w:ascii="ITC Avant Garde Pro Md;sans-serif" w:hAnsi="ITC Avant Garde Pro Md;sans-serif"/>
          <w:b/>
          <w:i/>
          <w:color w:val="313D48"/>
          <w:sz w:val="16"/>
        </w:rPr>
        <w:t>Exchange Act</w:t>
      </w:r>
      <w:r>
        <w:rPr>
          <w:color w:val="313D48"/>
        </w:rPr>
        <w:t xml:space="preserve">” </w:t>
      </w:r>
      <w:r>
        <w:rPr>
          <w:rFonts w:ascii="ITC Avant Garde Pro Md;sans-serif" w:hAnsi="ITC Avant Garde Pro Md;sans-serif"/>
          <w:b w:val="false"/>
          <w:color w:val="313D48"/>
          <w:sz w:val="16"/>
        </w:rPr>
        <w:t>means the Securities Exchange Act of 1934, as amended.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(s)</w:t>
      </w:r>
      <w:r>
        <w:rPr>
          <w:color w:val="313D48"/>
        </w:rPr>
        <w:t>“</w:t>
      </w:r>
      <w:r>
        <w:rPr>
          <w:rFonts w:ascii="ITC Avant Garde Pro Md;sans-serif" w:hAnsi="ITC Avant Garde Pro Md;sans-serif"/>
          <w:b/>
          <w:i/>
          <w:color w:val="313D48"/>
          <w:sz w:val="16"/>
        </w:rPr>
        <w:t>Fair Market Value</w:t>
      </w:r>
      <w:r>
        <w:rPr>
          <w:color w:val="313D48"/>
        </w:rPr>
        <w:t xml:space="preserve">” </w:t>
      </w:r>
      <w:r>
        <w:rPr>
          <w:rFonts w:ascii="ITC Avant Garde Pro Md;sans-serif" w:hAnsi="ITC Avant Garde Pro Md;sans-serif"/>
          <w:b w:val="false"/>
          <w:color w:val="313D48"/>
          <w:sz w:val="16"/>
        </w:rPr>
        <w:t>means, as of any date, the value of a share of Stock or other property as determined by the Committee, in its discretion, or by the Company, in its discretion, if such determination is expressly allocated to the Company herein, subject to the following:</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w:t>
      </w:r>
      <w:r>
        <w:rPr>
          <w:rFonts w:ascii="ITC Avant Garde Pro Md;sans-serif" w:hAnsi="ITC Avant Garde Pro Md;sans-serif"/>
          <w:b w:val="false"/>
          <w:color w:val="313D48"/>
          <w:sz w:val="16"/>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ITC Avant Garde Pro Md;sans-serif" w:hAnsi="ITC Avant Garde Pro Md;sans-serif"/>
          <w:b w:val="false"/>
          <w:i/>
          <w:color w:val="313D48"/>
          <w:sz w:val="16"/>
        </w:rPr>
        <w:t>The Wall Street Journal</w:t>
      </w:r>
      <w:r>
        <w:rPr>
          <w:color w:val="313D48"/>
        </w:rPr>
        <w:t xml:space="preserve"> </w:t>
      </w:r>
      <w:r>
        <w:rPr>
          <w:rFonts w:ascii="ITC Avant Garde Pro Md;sans-serif" w:hAnsi="ITC Avant Garde Pro Md;sans-serif"/>
          <w:b w:val="false"/>
          <w:color w:val="313D48"/>
          <w:sz w:val="16"/>
        </w:rPr>
        <w:t>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(ii)</w:t>
      </w:r>
      <w:r>
        <w:rPr>
          <w:rFonts w:ascii="ITC Avant Garde Pro Md;sans-serif" w:hAnsi="ITC Avant Garde Pro Md;sans-serif"/>
          <w:b w:val="false"/>
          <w:color w:val="313D48"/>
          <w:sz w:val="16"/>
        </w:rPr>
        <w:t>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in a manner that is consistent with the requirements of Section 409A. The Committee may vary its method of determination of the Fair Market Value as provided in this Section for different purposes under the Plan to the extent consistent with the requirements of Section 409A.</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(iii)</w:t>
      </w:r>
      <w:r>
        <w:rPr>
          <w:rFonts w:ascii="ITC Avant Garde Pro Md;sans-serif" w:hAnsi="ITC Avant Garde Pro Md;sans-serif"/>
          <w:b w:val="false"/>
          <w:color w:val="313D48"/>
          <w:sz w:val="16"/>
        </w:rPr>
        <w:t xml:space="preserve">If, on such date, the Stock is not listed or quoted on a national or regional securities exchange or quotation system, the Fair Market Value of a share of Stock shall be as determined by the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04850"/>
                <wp:effectExtent l="0" t="0" r="0" b="0"/>
                <wp:wrapNone/>
                <wp:docPr id="172" name="Frame82"/>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B-3</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B-3</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in good faith without regard to any restriction other than a restriction which, by its terms, will never lapse, and in a manner consistent with the requirements of Section 409A and/or Section 422 of the Code to the extent applicable.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(t)</w:t>
      </w:r>
      <w:r>
        <w:rPr>
          <w:color w:val="313D48"/>
        </w:rPr>
        <w:t>“</w:t>
      </w:r>
      <w:r>
        <w:rPr>
          <w:rFonts w:ascii="ITC Avant Garde Pro Md;sans-serif" w:hAnsi="ITC Avant Garde Pro Md;sans-serif"/>
          <w:b/>
          <w:i/>
          <w:color w:val="313D48"/>
          <w:sz w:val="16"/>
        </w:rPr>
        <w:t>Full Value Award</w:t>
      </w:r>
      <w:r>
        <w:rPr>
          <w:color w:val="313D48"/>
        </w:rPr>
        <w:t xml:space="preserve">” </w:t>
      </w:r>
      <w:r>
        <w:rPr>
          <w:rFonts w:ascii="ITC Avant Garde Pro Md;sans-serif" w:hAnsi="ITC Avant Garde Pro Md;sans-serif"/>
          <w:b w:val="false"/>
          <w:color w:val="313D48"/>
          <w:sz w:val="16"/>
        </w:rPr>
        <w:t>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(u)</w:t>
      </w:r>
      <w:r>
        <w:rPr>
          <w:color w:val="313D48"/>
        </w:rPr>
        <w:t>“</w:t>
      </w:r>
      <w:r>
        <w:rPr>
          <w:rFonts w:ascii="ITC Avant Garde Pro Md;sans-serif" w:hAnsi="ITC Avant Garde Pro Md;sans-serif"/>
          <w:b/>
          <w:i/>
          <w:color w:val="313D48"/>
          <w:sz w:val="16"/>
        </w:rPr>
        <w:t>Incentive Stock Option</w:t>
      </w:r>
      <w:r>
        <w:rPr>
          <w:color w:val="313D48"/>
        </w:rPr>
        <w:t xml:space="preserve">” </w:t>
      </w:r>
      <w:r>
        <w:rPr>
          <w:rFonts w:ascii="ITC Avant Garde Pro Md;sans-serif" w:hAnsi="ITC Avant Garde Pro Md;sans-serif"/>
          <w:b w:val="false"/>
          <w:color w:val="313D48"/>
          <w:sz w:val="16"/>
        </w:rPr>
        <w:t>means an Option intended to be (as set forth in the Award Agreement) and which qualifies as an incentive stock option within the meaning of Section 422(b) of the Code.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(v)</w:t>
      </w:r>
      <w:r>
        <w:rPr>
          <w:color w:val="313D48"/>
        </w:rPr>
        <w:t>“</w:t>
      </w:r>
      <w:r>
        <w:rPr>
          <w:rFonts w:ascii="ITC Avant Garde Pro Md;sans-serif" w:hAnsi="ITC Avant Garde Pro Md;sans-serif"/>
          <w:b/>
          <w:i/>
          <w:color w:val="313D48"/>
          <w:sz w:val="16"/>
        </w:rPr>
        <w:t>Incumbent Director</w:t>
      </w:r>
      <w:r>
        <w:rPr>
          <w:color w:val="313D48"/>
        </w:rPr>
        <w:t xml:space="preserve">” </w:t>
      </w:r>
      <w:r>
        <w:rPr>
          <w:rFonts w:ascii="ITC Avant Garde Pro Md;sans-serif" w:hAnsi="ITC Avant Garde Pro Md;sans-serif"/>
          <w:b w:val="false"/>
          <w:color w:val="313D48"/>
          <w:sz w:val="16"/>
        </w:rPr>
        <w:t>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(w)</w:t>
      </w:r>
      <w:r>
        <w:rPr>
          <w:color w:val="313D48"/>
        </w:rPr>
        <w:t>“</w:t>
      </w:r>
      <w:r>
        <w:rPr>
          <w:rFonts w:ascii="ITC Avant Garde Pro Md;sans-serif" w:hAnsi="ITC Avant Garde Pro Md;sans-serif"/>
          <w:b/>
          <w:i/>
          <w:color w:val="313D48"/>
          <w:sz w:val="16"/>
        </w:rPr>
        <w:t>Insider</w:t>
      </w:r>
      <w:r>
        <w:rPr>
          <w:color w:val="313D48"/>
        </w:rPr>
        <w:t xml:space="preserve">” </w:t>
      </w:r>
      <w:r>
        <w:rPr>
          <w:rFonts w:ascii="ITC Avant Garde Pro Md;sans-serif" w:hAnsi="ITC Avant Garde Pro Md;sans-serif"/>
          <w:b w:val="false"/>
          <w:color w:val="313D48"/>
          <w:sz w:val="16"/>
        </w:rPr>
        <w:t>means an Officer, a Director or other person whose transactions in Stock are subject to Section 16 of the Exchange Act.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(x)</w:t>
      </w:r>
      <w:r>
        <w:rPr>
          <w:color w:val="313D48"/>
          <w:shd w:fill="FFFFFF" w:val="clear"/>
        </w:rPr>
        <w:t>“</w:t>
      </w:r>
      <w:r>
        <w:rPr>
          <w:rFonts w:ascii="ITC Avant Garde Pro Md;sans-serif" w:hAnsi="ITC Avant Garde Pro Md;sans-serif"/>
          <w:b/>
          <w:i/>
          <w:color w:val="313D48"/>
          <w:sz w:val="16"/>
        </w:rPr>
        <w:t>Materially Impair</w:t>
      </w:r>
      <w:r>
        <w:rPr>
          <w:color w:val="313D48"/>
          <w:shd w:fill="FFFFFF" w:val="clear"/>
        </w:rPr>
        <w:t>”</w:t>
      </w:r>
      <w:r>
        <w:rPr>
          <w:color w:val="313D48"/>
        </w:rPr>
        <w:t xml:space="preserve"> </w:t>
      </w:r>
      <w:r>
        <w:rPr>
          <w:rFonts w:ascii="ITC Avant Garde Pro Md;sans-serif" w:hAnsi="ITC Avant Garde Pro Md;sans-serif"/>
          <w:b w:val="false"/>
          <w:color w:val="313D48"/>
          <w:sz w:val="16"/>
          <w:shd w:fill="FFFFFF" w:val="clear"/>
        </w:rPr>
        <w:t>means any amendment to the terms of the Award that materially adversely affects the Participant’s rights under the Award.</w:t>
      </w:r>
      <w:r>
        <w:rPr>
          <w:color w:val="313D48"/>
        </w:rPr>
        <w:t xml:space="preserve"> </w:t>
      </w:r>
      <w:r>
        <w:rPr>
          <w:rFonts w:ascii="ITC Avant Garde Pro Md;sans-serif" w:hAnsi="ITC Avant Garde Pro Md;sans-serif"/>
          <w:b w:val="false"/>
          <w:color w:val="313D48"/>
          <w:sz w:val="16"/>
          <w:shd w:fill="FFFFFF" w:val="clear"/>
        </w:rPr>
        <w:t>A Participant's rights under an Award will not be deemed to have been Materially Impaired by any such amendment if the Committee, in its sole discretion, determines that the amendment, taken as a whole, does not materially impair the Participant's rights.</w:t>
      </w:r>
      <w:r>
        <w:rPr>
          <w:color w:val="313D48"/>
        </w:rPr>
        <w:t xml:space="preserve"> </w:t>
      </w:r>
      <w:r>
        <w:rPr>
          <w:rFonts w:ascii="ITC Avant Garde Pro Md;sans-serif" w:hAnsi="ITC Avant Garde Pro Md;sans-serif"/>
          <w:b w:val="false"/>
          <w:color w:val="313D48"/>
          <w:sz w:val="16"/>
          <w:shd w:fill="FFFFFF" w:val="clear"/>
        </w:rPr>
        <w:t xml:space="preserve">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shd w:fill="FFFFFF" w:val="clear"/>
        </w:rPr>
        <w:t>(y)</w:t>
      </w:r>
      <w:r>
        <w:rPr>
          <w:color w:val="313D48"/>
        </w:rPr>
        <w:t>“</w:t>
      </w:r>
      <w:r>
        <w:rPr>
          <w:rFonts w:ascii="ITC Avant Garde Pro Md;sans-serif" w:hAnsi="ITC Avant Garde Pro Md;sans-serif"/>
          <w:b/>
          <w:i/>
          <w:color w:val="313D48"/>
          <w:sz w:val="16"/>
        </w:rPr>
        <w:t>Net Exercise</w:t>
      </w:r>
      <w:r>
        <w:rPr>
          <w:color w:val="313D48"/>
        </w:rPr>
        <w:t xml:space="preserve">” </w:t>
      </w:r>
      <w:r>
        <w:rPr>
          <w:rFonts w:ascii="ITC Avant Garde Pro Md;sans-serif" w:hAnsi="ITC Avant Garde Pro Md;sans-serif"/>
          <w:b w:val="false"/>
          <w:color w:val="313D48"/>
          <w:sz w:val="16"/>
        </w:rPr>
        <w:t>means a Net Exercise as defined in Section 6.3(b)(iii).</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(z)</w:t>
      </w:r>
      <w:r>
        <w:rPr>
          <w:color w:val="313D48"/>
        </w:rPr>
        <w:t>“</w:t>
      </w:r>
      <w:r>
        <w:rPr>
          <w:rFonts w:ascii="ITC Avant Garde Pro Md;sans-serif" w:hAnsi="ITC Avant Garde Pro Md;sans-serif"/>
          <w:b/>
          <w:i/>
          <w:color w:val="313D48"/>
          <w:sz w:val="16"/>
        </w:rPr>
        <w:t>Nonemployee Director</w:t>
      </w:r>
      <w:r>
        <w:rPr>
          <w:color w:val="313D48"/>
        </w:rPr>
        <w:t xml:space="preserve">” </w:t>
      </w:r>
      <w:r>
        <w:rPr>
          <w:rFonts w:ascii="ITC Avant Garde Pro Md;sans-serif" w:hAnsi="ITC Avant Garde Pro Md;sans-serif"/>
          <w:b w:val="false"/>
          <w:color w:val="313D48"/>
          <w:sz w:val="16"/>
        </w:rPr>
        <w:t>means a Director who is not an Employee.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(aa)</w:t>
      </w:r>
      <w:r>
        <w:rPr>
          <w:color w:val="313D48"/>
        </w:rPr>
        <w:t>“</w:t>
      </w:r>
      <w:r>
        <w:rPr>
          <w:rFonts w:ascii="ITC Avant Garde Pro Md;sans-serif" w:hAnsi="ITC Avant Garde Pro Md;sans-serif"/>
          <w:b/>
          <w:i/>
          <w:color w:val="313D48"/>
          <w:sz w:val="16"/>
        </w:rPr>
        <w:t>Nonemployee Director Award</w:t>
      </w:r>
      <w:r>
        <w:rPr>
          <w:color w:val="313D48"/>
        </w:rPr>
        <w:t xml:space="preserve">” </w:t>
      </w:r>
      <w:r>
        <w:rPr>
          <w:rFonts w:ascii="ITC Avant Garde Pro Md;sans-serif" w:hAnsi="ITC Avant Garde Pro Md;sans-serif"/>
          <w:b w:val="false"/>
          <w:color w:val="313D48"/>
          <w:sz w:val="16"/>
        </w:rPr>
        <w:t>means any Award granted to a Nonemployee Director.</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(bb)</w:t>
      </w:r>
      <w:r>
        <w:rPr>
          <w:color w:val="313D48"/>
        </w:rPr>
        <w:t>“</w:t>
      </w:r>
      <w:r>
        <w:rPr>
          <w:rFonts w:ascii="ITC Avant Garde Pro Md;sans-serif" w:hAnsi="ITC Avant Garde Pro Md;sans-serif"/>
          <w:b/>
          <w:i/>
          <w:color w:val="313D48"/>
          <w:sz w:val="16"/>
        </w:rPr>
        <w:t>Nonstatutory Stock Option</w:t>
      </w:r>
      <w:r>
        <w:rPr>
          <w:color w:val="313D48"/>
        </w:rPr>
        <w:t xml:space="preserve">” </w:t>
      </w:r>
      <w:r>
        <w:rPr>
          <w:rFonts w:ascii="ITC Avant Garde Pro Md;sans-serif" w:hAnsi="ITC Avant Garde Pro Md;sans-serif"/>
          <w:b w:val="false"/>
          <w:color w:val="313D48"/>
          <w:sz w:val="16"/>
        </w:rPr>
        <w:t>means an Option not intended to be (as set forth in the Award Agreement) or which does not qualify as an incentive stock option within the meaning of Section 422(b) of the Code.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(cc)</w:t>
      </w:r>
      <w:r>
        <w:rPr>
          <w:color w:val="313D48"/>
        </w:rPr>
        <w:t>“</w:t>
      </w:r>
      <w:r>
        <w:rPr>
          <w:rFonts w:ascii="ITC Avant Garde Pro Md;sans-serif" w:hAnsi="ITC Avant Garde Pro Md;sans-serif"/>
          <w:b/>
          <w:i/>
          <w:color w:val="313D48"/>
          <w:sz w:val="16"/>
        </w:rPr>
        <w:t>Officer</w:t>
      </w:r>
      <w:r>
        <w:rPr>
          <w:color w:val="313D48"/>
        </w:rPr>
        <w:t xml:space="preserve">” </w:t>
      </w:r>
      <w:r>
        <w:rPr>
          <w:rFonts w:ascii="ITC Avant Garde Pro Md;sans-serif" w:hAnsi="ITC Avant Garde Pro Md;sans-serif"/>
          <w:b w:val="false"/>
          <w:color w:val="313D48"/>
          <w:sz w:val="16"/>
        </w:rPr>
        <w:t>means any person designated by the Board as an officer of the Company.</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(dd)</w:t>
      </w:r>
      <w:r>
        <w:rPr>
          <w:color w:val="313D48"/>
        </w:rPr>
        <w:t>“</w:t>
      </w:r>
      <w:r>
        <w:rPr>
          <w:rFonts w:ascii="ITC Avant Garde Pro Md;sans-serif" w:hAnsi="ITC Avant Garde Pro Md;sans-serif"/>
          <w:b/>
          <w:i/>
          <w:color w:val="313D48"/>
          <w:sz w:val="16"/>
        </w:rPr>
        <w:t>Option</w:t>
      </w:r>
      <w:r>
        <w:rPr>
          <w:color w:val="313D48"/>
        </w:rPr>
        <w:t xml:space="preserve">” </w:t>
      </w:r>
      <w:r>
        <w:rPr>
          <w:rFonts w:ascii="ITC Avant Garde Pro Md;sans-serif" w:hAnsi="ITC Avant Garde Pro Md;sans-serif"/>
          <w:b w:val="false"/>
          <w:color w:val="313D48"/>
          <w:sz w:val="16"/>
        </w:rPr>
        <w:t>means an Incentive Stock Option or a Nonstatutory Stock Option granted pursuant to the Plan.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(ee)</w:t>
      </w:r>
      <w:r>
        <w:rPr>
          <w:color w:val="313D48"/>
        </w:rPr>
        <w:t>“</w:t>
      </w:r>
      <w:r>
        <w:rPr>
          <w:rFonts w:ascii="ITC Avant Garde Pro Md;sans-serif" w:hAnsi="ITC Avant Garde Pro Md;sans-serif"/>
          <w:b/>
          <w:i/>
          <w:color w:val="313D48"/>
          <w:sz w:val="16"/>
        </w:rPr>
        <w:t>Other Stock-Based Award</w:t>
      </w:r>
      <w:r>
        <w:rPr>
          <w:color w:val="313D48"/>
        </w:rPr>
        <w:t xml:space="preserve">” </w:t>
      </w:r>
      <w:r>
        <w:rPr>
          <w:rFonts w:ascii="ITC Avant Garde Pro Md;sans-serif" w:hAnsi="ITC Avant Garde Pro Md;sans-serif"/>
          <w:b w:val="false"/>
          <w:color w:val="313D48"/>
          <w:sz w:val="16"/>
        </w:rPr>
        <w:t>means an Award denominated in shares of Stock and granted pursuant to Section 11.</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(ff)</w:t>
      </w:r>
      <w:r>
        <w:rPr>
          <w:color w:val="313D48"/>
        </w:rPr>
        <w:t>“</w:t>
      </w:r>
      <w:r>
        <w:rPr>
          <w:rFonts w:ascii="ITC Avant Garde Pro Md;sans-serif" w:hAnsi="ITC Avant Garde Pro Md;sans-serif"/>
          <w:b/>
          <w:i/>
          <w:color w:val="313D48"/>
          <w:sz w:val="16"/>
        </w:rPr>
        <w:t>Ownership Change Event</w:t>
      </w:r>
      <w:r>
        <w:rPr>
          <w:color w:val="313D48"/>
        </w:rPr>
        <w:t xml:space="preserve">” </w:t>
      </w:r>
      <w:r>
        <w:rPr>
          <w:rFonts w:ascii="ITC Avant Garde Pro Md;sans-serif" w:hAnsi="ITC Avant Garde Pro Md;sans-serif"/>
          <w:b w:val="false"/>
          <w:color w:val="313D48"/>
          <w:sz w:val="16"/>
        </w:rPr>
        <w:t>means the occurrence of any of the following transactions with respect to the Company which is actually consummated: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(gg)</w:t>
      </w:r>
      <w:r>
        <w:rPr>
          <w:color w:val="313D48"/>
        </w:rPr>
        <w:t xml:space="preserve"> “</w:t>
      </w:r>
      <w:r>
        <w:rPr>
          <w:rFonts w:ascii="ITC Avant Garde Pro Md;sans-serif" w:hAnsi="ITC Avant Garde Pro Md;sans-serif"/>
          <w:b/>
          <w:i/>
          <w:color w:val="313D48"/>
          <w:sz w:val="16"/>
        </w:rPr>
        <w:t>Parent Corporation</w:t>
      </w:r>
      <w:r>
        <w:rPr>
          <w:color w:val="313D48"/>
        </w:rPr>
        <w:t xml:space="preserve">” </w:t>
      </w:r>
      <w:r>
        <w:rPr>
          <w:rFonts w:ascii="ITC Avant Garde Pro Md;sans-serif" w:hAnsi="ITC Avant Garde Pro Md;sans-serif"/>
          <w:b w:val="false"/>
          <w:color w:val="313D48"/>
          <w:sz w:val="16"/>
        </w:rPr>
        <w:t>means any present or future “parent corporation” of the Company, as defined in Section 424(e) of the Code.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(hh)</w:t>
      </w:r>
      <w:r>
        <w:rPr>
          <w:color w:val="313D48"/>
        </w:rPr>
        <w:t>“</w:t>
      </w:r>
      <w:r>
        <w:rPr>
          <w:rFonts w:ascii="ITC Avant Garde Pro Md;sans-serif" w:hAnsi="ITC Avant Garde Pro Md;sans-serif"/>
          <w:b/>
          <w:i/>
          <w:color w:val="313D48"/>
          <w:sz w:val="16"/>
        </w:rPr>
        <w:t>Participant</w:t>
      </w:r>
      <w:r>
        <w:rPr>
          <w:color w:val="313D48"/>
        </w:rPr>
        <w:t xml:space="preserve">” </w:t>
      </w:r>
      <w:r>
        <w:rPr>
          <w:rFonts w:ascii="ITC Avant Garde Pro Md;sans-serif" w:hAnsi="ITC Avant Garde Pro Md;sans-serif"/>
          <w:b w:val="false"/>
          <w:color w:val="313D48"/>
          <w:sz w:val="16"/>
        </w:rPr>
        <w:t>means any eligible person who has been granted one or more Awards.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(ii)</w:t>
      </w:r>
      <w:r>
        <w:rPr>
          <w:color w:val="313D48"/>
        </w:rPr>
        <w:t>“</w:t>
      </w:r>
      <w:r>
        <w:rPr>
          <w:rFonts w:ascii="ITC Avant Garde Pro Md;sans-serif" w:hAnsi="ITC Avant Garde Pro Md;sans-serif"/>
          <w:b/>
          <w:i/>
          <w:color w:val="313D48"/>
          <w:sz w:val="16"/>
        </w:rPr>
        <w:t>Participating Company</w:t>
      </w:r>
      <w:r>
        <w:rPr>
          <w:color w:val="313D48"/>
        </w:rPr>
        <w:t xml:space="preserve">” </w:t>
      </w:r>
      <w:r>
        <w:rPr>
          <w:rFonts w:ascii="ITC Avant Garde Pro Md;sans-serif" w:hAnsi="ITC Avant Garde Pro Md;sans-serif"/>
          <w:b w:val="false"/>
          <w:color w:val="313D48"/>
          <w:sz w:val="16"/>
        </w:rPr>
        <w:t>means the Company or any Parent Corporation, Subsidiary Corporation or Affiliate.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(jj)</w:t>
      </w:r>
      <w:r>
        <w:rPr>
          <w:color w:val="313D48"/>
        </w:rPr>
        <w:t>“</w:t>
      </w:r>
      <w:r>
        <w:rPr>
          <w:rFonts w:ascii="ITC Avant Garde Pro Md;sans-serif" w:hAnsi="ITC Avant Garde Pro Md;sans-serif"/>
          <w:b/>
          <w:i/>
          <w:color w:val="313D48"/>
          <w:sz w:val="16"/>
        </w:rPr>
        <w:t>Participating Company Group</w:t>
      </w:r>
      <w:r>
        <w:rPr>
          <w:color w:val="313D48"/>
        </w:rPr>
        <w:t xml:space="preserve">” </w:t>
      </w:r>
      <w:r>
        <w:rPr>
          <w:rFonts w:ascii="ITC Avant Garde Pro Md;sans-serif" w:hAnsi="ITC Avant Garde Pro Md;sans-serif"/>
          <w:b w:val="false"/>
          <w:color w:val="313D48"/>
          <w:sz w:val="16"/>
        </w:rPr>
        <w:t>means, at any point in time, the Company and all other entities collectively which are then Participating Companies.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(kk)</w:t>
      </w:r>
      <w:r>
        <w:rPr>
          <w:color w:val="313D48"/>
        </w:rPr>
        <w:t>“</w:t>
      </w:r>
      <w:r>
        <w:rPr>
          <w:rFonts w:ascii="ITC Avant Garde Pro Md;sans-serif" w:hAnsi="ITC Avant Garde Pro Md;sans-serif"/>
          <w:b/>
          <w:i/>
          <w:color w:val="313D48"/>
          <w:sz w:val="16"/>
        </w:rPr>
        <w:t>Performance Award</w:t>
      </w:r>
      <w:r>
        <w:rPr>
          <w:color w:val="313D48"/>
        </w:rPr>
        <w:t xml:space="preserve">” </w:t>
      </w:r>
      <w:r>
        <w:rPr>
          <w:rFonts w:ascii="ITC Avant Garde Pro Md;sans-serif" w:hAnsi="ITC Avant Garde Pro Md;sans-serif"/>
          <w:b w:val="false"/>
          <w:color w:val="313D48"/>
          <w:sz w:val="16"/>
        </w:rPr>
        <w:t>means an Award of Performance Shares or Performance Units.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(ll)</w:t>
      </w:r>
      <w:r>
        <w:rPr>
          <w:color w:val="313D48"/>
        </w:rPr>
        <w:t>“</w:t>
      </w:r>
      <w:r>
        <w:rPr>
          <w:rFonts w:ascii="ITC Avant Garde Pro Md;sans-serif" w:hAnsi="ITC Avant Garde Pro Md;sans-serif"/>
          <w:b/>
          <w:i/>
          <w:color w:val="313D48"/>
          <w:sz w:val="16"/>
        </w:rPr>
        <w:t>Performance Award Formula</w:t>
      </w:r>
      <w:r>
        <w:rPr>
          <w:color w:val="313D48"/>
        </w:rPr>
        <w:t xml:space="preserve">” </w:t>
      </w:r>
      <w:r>
        <w:rPr>
          <w:rFonts w:ascii="ITC Avant Garde Pro Md;sans-serif" w:hAnsi="ITC Avant Garde Pro Md;sans-serif"/>
          <w:b w:val="false"/>
          <w:color w:val="313D48"/>
          <w:sz w:val="16"/>
        </w:rPr>
        <w:t>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032510"/>
                <wp:effectExtent l="0" t="0" r="0" b="0"/>
                <wp:wrapNone/>
                <wp:docPr id="173" name="Frame83"/>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B-4</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B-4</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(mm)</w:t>
      </w:r>
      <w:r>
        <w:rPr>
          <w:color w:val="313D48"/>
        </w:rPr>
        <w:t>“</w:t>
      </w:r>
      <w:r>
        <w:rPr>
          <w:rFonts w:ascii="ITC Avant Garde Pro Md;sans-serif" w:hAnsi="ITC Avant Garde Pro Md;sans-serif"/>
          <w:b/>
          <w:i/>
          <w:color w:val="313D48"/>
          <w:sz w:val="16"/>
        </w:rPr>
        <w:t>Performance Goal</w:t>
      </w:r>
      <w:r>
        <w:rPr>
          <w:color w:val="313D48"/>
        </w:rPr>
        <w:t xml:space="preserve">” </w:t>
      </w:r>
      <w:r>
        <w:rPr>
          <w:rFonts w:ascii="ITC Avant Garde Pro Md;sans-serif" w:hAnsi="ITC Avant Garde Pro Md;sans-serif"/>
          <w:b w:val="false"/>
          <w:color w:val="313D48"/>
          <w:sz w:val="16"/>
        </w:rPr>
        <w:t>means a performance goal established by the Committee pursuant to Section 10.3.</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(nn)</w:t>
      </w:r>
      <w:r>
        <w:rPr>
          <w:color w:val="313D48"/>
        </w:rPr>
        <w:t>“</w:t>
      </w:r>
      <w:r>
        <w:rPr>
          <w:rFonts w:ascii="ITC Avant Garde Pro Md;sans-serif" w:hAnsi="ITC Avant Garde Pro Md;sans-serif"/>
          <w:b/>
          <w:i/>
          <w:color w:val="313D48"/>
          <w:sz w:val="16"/>
        </w:rPr>
        <w:t>Performance Period</w:t>
      </w:r>
      <w:r>
        <w:rPr>
          <w:color w:val="313D48"/>
        </w:rPr>
        <w:t xml:space="preserve">” </w:t>
      </w:r>
      <w:r>
        <w:rPr>
          <w:rFonts w:ascii="ITC Avant Garde Pro Md;sans-serif" w:hAnsi="ITC Avant Garde Pro Md;sans-serif"/>
          <w:b w:val="false"/>
          <w:color w:val="313D48"/>
          <w:sz w:val="16"/>
        </w:rPr>
        <w:t>means a period established by the Committee pursuant to Section 10.3 at the end of which one or more Performance Goals are to be measured.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(oo)</w:t>
      </w:r>
      <w:r>
        <w:rPr>
          <w:color w:val="313D48"/>
        </w:rPr>
        <w:t>“</w:t>
      </w:r>
      <w:r>
        <w:rPr>
          <w:rFonts w:ascii="ITC Avant Garde Pro Md;sans-serif" w:hAnsi="ITC Avant Garde Pro Md;sans-serif"/>
          <w:b/>
          <w:i/>
          <w:color w:val="313D48"/>
          <w:sz w:val="16"/>
        </w:rPr>
        <w:t>Performance Share</w:t>
      </w:r>
      <w:r>
        <w:rPr>
          <w:color w:val="313D48"/>
        </w:rPr>
        <w:t xml:space="preserve">” </w:t>
      </w:r>
      <w:r>
        <w:rPr>
          <w:rFonts w:ascii="ITC Avant Garde Pro Md;sans-serif" w:hAnsi="ITC Avant Garde Pro Md;sans-serif"/>
          <w:b w:val="false"/>
          <w:color w:val="313D48"/>
          <w:sz w:val="16"/>
        </w:rPr>
        <w:t>means a right granted to a Participant pursuant to Section 10 to receive a payment equal to the value of a Performance Share, as determined by the Committee, based upon attainment of applicable Performance Goal(s).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(pp)</w:t>
      </w:r>
      <w:r>
        <w:rPr>
          <w:color w:val="313D48"/>
        </w:rPr>
        <w:t>“</w:t>
      </w:r>
      <w:r>
        <w:rPr>
          <w:rFonts w:ascii="ITC Avant Garde Pro Md;sans-serif" w:hAnsi="ITC Avant Garde Pro Md;sans-serif"/>
          <w:b/>
          <w:i/>
          <w:color w:val="313D48"/>
          <w:sz w:val="16"/>
        </w:rPr>
        <w:t>Performance Unit</w:t>
      </w:r>
      <w:r>
        <w:rPr>
          <w:color w:val="313D48"/>
        </w:rPr>
        <w:t xml:space="preserve">” </w:t>
      </w:r>
      <w:r>
        <w:rPr>
          <w:rFonts w:ascii="ITC Avant Garde Pro Md;sans-serif" w:hAnsi="ITC Avant Garde Pro Md;sans-serif"/>
          <w:b w:val="false"/>
          <w:color w:val="313D48"/>
          <w:sz w:val="16"/>
        </w:rPr>
        <w:t>means a right granted to a Participant pursuant to Section 10 to receive a payment equal to the value of a Performance Unit, as determined by the Committee, based upon attainment of applicable Performance Goal(s).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(qq)</w:t>
      </w:r>
      <w:r>
        <w:rPr>
          <w:color w:val="313D48"/>
          <w:shd w:fill="FFFFFF" w:val="clear"/>
        </w:rPr>
        <w:t>“</w:t>
      </w:r>
      <w:r>
        <w:rPr>
          <w:rFonts w:ascii="ITC Avant Garde Pro Md;sans-serif" w:hAnsi="ITC Avant Garde Pro Md;sans-serif"/>
          <w:b/>
          <w:i/>
          <w:color w:val="313D48"/>
          <w:sz w:val="16"/>
        </w:rPr>
        <w:t>Plan Administrator</w:t>
      </w:r>
      <w:r>
        <w:rPr>
          <w:color w:val="313D48"/>
          <w:shd w:fill="FFFFFF" w:val="clear"/>
        </w:rPr>
        <w:t xml:space="preserve">” </w:t>
      </w:r>
      <w:r>
        <w:rPr>
          <w:rFonts w:ascii="ITC Avant Garde Pro Md;sans-serif" w:hAnsi="ITC Avant Garde Pro Md;sans-serif"/>
          <w:b w:val="false"/>
          <w:color w:val="313D48"/>
          <w:sz w:val="16"/>
          <w:shd w:fill="FFFFFF" w:val="clear"/>
        </w:rPr>
        <w:t xml:space="preserve">means the person, persons, and/or third-party administrator designated by the Company to administer the day to day operations of the Plan and the Company’s other equity incentive programs.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shd w:fill="FFFFFF" w:val="clear"/>
        </w:rPr>
        <w:t>(rr)</w:t>
      </w:r>
      <w:r>
        <w:rPr>
          <w:color w:val="313D48"/>
          <w:shd w:fill="FFFFFF" w:val="clear"/>
        </w:rPr>
        <w:t>“</w:t>
      </w:r>
      <w:r>
        <w:rPr>
          <w:rFonts w:ascii="ITC Avant Garde Pro Md;sans-serif" w:hAnsi="ITC Avant Garde Pro Md;sans-serif"/>
          <w:b/>
          <w:i/>
          <w:color w:val="313D48"/>
          <w:sz w:val="16"/>
        </w:rPr>
        <w:t>Post-Termination Exercise Period</w:t>
      </w:r>
      <w:r>
        <w:rPr>
          <w:color w:val="313D48"/>
          <w:shd w:fill="FFFFFF" w:val="clear"/>
        </w:rPr>
        <w:t xml:space="preserve">” </w:t>
      </w:r>
      <w:r>
        <w:rPr>
          <w:rFonts w:ascii="ITC Avant Garde Pro Md;sans-serif" w:hAnsi="ITC Avant Garde Pro Md;sans-serif"/>
          <w:b w:val="false"/>
          <w:color w:val="313D48"/>
          <w:sz w:val="16"/>
          <w:shd w:fill="FFFFFF" w:val="clear"/>
        </w:rPr>
        <w:t xml:space="preserve">means the period following termination of a Participant’s Continuous Service within which an Option or SAR is exercisable, as specified in Section 6.4(a).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shd w:fill="FFFFFF" w:val="clear"/>
        </w:rPr>
        <w:t>(ss)</w:t>
      </w:r>
      <w:r>
        <w:rPr>
          <w:color w:val="313D48"/>
        </w:rPr>
        <w:t>“</w:t>
      </w:r>
      <w:r>
        <w:rPr>
          <w:rFonts w:ascii="ITC Avant Garde Pro Md;sans-serif" w:hAnsi="ITC Avant Garde Pro Md;sans-serif"/>
          <w:b/>
          <w:i/>
          <w:color w:val="313D48"/>
          <w:sz w:val="16"/>
        </w:rPr>
        <w:t>Prior Plan”</w:t>
      </w:r>
      <w:r>
        <w:rPr>
          <w:color w:val="313D48"/>
        </w:rPr>
        <w:t xml:space="preserve"> </w:t>
      </w:r>
      <w:r>
        <w:rPr>
          <w:rFonts w:ascii="ITC Avant Garde Pro Md;sans-serif" w:hAnsi="ITC Avant Garde Pro Md;sans-serif"/>
          <w:b w:val="false"/>
          <w:color w:val="313D48"/>
          <w:sz w:val="16"/>
        </w:rPr>
        <w:t xml:space="preserve">means the Paylocity Holding Corporation 2014 Equity Incentive Plan.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(tt)</w:t>
      </w:r>
      <w:r>
        <w:rPr>
          <w:color w:val="313D48"/>
        </w:rPr>
        <w:t>“</w:t>
      </w:r>
      <w:r>
        <w:rPr>
          <w:rFonts w:ascii="ITC Avant Garde Pro Md;sans-serif" w:hAnsi="ITC Avant Garde Pro Md;sans-serif"/>
          <w:b/>
          <w:i/>
          <w:color w:val="313D48"/>
          <w:sz w:val="16"/>
        </w:rPr>
        <w:t>Restricted Stock Award</w:t>
      </w:r>
      <w:r>
        <w:rPr>
          <w:color w:val="313D48"/>
        </w:rPr>
        <w:t xml:space="preserve">” </w:t>
      </w:r>
      <w:r>
        <w:rPr>
          <w:rFonts w:ascii="ITC Avant Garde Pro Md;sans-serif" w:hAnsi="ITC Avant Garde Pro Md;sans-serif"/>
          <w:b w:val="false"/>
          <w:color w:val="313D48"/>
          <w:sz w:val="16"/>
        </w:rPr>
        <w:t>means an Award of a Restricted Stock Bonus or a Restricted Stock Purchase Right.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(uu)</w:t>
      </w:r>
      <w:r>
        <w:rPr>
          <w:color w:val="313D48"/>
        </w:rPr>
        <w:t>“</w:t>
      </w:r>
      <w:r>
        <w:rPr>
          <w:rFonts w:ascii="ITC Avant Garde Pro Md;sans-serif" w:hAnsi="ITC Avant Garde Pro Md;sans-serif"/>
          <w:b/>
          <w:i/>
          <w:color w:val="313D48"/>
          <w:sz w:val="16"/>
        </w:rPr>
        <w:t>Restricted Stock Bonus</w:t>
      </w:r>
      <w:r>
        <w:rPr>
          <w:color w:val="313D48"/>
        </w:rPr>
        <w:t xml:space="preserve">” </w:t>
      </w:r>
      <w:r>
        <w:rPr>
          <w:rFonts w:ascii="ITC Avant Garde Pro Md;sans-serif" w:hAnsi="ITC Avant Garde Pro Md;sans-serif"/>
          <w:b w:val="false"/>
          <w:color w:val="313D48"/>
          <w:sz w:val="16"/>
        </w:rPr>
        <w:t>means Stock granted to a Participant pursuant to Section 8.</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(vv)</w:t>
      </w:r>
      <w:r>
        <w:rPr>
          <w:color w:val="313D48"/>
        </w:rPr>
        <w:t>“</w:t>
      </w:r>
      <w:r>
        <w:rPr>
          <w:rFonts w:ascii="ITC Avant Garde Pro Md;sans-serif" w:hAnsi="ITC Avant Garde Pro Md;sans-serif"/>
          <w:b/>
          <w:i/>
          <w:color w:val="313D48"/>
          <w:sz w:val="16"/>
        </w:rPr>
        <w:t>Restricted Stock Purchase Right</w:t>
      </w:r>
      <w:r>
        <w:rPr>
          <w:color w:val="313D48"/>
        </w:rPr>
        <w:t xml:space="preserve">” </w:t>
      </w:r>
      <w:r>
        <w:rPr>
          <w:rFonts w:ascii="ITC Avant Garde Pro Md;sans-serif" w:hAnsi="ITC Avant Garde Pro Md;sans-serif"/>
          <w:b w:val="false"/>
          <w:color w:val="313D48"/>
          <w:sz w:val="16"/>
        </w:rPr>
        <w:t>means a right to purchase Stock granted to a Participant pursuant to Section 8.</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(ww)</w:t>
      </w:r>
      <w:r>
        <w:rPr>
          <w:color w:val="313D48"/>
        </w:rPr>
        <w:t>“</w:t>
      </w:r>
      <w:r>
        <w:rPr>
          <w:rFonts w:ascii="ITC Avant Garde Pro Md;sans-serif" w:hAnsi="ITC Avant Garde Pro Md;sans-serif"/>
          <w:b/>
          <w:i/>
          <w:color w:val="313D48"/>
          <w:sz w:val="16"/>
        </w:rPr>
        <w:t>Restricted Stock Unit</w:t>
      </w:r>
      <w:r>
        <w:rPr>
          <w:color w:val="313D48"/>
        </w:rPr>
        <w:t xml:space="preserve">” </w:t>
      </w:r>
      <w:r>
        <w:rPr>
          <w:rFonts w:ascii="ITC Avant Garde Pro Md;sans-serif" w:hAnsi="ITC Avant Garde Pro Md;sans-serif"/>
          <w:b w:val="false"/>
          <w:color w:val="313D48"/>
          <w:sz w:val="16"/>
        </w:rPr>
        <w:t>means a right granted to a Participant pursuant to Section 9 to receive on a future date or occurrence of a future event a share of Stock or cash in lieu thereof, as determined by the Committee.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(xx)</w:t>
      </w:r>
      <w:r>
        <w:rPr>
          <w:rFonts w:ascii="ITC Avant Garde Pro Md;sans-serif" w:hAnsi="ITC Avant Garde Pro Md;sans-serif"/>
          <w:b/>
          <w:i/>
          <w:color w:val="313D48"/>
          <w:sz w:val="16"/>
        </w:rPr>
        <w:t>"Returning Shares"</w:t>
      </w:r>
      <w:r>
        <w:rPr>
          <w:color w:val="313D48"/>
        </w:rPr>
        <w:t xml:space="preserve"> </w:t>
      </w:r>
      <w:r>
        <w:rPr>
          <w:rFonts w:ascii="ITC Avant Garde Pro Md;sans-serif" w:hAnsi="ITC Avant Garde Pro Md;sans-serif"/>
          <w:b w:val="false"/>
          <w:color w:val="313D48"/>
          <w:sz w:val="16"/>
        </w:rPr>
        <w:t>means shares subject to share awards granted under the Prior Plan or the Plan that are outstanding on September 4, 2026 or which are granted under the Plan and outstanding after September 4, 2026 and prior to the Amendment Effective Date, and that: (A) subject to stock options and stock appreciation rights which expire, or for any reason are forfeited, cancelled, or terminated without being exercised, (B) are not issued pursuant to a Full Value Award because such share award or any portion thereof expires or otherwise terminates without all of the shares covered by such share award having been issued; (C) are not issued because such award or any portion thereof is settled in cash; (D) are forfeited back to or repurchased by the Company because of the failure to meet a contingency or condition required for the vesting of such shares; or (E) are withheld by the Company in satisfaction of tax withholding obligations pursuant to the vesting or settlement of Full Value Awards.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(yy)</w:t>
      </w:r>
      <w:r>
        <w:rPr>
          <w:color w:val="313D48"/>
        </w:rPr>
        <w:t>“</w:t>
      </w:r>
      <w:r>
        <w:rPr>
          <w:rFonts w:ascii="ITC Avant Garde Pro Md;sans-serif" w:hAnsi="ITC Avant Garde Pro Md;sans-serif"/>
          <w:b/>
          <w:i/>
          <w:color w:val="313D48"/>
          <w:sz w:val="16"/>
        </w:rPr>
        <w:t>Rule 16b-3</w:t>
      </w:r>
      <w:r>
        <w:rPr>
          <w:color w:val="313D48"/>
        </w:rPr>
        <w:t xml:space="preserve">” </w:t>
      </w:r>
      <w:r>
        <w:rPr>
          <w:rFonts w:ascii="ITC Avant Garde Pro Md;sans-serif" w:hAnsi="ITC Avant Garde Pro Md;sans-serif"/>
          <w:b w:val="false"/>
          <w:color w:val="313D48"/>
          <w:sz w:val="16"/>
        </w:rPr>
        <w:t>means Rule 16b-3 under the Exchange Act, as amended from time to time, or any successor rule or regulation.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(zz)</w:t>
      </w:r>
      <w:r>
        <w:rPr>
          <w:color w:val="313D48"/>
        </w:rPr>
        <w:t>“</w:t>
      </w:r>
      <w:r>
        <w:rPr>
          <w:rFonts w:ascii="ITC Avant Garde Pro Md;sans-serif" w:hAnsi="ITC Avant Garde Pro Md;sans-serif"/>
          <w:b/>
          <w:i/>
          <w:color w:val="313D48"/>
          <w:sz w:val="16"/>
        </w:rPr>
        <w:t>SAR</w:t>
      </w:r>
      <w:r>
        <w:rPr>
          <w:color w:val="313D48"/>
        </w:rPr>
        <w:t xml:space="preserve">” </w:t>
      </w:r>
      <w:r>
        <w:rPr>
          <w:rFonts w:ascii="ITC Avant Garde Pro Md;sans-serif" w:hAnsi="ITC Avant Garde Pro Md;sans-serif"/>
          <w:b w:val="false"/>
          <w:color w:val="313D48"/>
          <w:sz w:val="16"/>
        </w:rPr>
        <w:t>or “</w:t>
      </w:r>
      <w:r>
        <w:rPr>
          <w:rFonts w:ascii="ITC Avant Garde Pro Md;sans-serif" w:hAnsi="ITC Avant Garde Pro Md;sans-serif"/>
          <w:b/>
          <w:i/>
          <w:color w:val="313D48"/>
          <w:sz w:val="16"/>
        </w:rPr>
        <w:t>Stock Appreciation Right</w:t>
      </w:r>
      <w:r>
        <w:rPr>
          <w:color w:val="313D48"/>
        </w:rPr>
        <w:t xml:space="preserve">” </w:t>
      </w:r>
      <w:r>
        <w:rPr>
          <w:rFonts w:ascii="ITC Avant Garde Pro Md;sans-serif" w:hAnsi="ITC Avant Garde Pro Md;sans-serif"/>
          <w:b w:val="false"/>
          <w:color w:val="313D48"/>
          <w:sz w:val="16"/>
        </w:rPr>
        <w:t>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(aaa)</w:t>
      </w:r>
      <w:r>
        <w:rPr>
          <w:color w:val="313D48"/>
        </w:rPr>
        <w:t>“</w:t>
      </w:r>
      <w:r>
        <w:rPr>
          <w:rFonts w:ascii="ITC Avant Garde Pro Md;sans-serif" w:hAnsi="ITC Avant Garde Pro Md;sans-serif"/>
          <w:b/>
          <w:i/>
          <w:color w:val="313D48"/>
          <w:sz w:val="16"/>
        </w:rPr>
        <w:t>Section 409A</w:t>
      </w:r>
      <w:r>
        <w:rPr>
          <w:color w:val="313D48"/>
        </w:rPr>
        <w:t xml:space="preserve">” </w:t>
      </w:r>
      <w:r>
        <w:rPr>
          <w:rFonts w:ascii="ITC Avant Garde Pro Md;sans-serif" w:hAnsi="ITC Avant Garde Pro Md;sans-serif"/>
          <w:b w:val="false"/>
          <w:color w:val="313D48"/>
          <w:sz w:val="16"/>
        </w:rPr>
        <w:t>means Section 409A of the Code.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(bbb)</w:t>
      </w:r>
      <w:r>
        <w:rPr>
          <w:color w:val="313D48"/>
        </w:rPr>
        <w:t>“</w:t>
      </w:r>
      <w:r>
        <w:rPr>
          <w:rFonts w:ascii="ITC Avant Garde Pro Md;sans-serif" w:hAnsi="ITC Avant Garde Pro Md;sans-serif"/>
          <w:b/>
          <w:i/>
          <w:color w:val="313D48"/>
          <w:sz w:val="16"/>
        </w:rPr>
        <w:t>Section 409A Deferred Compensation</w:t>
      </w:r>
      <w:r>
        <w:rPr>
          <w:color w:val="313D48"/>
        </w:rPr>
        <w:t xml:space="preserve">” </w:t>
      </w:r>
      <w:r>
        <w:rPr>
          <w:rFonts w:ascii="ITC Avant Garde Pro Md;sans-serif" w:hAnsi="ITC Avant Garde Pro Md;sans-serif"/>
          <w:b w:val="false"/>
          <w:color w:val="313D48"/>
          <w:sz w:val="16"/>
        </w:rPr>
        <w:t>means compensation provided pursuant to an Award that constitutes nonqualified deferred compensation within the meaning of Section 409A.</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(ccc)</w:t>
      </w:r>
      <w:r>
        <w:rPr>
          <w:color w:val="313D48"/>
        </w:rPr>
        <w:t>“</w:t>
      </w:r>
      <w:r>
        <w:rPr>
          <w:rFonts w:ascii="ITC Avant Garde Pro Md;sans-serif" w:hAnsi="ITC Avant Garde Pro Md;sans-serif"/>
          <w:b/>
          <w:i/>
          <w:color w:val="313D48"/>
          <w:sz w:val="16"/>
        </w:rPr>
        <w:t>Securities Act</w:t>
      </w:r>
      <w:r>
        <w:rPr>
          <w:color w:val="313D48"/>
        </w:rPr>
        <w:t xml:space="preserve">” </w:t>
      </w:r>
      <w:r>
        <w:rPr>
          <w:rFonts w:ascii="ITC Avant Garde Pro Md;sans-serif" w:hAnsi="ITC Avant Garde Pro Md;sans-serif"/>
          <w:b w:val="false"/>
          <w:color w:val="313D48"/>
          <w:sz w:val="16"/>
        </w:rPr>
        <w:t>means the Securities Act of 1933, as amended.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(ddd)</w:t>
      </w:r>
      <w:r>
        <w:rPr>
          <w:color w:val="313D48"/>
        </w:rPr>
        <w:t>“</w:t>
      </w:r>
      <w:r>
        <w:rPr>
          <w:rFonts w:ascii="ITC Avant Garde Pro Md;sans-serif" w:hAnsi="ITC Avant Garde Pro Md;sans-serif"/>
          <w:b/>
          <w:i/>
          <w:color w:val="313D48"/>
          <w:sz w:val="16"/>
        </w:rPr>
        <w:t>Service</w:t>
      </w:r>
      <w:r>
        <w:rPr>
          <w:color w:val="313D48"/>
        </w:rPr>
        <w:t xml:space="preserve">” </w:t>
      </w:r>
      <w:r>
        <w:rPr>
          <w:rFonts w:ascii="ITC Avant Garde Pro Md;sans-serif" w:hAnsi="ITC Avant Garde Pro Md;sans-serif"/>
          <w:b w:val="false"/>
          <w:color w:val="313D48"/>
          <w:sz w:val="16"/>
        </w:rPr>
        <w:t xml:space="preserve">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Subject to the terms of the Company’s leave of absence policy and/or the written terms of any leave of absence agreement or policy applicable to the Participant, to the extent permitted by law, the Committee or its designee, in that party’s sole discretion, may determine whether Service will be considered interrupted in the case of (i) any Company approved leave of absence, including sick leave, military leave or any other personal leave, or (ii) transfers between the Company, an Affiliate, or their successors. Additionally, a leave of absence will be treated as continued Service for purposes of vesting in an Award only to such extent as may be provided in the Company’s leave of absence policy, in the written terms of any leave of absence agreement or policy applicable to the Participant, or as otherwise required by law. A Participant’s Service shall be deemed to have terminated either upon an actual termination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04850"/>
                <wp:effectExtent l="0" t="0" r="0" b="0"/>
                <wp:wrapNone/>
                <wp:docPr id="174" name="Frame84"/>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B-5</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B-5</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 xml:space="preserve">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(eee)</w:t>
      </w:r>
      <w:r>
        <w:rPr>
          <w:color w:val="313D48"/>
        </w:rPr>
        <w:t>“</w:t>
      </w:r>
      <w:r>
        <w:rPr>
          <w:rFonts w:ascii="ITC Avant Garde Pro Md;sans-serif" w:hAnsi="ITC Avant Garde Pro Md;sans-serif"/>
          <w:b/>
          <w:i/>
          <w:color w:val="313D48"/>
          <w:sz w:val="16"/>
        </w:rPr>
        <w:t>Stock</w:t>
      </w:r>
      <w:r>
        <w:rPr>
          <w:color w:val="313D48"/>
        </w:rPr>
        <w:t xml:space="preserve">” </w:t>
      </w:r>
      <w:r>
        <w:rPr>
          <w:rFonts w:ascii="ITC Avant Garde Pro Md;sans-serif" w:hAnsi="ITC Avant Garde Pro Md;sans-serif"/>
          <w:b w:val="false"/>
          <w:color w:val="313D48"/>
          <w:sz w:val="16"/>
        </w:rPr>
        <w:t>means the common stock of the Company, as adjusted from time to time in accordance with Section 4.</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(fff)</w:t>
      </w:r>
      <w:r>
        <w:rPr>
          <w:color w:val="313D48"/>
        </w:rPr>
        <w:t>“</w:t>
      </w:r>
      <w:r>
        <w:rPr>
          <w:rFonts w:ascii="ITC Avant Garde Pro Md;sans-serif" w:hAnsi="ITC Avant Garde Pro Md;sans-serif"/>
          <w:b/>
          <w:i/>
          <w:color w:val="313D48"/>
          <w:sz w:val="16"/>
        </w:rPr>
        <w:t>Stock Tender Exercise</w:t>
      </w:r>
      <w:r>
        <w:rPr>
          <w:color w:val="313D48"/>
        </w:rPr>
        <w:t xml:space="preserve">” </w:t>
      </w:r>
      <w:r>
        <w:rPr>
          <w:rFonts w:ascii="ITC Avant Garde Pro Md;sans-serif" w:hAnsi="ITC Avant Garde Pro Md;sans-serif"/>
          <w:b w:val="false"/>
          <w:color w:val="313D48"/>
          <w:sz w:val="16"/>
        </w:rPr>
        <w:t>means a Stock Tender Exercise as defined in Section 6.3(b)(ii).</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(ggg)</w:t>
      </w:r>
      <w:r>
        <w:rPr>
          <w:color w:val="313D48"/>
        </w:rPr>
        <w:t>“</w:t>
      </w:r>
      <w:r>
        <w:rPr>
          <w:rFonts w:ascii="ITC Avant Garde Pro Md;sans-serif" w:hAnsi="ITC Avant Garde Pro Md;sans-serif"/>
          <w:b/>
          <w:i/>
          <w:color w:val="313D48"/>
          <w:sz w:val="16"/>
        </w:rPr>
        <w:t>Subsidiary Corporation</w:t>
      </w:r>
      <w:r>
        <w:rPr>
          <w:color w:val="313D48"/>
        </w:rPr>
        <w:t xml:space="preserve">” </w:t>
      </w:r>
      <w:r>
        <w:rPr>
          <w:rFonts w:ascii="ITC Avant Garde Pro Md;sans-serif" w:hAnsi="ITC Avant Garde Pro Md;sans-serif"/>
          <w:b w:val="false"/>
          <w:color w:val="313D48"/>
          <w:sz w:val="16"/>
        </w:rPr>
        <w:t>means any present or future “subsidiary corporation” of the Company, as defined in Section 424(f) of the Code.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(hhh)</w:t>
      </w:r>
      <w:r>
        <w:rPr>
          <w:color w:val="313D48"/>
        </w:rPr>
        <w:t>“</w:t>
      </w:r>
      <w:r>
        <w:rPr>
          <w:rFonts w:ascii="ITC Avant Garde Pro Md;sans-serif" w:hAnsi="ITC Avant Garde Pro Md;sans-serif"/>
          <w:b/>
          <w:i/>
          <w:color w:val="313D48"/>
          <w:sz w:val="16"/>
        </w:rPr>
        <w:t>Ten Percent Owner</w:t>
      </w:r>
      <w:r>
        <w:rPr>
          <w:color w:val="313D48"/>
        </w:rPr>
        <w:t xml:space="preserve">” </w:t>
      </w:r>
      <w:r>
        <w:rPr>
          <w:rFonts w:ascii="ITC Avant Garde Pro Md;sans-serif" w:hAnsi="ITC Avant Garde Pro Md;sans-serif"/>
          <w:b w:val="false"/>
          <w:color w:val="313D48"/>
          <w:sz w:val="16"/>
        </w:rPr>
        <w:t>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(iii)</w:t>
      </w:r>
      <w:r>
        <w:rPr>
          <w:color w:val="313D48"/>
        </w:rPr>
        <w:t>“</w:t>
      </w:r>
      <w:r>
        <w:rPr>
          <w:rFonts w:ascii="ITC Avant Garde Pro Md;sans-serif" w:hAnsi="ITC Avant Garde Pro Md;sans-serif"/>
          <w:b/>
          <w:i/>
          <w:color w:val="313D48"/>
          <w:sz w:val="16"/>
        </w:rPr>
        <w:t>Trading Compliance Policy</w:t>
      </w:r>
      <w:r>
        <w:rPr>
          <w:color w:val="313D48"/>
        </w:rPr>
        <w:t xml:space="preserve">” </w:t>
      </w:r>
      <w:r>
        <w:rPr>
          <w:rFonts w:ascii="ITC Avant Garde Pro Md;sans-serif" w:hAnsi="ITC Avant Garde Pro Md;sans-serif"/>
          <w:b w:val="false"/>
          <w:color w:val="313D48"/>
          <w:sz w:val="16"/>
        </w:rPr>
        <w:t>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(jjj)</w:t>
      </w:r>
      <w:r>
        <w:rPr>
          <w:color w:val="313D48"/>
        </w:rPr>
        <w:t>“</w:t>
      </w:r>
      <w:r>
        <w:rPr>
          <w:rFonts w:ascii="ITC Avant Garde Pro Md;sans-serif" w:hAnsi="ITC Avant Garde Pro Md;sans-serif"/>
          <w:b/>
          <w:i/>
          <w:color w:val="313D48"/>
          <w:sz w:val="16"/>
        </w:rPr>
        <w:t>Vesting Conditions</w:t>
      </w:r>
      <w:r>
        <w:rPr>
          <w:color w:val="313D48"/>
        </w:rPr>
        <w:t xml:space="preserve">” </w:t>
      </w:r>
      <w:r>
        <w:rPr>
          <w:rFonts w:ascii="ITC Avant Garde Pro Md;sans-serif" w:hAnsi="ITC Avant Garde Pro Md;sans-serif"/>
          <w:b w:val="false"/>
          <w:color w:val="313D48"/>
          <w:sz w:val="16"/>
        </w:rPr>
        <w:t>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2.2</w:t>
      </w:r>
      <w:r>
        <w:rPr>
          <w:rFonts w:ascii="ITC Avant Garde Pro Md;sans-serif" w:hAnsi="ITC Avant Garde Pro Md;sans-serif"/>
          <w:b/>
          <w:color w:val="313D48"/>
          <w:sz w:val="16"/>
        </w:rPr>
        <w:t>Construction</w:t>
      </w:r>
      <w:r>
        <w:rPr>
          <w:rFonts w:ascii="ITC Avant Garde Pro Md;sans-serif" w:hAnsi="ITC Avant Garde Pro Md;sans-serif"/>
          <w:b w:val="false"/>
          <w:color w:val="313D48"/>
          <w:sz w:val="16"/>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3.</w:t>
      </w:r>
      <w:r>
        <w:rPr>
          <w:rFonts w:ascii="ITC Avant Garde Pro Md;sans-serif" w:hAnsi="ITC Avant Garde Pro Md;sans-serif"/>
          <w:b/>
          <w:color w:val="313D48"/>
          <w:sz w:val="16"/>
          <w:u w:val="single"/>
        </w:rPr>
        <w:t>Administration</w:t>
      </w:r>
      <w:r>
        <w:rPr>
          <w:rFonts w:ascii="ITC Avant Garde Pro Md;sans-serif" w:hAnsi="ITC Avant Garde Pro Md;sans-serif"/>
          <w:b/>
          <w:color w:val="313D48"/>
          <w:sz w:val="16"/>
        </w:rPr>
        <w: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3.1</w:t>
      </w:r>
      <w:r>
        <w:rPr>
          <w:rFonts w:ascii="ITC Avant Garde Pro Md;sans-serif" w:hAnsi="ITC Avant Garde Pro Md;sans-serif"/>
          <w:b/>
          <w:color w:val="313D48"/>
          <w:sz w:val="16"/>
        </w:rPr>
        <w:t>Administration by the Committee</w:t>
      </w:r>
      <w:r>
        <w:rPr>
          <w:rFonts w:ascii="ITC Avant Garde Pro Md;sans-serif" w:hAnsi="ITC Avant Garde Pro Md;sans-serif"/>
          <w:b w:val="false"/>
          <w:color w:val="313D48"/>
          <w:sz w:val="16"/>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3.2</w:t>
      </w:r>
      <w:r>
        <w:rPr>
          <w:rFonts w:ascii="ITC Avant Garde Pro Md;sans-serif" w:hAnsi="ITC Avant Garde Pro Md;sans-serif"/>
          <w:b/>
          <w:color w:val="313D48"/>
          <w:sz w:val="16"/>
        </w:rPr>
        <w:t>Authority of Officers</w:t>
      </w:r>
      <w:r>
        <w:rPr>
          <w:rFonts w:ascii="ITC Avant Garde Pro Md;sans-serif" w:hAnsi="ITC Avant Garde Pro Md;sans-serif"/>
          <w:b w:val="false"/>
          <w:color w:val="313D48"/>
          <w:sz w:val="16"/>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the Committee shall fix the maximum number of shares subject to Awards that may be granted by such Officers and each such Award shall conform to such other limits and guidelines as may be established from time to time by the Committee and as may be required by applicable law.</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3.3</w:t>
      </w:r>
      <w:r>
        <w:rPr>
          <w:rFonts w:ascii="ITC Avant Garde Pro Md;sans-serif" w:hAnsi="ITC Avant Garde Pro Md;sans-serif"/>
          <w:b/>
          <w:color w:val="313D48"/>
          <w:sz w:val="16"/>
        </w:rPr>
        <w:t>Administration with Respect to Insiders</w:t>
      </w:r>
      <w:r>
        <w:rPr>
          <w:rFonts w:ascii="ITC Avant Garde Pro Md;sans-serif" w:hAnsi="ITC Avant Garde Pro Md;sans-serif"/>
          <w:b w:val="false"/>
          <w:color w:val="313D48"/>
          <w:sz w:val="16"/>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3.4</w:t>
      </w:r>
      <w:r>
        <w:rPr>
          <w:rFonts w:ascii="ITC Avant Garde Pro Md;sans-serif" w:hAnsi="ITC Avant Garde Pro Md;sans-serif"/>
          <w:b/>
          <w:color w:val="313D48"/>
          <w:sz w:val="16"/>
        </w:rPr>
        <w:t>Powers of the Committee</w:t>
      </w:r>
      <w:r>
        <w:rPr>
          <w:rFonts w:ascii="ITC Avant Garde Pro Md;sans-serif" w:hAnsi="ITC Avant Garde Pro Md;sans-serif"/>
          <w:b w:val="false"/>
          <w:color w:val="313D48"/>
          <w:sz w:val="16"/>
        </w:rPr>
        <w:t>. In addition to any other powers set forth in the Plan and subject to the provisions of the Plan, the Committee shall have the full and final power and authority, in its discretion: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val="false"/>
          <w:color w:val="313D48"/>
          <w:sz w:val="16"/>
        </w:rPr>
        <w:t>to determine the persons to whom, and the time or times at which, Awards shall be granted and the number of shares of Stock, units or monetary value to be subject to each Award;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val="false"/>
          <w:color w:val="313D48"/>
          <w:sz w:val="16"/>
        </w:rPr>
        <w:t>to determine the type of Award granted;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val="false"/>
          <w:color w:val="313D48"/>
          <w:sz w:val="16"/>
        </w:rPr>
        <w:t>to determine the Fair Market Value of shares of Stock or other property;</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(d)</w:t>
      </w:r>
      <w:r>
        <w:rPr>
          <w:rFonts w:ascii="ITC Avant Garde Pro Md;sans-serif" w:hAnsi="ITC Avant Garde Pro Md;sans-serif"/>
          <w:b w:val="false"/>
          <w:color w:val="313D48"/>
          <w:sz w:val="16"/>
        </w:rPr>
        <w:t xml:space="preserve">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Targets, Performance Period, Performance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032510"/>
                <wp:effectExtent l="0" t="0" r="0" b="0"/>
                <wp:wrapNone/>
                <wp:docPr id="175" name="Frame85"/>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B-6</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B-6</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(e)</w:t>
      </w:r>
      <w:r>
        <w:rPr>
          <w:rFonts w:ascii="ITC Avant Garde Pro Md;sans-serif" w:hAnsi="ITC Avant Garde Pro Md;sans-serif"/>
          <w:b w:val="false"/>
          <w:color w:val="313D48"/>
          <w:sz w:val="16"/>
        </w:rPr>
        <w:t>to determine whether an Award will be settled in shares of Stock, cash, other property or in any combination thereof;</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(f)</w:t>
      </w:r>
      <w:r>
        <w:rPr>
          <w:rFonts w:ascii="ITC Avant Garde Pro Md;sans-serif" w:hAnsi="ITC Avant Garde Pro Md;sans-serif"/>
          <w:b w:val="false"/>
          <w:color w:val="313D48"/>
          <w:sz w:val="16"/>
        </w:rPr>
        <w:t>to approve one or more forms of Award Agreement;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(g)</w:t>
      </w:r>
      <w:r>
        <w:rPr>
          <w:rFonts w:ascii="ITC Avant Garde Pro Md;sans-serif" w:hAnsi="ITC Avant Garde Pro Md;sans-serif"/>
          <w:b w:val="false"/>
          <w:color w:val="313D48"/>
          <w:sz w:val="16"/>
        </w:rPr>
        <w:t>to amend, modify, extend, cancel or renew any Award or to waive any restrictions or conditions applicable to any Award or any shares acquired pursuant thereto except as provided in Section 3.5 (Repricing and Reload Options Prohibited)</w:t>
      </w:r>
      <w:r>
        <w:rPr>
          <w:color w:val="313D48"/>
          <w:shd w:fill="FFFFFF" w:val="clear"/>
        </w:rPr>
        <w:t xml:space="preserve"> </w:t>
      </w:r>
      <w:r>
        <w:rPr>
          <w:rFonts w:ascii="ITC Avant Garde Pro Md;sans-serif" w:hAnsi="ITC Avant Garde Pro Md;sans-serif"/>
          <w:b w:val="false"/>
          <w:i/>
          <w:color w:val="313D48"/>
          <w:sz w:val="16"/>
        </w:rPr>
        <w:t>provided however</w:t>
      </w:r>
      <w:r>
        <w:rPr>
          <w:rFonts w:ascii="ITC Avant Garde Pro Md;sans-serif" w:hAnsi="ITC Avant Garde Pro Md;sans-serif"/>
          <w:b w:val="false"/>
          <w:color w:val="313D48"/>
          <w:sz w:val="16"/>
          <w:shd w:fill="FFFFFF" w:val="clear"/>
        </w:rPr>
        <w:t>, that, a Participant’s rights under any Award will not be Materially Impaired by any such amendment unless (i) the Company requests the consent of the affected Participant, and (ii) such Participant consents in writing</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(h)</w:t>
      </w:r>
      <w:r>
        <w:rPr>
          <w:rFonts w:ascii="ITC Avant Garde Pro Md;sans-serif" w:hAnsi="ITC Avant Garde Pro Md;sans-serif"/>
          <w:b w:val="false"/>
          <w:color w:val="313D48"/>
          <w:sz w:val="16"/>
        </w:rPr>
        <w:t xml:space="preserve">to accelerate, continue, extend or defer the exercisability or vesting of any Award or any shares acquired pursuant thereto, including with respect to the period following a Participant’s termination of Service; </w:t>
      </w:r>
      <w:r>
        <w:rPr>
          <w:rFonts w:ascii="ITC Avant Garde Pro Md;sans-serif" w:hAnsi="ITC Avant Garde Pro Md;sans-serif"/>
          <w:b w:val="false"/>
          <w:i/>
          <w:color w:val="313D48"/>
          <w:sz w:val="16"/>
          <w:shd w:fill="FFFFFF" w:val="clear"/>
        </w:rPr>
        <w:t>provided however</w:t>
      </w:r>
      <w:r>
        <w:rPr>
          <w:rFonts w:ascii="ITC Avant Garde Pro Md;sans-serif" w:hAnsi="ITC Avant Garde Pro Md;sans-serif"/>
          <w:b w:val="false"/>
          <w:color w:val="313D48"/>
          <w:sz w:val="16"/>
          <w:shd w:fill="FFFFFF" w:val="clear"/>
        </w:rPr>
        <w:t>, that, a Participant’s rights under any Award will not be Materially Impaired by any such amendment unless (i) the Company requests the consent of the affected Participant, and (ii) such Participant consents in writing</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(i)</w:t>
      </w:r>
      <w:r>
        <w:rPr>
          <w:rFonts w:ascii="ITC Avant Garde Pro Md;sans-serif" w:hAnsi="ITC Avant Garde Pro Md;sans-serif"/>
          <w:b w:val="false"/>
          <w:color w:val="313D48"/>
          <w:sz w:val="16"/>
        </w:rPr>
        <w:t xml:space="preserve">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(j)</w:t>
      </w:r>
      <w:r>
        <w:rPr>
          <w:rFonts w:ascii="ITC Avant Garde Pro Md;sans-serif" w:hAnsi="ITC Avant Garde Pro Md;sans-serif"/>
          <w:b w:val="false"/>
          <w:color w:val="313D48"/>
          <w:sz w:val="16"/>
          <w:shd w:fill="FFFFFF" w:val="clear"/>
        </w:rPr>
        <w:t xml:space="preserve">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 </w:t>
      </w:r>
      <w:r>
        <w:rPr>
          <w:rFonts w:ascii="ITC Avant Garde Pro Md;sans-serif" w:hAnsi="ITC Avant Garde Pro Md;sans-serif"/>
          <w:b w:val="false"/>
          <w:color w:val="313D48"/>
          <w:sz w:val="16"/>
        </w:rPr>
        <w:t>and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(k)</w:t>
      </w:r>
      <w:r>
        <w:rPr>
          <w:rFonts w:ascii="ITC Avant Garde Pro Md;sans-serif" w:hAnsi="ITC Avant Garde Pro Md;sans-serif"/>
          <w:b w:val="false"/>
          <w:color w:val="313D48"/>
          <w:sz w:val="16"/>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3.5</w:t>
      </w:r>
      <w:r>
        <w:rPr>
          <w:rFonts w:ascii="ITC Avant Garde Pro Md;sans-serif" w:hAnsi="ITC Avant Garde Pro Md;sans-serif"/>
          <w:b/>
          <w:color w:val="313D48"/>
          <w:sz w:val="16"/>
        </w:rPr>
        <w:t>Option or SAR Repricing and Reload Options Prohibited</w:t>
      </w:r>
      <w:r>
        <w:rPr>
          <w:rFonts w:ascii="ITC Avant Garde Pro Md;sans-serif" w:hAnsi="ITC Avant Garde Pro Md;sans-serif"/>
          <w:b w:val="false"/>
          <w:color w:val="313D48"/>
          <w:sz w:val="16"/>
        </w:rPr>
        <w:t xml:space="preserve">. Except as provided in Section 4.2 (Adjustments for Changes in Capital Structure) or in connection with a Change in Control, neither the Company, Board nor any Committee shall have the authority to (i) reduce the exercise price or strike price of any outstanding Options or SARs under the Plan, or (ii) cancel any Options or SARs that have an exercise price of strike price greater than the current Fair Market Value in exchange for cash or other Awards under the Plan, unless the stockholders of the Company have approved such an action within twelve months prior to such an event. No Option may be granted to any Participant on account of the use of Stock by the Participant to exercise a prior Option. </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3.6</w:t>
      </w:r>
      <w:r>
        <w:rPr>
          <w:rFonts w:ascii="ITC Avant Garde Pro Md;sans-serif" w:hAnsi="ITC Avant Garde Pro Md;sans-serif"/>
          <w:b/>
          <w:color w:val="313D48"/>
          <w:sz w:val="16"/>
        </w:rPr>
        <w:t>Indemnification</w:t>
      </w:r>
      <w:r>
        <w:rPr>
          <w:rFonts w:ascii="ITC Avant Garde Pro Md;sans-serif" w:hAnsi="ITC Avant Garde Pro Md;sans-serif"/>
          <w:b w:val="false"/>
          <w:color w:val="313D48"/>
          <w:sz w:val="16"/>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or with respect to which the recoupment provisions of Section 18.2 of the Plan are applicable; provided, however, that within sixty (60) days after the institution of such action, suit or proceeding, such person shall offer to the Company, in writing, the opportunity at its own expense to handle and defend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04850"/>
                <wp:effectExtent l="0" t="0" r="0" b="0"/>
                <wp:wrapNone/>
                <wp:docPr id="176" name="Frame86"/>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B-7</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B-7</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4.</w:t>
      </w:r>
      <w:r>
        <w:rPr>
          <w:rFonts w:ascii="ITC Avant Garde Pro Md;sans-serif" w:hAnsi="ITC Avant Garde Pro Md;sans-serif"/>
          <w:b/>
          <w:color w:val="313D48"/>
          <w:sz w:val="16"/>
          <w:u w:val="single"/>
        </w:rPr>
        <w:t>Shares Subject to Plan</w:t>
      </w:r>
      <w:r>
        <w:rPr>
          <w:rFonts w:ascii="ITC Avant Garde Pro Md;sans-serif" w:hAnsi="ITC Avant Garde Pro Md;sans-serif"/>
          <w:b/>
          <w:color w:val="313D48"/>
          <w:sz w:val="16"/>
        </w:rPr>
        <w: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4.1</w:t>
      </w:r>
      <w:r>
        <w:rPr>
          <w:rFonts w:ascii="ITC Avant Garde Pro Md;sans-serif" w:hAnsi="ITC Avant Garde Pro Md;sans-serif"/>
          <w:b/>
          <w:color w:val="313D48"/>
          <w:sz w:val="16"/>
        </w:rPr>
        <w:t>Maximum Number of Shares Issuable</w:t>
      </w:r>
      <w:r>
        <w:rPr>
          <w:rFonts w:ascii="ITC Avant Garde Pro Md;sans-serif" w:hAnsi="ITC Avant Garde Pro Md;sans-serif"/>
          <w:b w:val="false"/>
          <w:color w:val="313D48"/>
          <w:sz w:val="16"/>
        </w:rPr>
        <w:t>. Subject to adjustment as provided in Sections 4.2 and 4.3, the maximum aggregate number of shares of Stock that may be issued under the Plan on and after the Amendment Effective Date will not exceed 1,627,196 shares less one share for each share subject to any equity award granted under the Plan after September 4, 2026 and prior to the Amendment Effective Date; plus the number of Returning Shares, if any, as such shares become available from time to time, and such shares may consist of authorized but reissued or reacquired shares of Stock or any combination thereof. In no event shall the number of shares subject to any equity award granted under the Plan after September 4, 2026 and prior to the Amendment Effective Date exceed 397,196 shares.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4.2</w:t>
      </w:r>
      <w:r>
        <w:rPr>
          <w:rFonts w:ascii="ITC Avant Garde Pro Md;sans-serif" w:hAnsi="ITC Avant Garde Pro Md;sans-serif"/>
          <w:b/>
          <w:color w:val="313D48"/>
          <w:sz w:val="16"/>
        </w:rPr>
        <w:t>Share Counting</w:t>
      </w:r>
      <w:r>
        <w:rPr>
          <w:rFonts w:ascii="ITC Avant Garde Pro Md;sans-serif" w:hAnsi="ITC Avant Garde Pro Md;sans-serif"/>
          <w:b w:val="false"/>
          <w:color w:val="313D48"/>
          <w:sz w:val="16"/>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Any shares of Stock that are exchanged by a Participant or withheld by the Company as full or partial payment of the exercise price of any Option or SAR, and any shares of Stock that are exchanged or withheld by the Company or any member of the Participating Company Group to satisfy any tax withholding or payment obligations related to any Option or SAR, shall not be available for subsequent Awards under the Plan. Shares purchased in the open market with proceeds from the exercise of Options or SARs shall not be added to the limit set forth in Section 4.1. Shares withheld or reacquired by the Company in satisfaction of tax withholding obligations pursuant to the vesting or settlement of Full Value Awards pursuant to Section 16.2 shall again become available for issuance under the Plan.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4.3</w:t>
      </w:r>
      <w:r>
        <w:rPr>
          <w:rFonts w:ascii="ITC Avant Garde Pro Md;sans-serif" w:hAnsi="ITC Avant Garde Pro Md;sans-serif"/>
          <w:b/>
          <w:color w:val="313D48"/>
          <w:sz w:val="16"/>
        </w:rPr>
        <w:t>Adjustments for Changes in Capital Structure</w:t>
      </w:r>
      <w:r>
        <w:rPr>
          <w:rFonts w:ascii="ITC Avant Garde Pro Md;sans-serif" w:hAnsi="ITC Avant Garde Pro Md;sans-serif"/>
          <w:b w:val="false"/>
          <w:color w:val="313D48"/>
          <w:sz w:val="16"/>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Incentive Stock Option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ITC Avant Garde Pro Md;sans-serif" w:hAnsi="ITC Avant Garde Pro Md;sans-serif"/>
          <w:b/>
          <w:i/>
          <w:color w:val="313D48"/>
          <w:sz w:val="16"/>
        </w:rPr>
        <w:t>New Shares</w:t>
      </w:r>
      <w:r>
        <w:rPr>
          <w:color w:val="313D48"/>
        </w:rPr>
        <w:t>”</w:t>
      </w:r>
      <w:r>
        <w:rPr>
          <w:rFonts w:ascii="ITC Avant Garde Pro Md;sans-serif" w:hAnsi="ITC Avant Garde Pro Md;sans-serif"/>
          <w:b w:val="false"/>
          <w:color w:val="313D48"/>
          <w:sz w:val="16"/>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4.4</w:t>
      </w:r>
      <w:r>
        <w:rPr>
          <w:rFonts w:ascii="ITC Avant Garde Pro Md;sans-serif" w:hAnsi="ITC Avant Garde Pro Md;sans-serif"/>
          <w:b/>
          <w:color w:val="313D48"/>
          <w:sz w:val="16"/>
        </w:rPr>
        <w:t>Assumption or Substitution of Awards</w:t>
      </w:r>
      <w:r>
        <w:rPr>
          <w:rFonts w:ascii="ITC Avant Garde Pro Md;sans-serif" w:hAnsi="ITC Avant Garde Pro Md;sans-serif"/>
          <w:b w:val="false"/>
          <w:color w:val="313D48"/>
          <w:sz w:val="16"/>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5.</w:t>
      </w:r>
      <w:r>
        <w:rPr>
          <w:rFonts w:ascii="ITC Avant Garde Pro Md;sans-serif" w:hAnsi="ITC Avant Garde Pro Md;sans-serif"/>
          <w:b/>
          <w:color w:val="313D48"/>
          <w:sz w:val="16"/>
          <w:u w:val="single"/>
        </w:rPr>
        <w:t>Eligibility, Participation and Award Limitations</w:t>
      </w:r>
      <w:r>
        <w:rPr>
          <w:rFonts w:ascii="ITC Avant Garde Pro Md;sans-serif" w:hAnsi="ITC Avant Garde Pro Md;sans-serif"/>
          <w:b/>
          <w:color w:val="313D48"/>
          <w:sz w:val="16"/>
        </w:rPr>
        <w: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5.1</w:t>
      </w:r>
      <w:r>
        <w:rPr>
          <w:rFonts w:ascii="ITC Avant Garde Pro Md;sans-serif" w:hAnsi="ITC Avant Garde Pro Md;sans-serif"/>
          <w:b/>
          <w:color w:val="313D48"/>
          <w:sz w:val="16"/>
        </w:rPr>
        <w:t>Persons Eligible for Awards</w:t>
      </w:r>
      <w:r>
        <w:rPr>
          <w:rFonts w:ascii="ITC Avant Garde Pro Md;sans-serif" w:hAnsi="ITC Avant Garde Pro Md;sans-serif"/>
          <w:b w:val="false"/>
          <w:color w:val="313D48"/>
          <w:sz w:val="16"/>
        </w:rPr>
        <w:t>. Awards may be granted only to Employees, Consultants and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032510"/>
                <wp:effectExtent l="0" t="0" r="0" b="0"/>
                <wp:wrapNone/>
                <wp:docPr id="177" name="Frame87"/>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B-8</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59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36"/>
                        <w:gridCol w:w="136"/>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46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B-8</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5.2</w:t>
      </w:r>
      <w:r>
        <w:rPr>
          <w:rFonts w:ascii="ITC Avant Garde Pro Md;sans-serif" w:hAnsi="ITC Avant Garde Pro Md;sans-serif"/>
          <w:b/>
          <w:color w:val="313D48"/>
          <w:sz w:val="16"/>
        </w:rPr>
        <w:t>Participation in the Plan</w:t>
      </w:r>
      <w:r>
        <w:rPr>
          <w:rFonts w:ascii="ITC Avant Garde Pro Md;sans-serif" w:hAnsi="ITC Avant Garde Pro Md;sans-serif"/>
          <w:b w:val="false"/>
          <w:color w:val="313D48"/>
          <w:sz w:val="16"/>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5.3</w:t>
      </w:r>
      <w:r>
        <w:rPr>
          <w:rFonts w:ascii="ITC Avant Garde Pro Md;sans-serif" w:hAnsi="ITC Avant Garde Pro Md;sans-serif"/>
          <w:b/>
          <w:color w:val="313D48"/>
          <w:sz w:val="16"/>
        </w:rPr>
        <w:t>Incentive Stock Option Limitations</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Maximum Number of Shares Issuable Pursuant to Incentive Stock Options</w:t>
      </w:r>
      <w:r>
        <w:rPr>
          <w:rFonts w:ascii="ITC Avant Garde Pro Md;sans-serif" w:hAnsi="ITC Avant Garde Pro Md;sans-serif"/>
          <w:b w:val="false"/>
          <w:color w:val="313D48"/>
          <w:sz w:val="16"/>
        </w:rPr>
        <w:t>. Subject to adjustment as provided in Section 4.3, the maximum aggregate number of shares of Stock that may be issued under the Plan pursuant to the exercise of Incentive Stock Options shall not exceed 1,760,000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Persons Eligible</w:t>
      </w:r>
      <w:r>
        <w:rPr>
          <w:rFonts w:ascii="ITC Avant Garde Pro Md;sans-serif" w:hAnsi="ITC Avant Garde Pro Md;sans-serif"/>
          <w:b w:val="false"/>
          <w:color w:val="313D48"/>
          <w:sz w:val="16"/>
        </w:rPr>
        <w:t>. An Incentive Stock Option may be granted only to a person who, on the effective date of grant, is an Employee of the Company, a Parent Corporation or a Subsidiary Corporation (each being an “</w:t>
      </w:r>
      <w:r>
        <w:rPr>
          <w:rFonts w:ascii="ITC Avant Garde Pro Md;sans-serif" w:hAnsi="ITC Avant Garde Pro Md;sans-serif"/>
          <w:b/>
          <w:i/>
          <w:color w:val="313D48"/>
          <w:sz w:val="16"/>
        </w:rPr>
        <w:t>ISO-Qualifying Corporation</w:t>
      </w:r>
      <w:r>
        <w:rPr>
          <w:color w:val="313D48"/>
        </w:rPr>
        <w:t>”</w:t>
      </w:r>
      <w:r>
        <w:rPr>
          <w:rFonts w:ascii="ITC Avant Garde Pro Md;sans-serif" w:hAnsi="ITC Avant Garde Pro Md;sans-serif"/>
          <w:b w:val="false"/>
          <w:color w:val="313D48"/>
          <w:sz w:val="16"/>
        </w:rPr>
        <w:t>). Any person who is not an Employee of an ISO-Qualifying Corporation on the effective date of the grant of an Option to such person may be granted only a Nonstatutory Stock Option.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i/>
          <w:color w:val="313D48"/>
          <w:sz w:val="16"/>
        </w:rPr>
        <w:t>Fair Market Value Limitation</w:t>
      </w:r>
      <w:r>
        <w:rPr>
          <w:rFonts w:ascii="ITC Avant Garde Pro Md;sans-serif" w:hAnsi="ITC Avant Garde Pro Md;sans-serif"/>
          <w:b w:val="false"/>
          <w:color w:val="313D48"/>
          <w:sz w:val="16"/>
        </w:rPr>
        <w:t>.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5.4</w:t>
      </w:r>
      <w:r>
        <w:rPr>
          <w:rFonts w:ascii="ITC Avant Garde Pro Md;sans-serif" w:hAnsi="ITC Avant Garde Pro Md;sans-serif"/>
          <w:b/>
          <w:color w:val="313D48"/>
          <w:sz w:val="16"/>
        </w:rPr>
        <w:t>Nonemployee Director Award Limit</w:t>
      </w:r>
      <w:r>
        <w:rPr>
          <w:rFonts w:ascii="ITC Avant Garde Pro Md;sans-serif" w:hAnsi="ITC Avant Garde Pro Md;sans-serif"/>
          <w:b w:val="false"/>
          <w:color w:val="313D48"/>
          <w:sz w:val="16"/>
        </w:rPr>
        <w:t>. Annual compensation awarded to any Nonemployee Director during each calendar year in respect of the Nonemployee Director’s service as a member of the Board during such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6.</w:t>
      </w:r>
      <w:r>
        <w:rPr>
          <w:rFonts w:ascii="ITC Avant Garde Pro Md;sans-serif" w:hAnsi="ITC Avant Garde Pro Md;sans-serif"/>
          <w:b/>
          <w:color w:val="313D48"/>
          <w:sz w:val="16"/>
          <w:u w:val="single"/>
        </w:rPr>
        <w:t>Stock Options</w:t>
      </w:r>
      <w:r>
        <w:rPr>
          <w:rFonts w:ascii="ITC Avant Garde Pro Md;sans-serif" w:hAnsi="ITC Avant Garde Pro Md;sans-serif"/>
          <w:b/>
          <w:color w:val="313D48"/>
          <w:sz w:val="16"/>
        </w:rPr>
        <w:t>.</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6.1</w:t>
      </w:r>
      <w:r>
        <w:rPr>
          <w:rFonts w:ascii="ITC Avant Garde Pro Md;sans-serif" w:hAnsi="ITC Avant Garde Pro Md;sans-serif"/>
          <w:b/>
          <w:color w:val="313D48"/>
          <w:sz w:val="16"/>
        </w:rPr>
        <w:t>Exercise Price</w:t>
      </w:r>
      <w:r>
        <w:rPr>
          <w:rFonts w:ascii="ITC Avant Garde Pro Md;sans-serif" w:hAnsi="ITC Avant Garde Pro Md;sans-serif"/>
          <w:b w:val="false"/>
          <w:color w:val="313D48"/>
          <w:sz w:val="16"/>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6.2</w:t>
      </w:r>
      <w:r>
        <w:rPr>
          <w:rFonts w:ascii="ITC Avant Garde Pro Md;sans-serif" w:hAnsi="ITC Avant Garde Pro Md;sans-serif"/>
          <w:b/>
          <w:color w:val="313D48"/>
          <w:sz w:val="16"/>
        </w:rPr>
        <w:t>Exercisability and Term of Options</w:t>
      </w:r>
      <w:r>
        <w:rPr>
          <w:rFonts w:ascii="ITC Avant Garde Pro Md;sans-serif" w:hAnsi="ITC Avant Garde Pro Md;sans-serif"/>
          <w:b w:val="false"/>
          <w:color w:val="313D48"/>
          <w:sz w:val="16"/>
        </w:rPr>
        <w:t>.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04850"/>
                <wp:effectExtent l="0" t="0" r="0" b="0"/>
                <wp:wrapNone/>
                <wp:docPr id="178" name="Frame88"/>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B-9</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596" w:type="dxa"/>
                        <w:jc w:val="left"/>
                        <w:tblInd w:w="0" w:type="dxa"/>
                        <w:tblLayout w:type="fixed"/>
                        <w:tblCellMar>
                          <w:top w:w="28" w:type="dxa"/>
                          <w:left w:w="28" w:type="dxa"/>
                          <w:bottom w:w="28" w:type="dxa"/>
                          <w:right w:w="28" w:type="dxa"/>
                        </w:tblCellMar>
                      </w:tblPr>
                      <w:tblGrid>
                        <w:gridCol w:w="158"/>
                        <w:gridCol w:w="138"/>
                        <w:gridCol w:w="138"/>
                        <w:gridCol w:w="929"/>
                        <w:gridCol w:w="929"/>
                        <w:gridCol w:w="932"/>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B-9</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09" w:before="120" w:after="120"/>
        <w:ind w:left="0" w:right="0" w:firstLine="1440"/>
        <w:jc w:val="both"/>
        <w:rPr/>
      </w:pPr>
      <w:r>
        <w:rPr>
          <w:rFonts w:ascii="ITC Avant Garde Pro Md;sans-serif" w:hAnsi="ITC Avant Garde Pro Md;sans-serif"/>
          <w:b w:val="false"/>
          <w:color w:val="313D48"/>
          <w:sz w:val="16"/>
        </w:rPr>
        <w:t>6.3</w:t>
      </w:r>
      <w:r>
        <w:rPr>
          <w:rFonts w:ascii="ITC Avant Garde Pro Md;sans-serif" w:hAnsi="ITC Avant Garde Pro Md;sans-serif"/>
          <w:b/>
          <w:color w:val="313D48"/>
          <w:sz w:val="16"/>
        </w:rPr>
        <w:t>Payment of Exercise Price</w:t>
      </w:r>
      <w:r>
        <w:rPr>
          <w:rFonts w:ascii="ITC Avant Garde Pro Md;sans-serif" w:hAnsi="ITC Avant Garde Pro Md;sans-serif"/>
          <w:b w:val="false"/>
          <w:color w:val="313D48"/>
          <w:sz w:val="16"/>
        </w:rPr>
        <w:t>.</w:t>
      </w:r>
    </w:p>
    <w:p>
      <w:pPr>
        <w:pStyle w:val="TextBody"/>
        <w:bidi w:val="0"/>
        <w:spacing w:lineRule="auto" w:line="309"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Forms of Consideration Authorized</w:t>
      </w:r>
      <w:r>
        <w:rPr>
          <w:rFonts w:ascii="ITC Avant Garde Pro Md;sans-serif" w:hAnsi="ITC Avant Garde Pro Md;sans-serif"/>
          <w:b w:val="false"/>
          <w:color w:val="313D48"/>
          <w:sz w:val="16"/>
        </w:rPr>
        <w:t>. Except as otherwise provided below, payment of 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pStyle w:val="TextBody"/>
        <w:bidi w:val="0"/>
        <w:spacing w:lineRule="auto" w:line="309"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Limitations on Forms of Consideration</w:t>
      </w:r>
      <w:r>
        <w:rPr>
          <w:rFonts w:ascii="ITC Avant Garde Pro Md;sans-serif" w:hAnsi="ITC Avant Garde Pro Md;sans-serif"/>
          <w:b w:val="false"/>
          <w:i/>
          <w:color w:val="313D48"/>
          <w:sz w:val="16"/>
        </w:rPr>
        <w:t>.</w:t>
      </w:r>
    </w:p>
    <w:p>
      <w:pPr>
        <w:pStyle w:val="TextBody"/>
        <w:bidi w:val="0"/>
        <w:spacing w:lineRule="auto" w:line="309" w:before="120" w:after="120"/>
        <w:ind w:left="0" w:right="0" w:firstLine="2880"/>
        <w:jc w:val="both"/>
        <w:rPr/>
      </w:pPr>
      <w:r>
        <w:rPr>
          <w:rFonts w:ascii="ITC Avant Garde Pro Md;sans-serif" w:hAnsi="ITC Avant Garde Pro Md;sans-serif"/>
          <w:b w:val="false"/>
          <w:color w:val="313D48"/>
          <w:sz w:val="16"/>
        </w:rPr>
        <w:t>(i)</w:t>
      </w:r>
      <w:r>
        <w:rPr>
          <w:rFonts w:ascii="ITC Avant Garde Pro Md;sans-serif" w:hAnsi="ITC Avant Garde Pro Md;sans-serif"/>
          <w:b/>
          <w:color w:val="313D48"/>
          <w:sz w:val="16"/>
        </w:rPr>
        <w:t>Cashless Exercise</w:t>
      </w:r>
      <w:r>
        <w:rPr>
          <w:rFonts w:ascii="ITC Avant Garde Pro Md;sans-serif" w:hAnsi="ITC Avant Garde Pro Md;sans-serif"/>
          <w:b w:val="false"/>
          <w:color w:val="313D48"/>
          <w:sz w:val="16"/>
        </w:rPr>
        <w:t>. A “</w:t>
      </w:r>
      <w:r>
        <w:rPr>
          <w:rFonts w:ascii="ITC Avant Garde Pro Md;sans-serif" w:hAnsi="ITC Avant Garde Pro Md;sans-serif"/>
          <w:b/>
          <w:i/>
          <w:color w:val="313D48"/>
          <w:sz w:val="16"/>
        </w:rPr>
        <w:t>Cashless Exercise</w:t>
      </w:r>
      <w:r>
        <w:rPr>
          <w:color w:val="313D48"/>
        </w:rPr>
        <w:t xml:space="preserve">” </w:t>
      </w:r>
      <w:r>
        <w:rPr>
          <w:rFonts w:ascii="ITC Avant Garde Pro Md;sans-serif" w:hAnsi="ITC Avant Garde Pro Md;sans-serif"/>
          <w:b w:val="false"/>
          <w:color w:val="313D48"/>
          <w:sz w:val="16"/>
        </w:rPr>
        <w:t>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pStyle w:val="TextBody"/>
        <w:bidi w:val="0"/>
        <w:spacing w:lineRule="auto" w:line="309" w:before="120" w:after="120"/>
        <w:ind w:left="0" w:right="0" w:firstLine="2880"/>
        <w:jc w:val="both"/>
        <w:rPr/>
      </w:pPr>
      <w:r>
        <w:rPr>
          <w:rFonts w:ascii="ITC Avant Garde Pro Md;sans-serif" w:hAnsi="ITC Avant Garde Pro Md;sans-serif"/>
          <w:b w:val="false"/>
          <w:color w:val="313D48"/>
          <w:sz w:val="16"/>
        </w:rPr>
        <w:t>(ii)</w:t>
      </w:r>
      <w:r>
        <w:rPr>
          <w:rFonts w:ascii="ITC Avant Garde Pro Md;sans-serif" w:hAnsi="ITC Avant Garde Pro Md;sans-serif"/>
          <w:b/>
          <w:color w:val="313D48"/>
          <w:sz w:val="16"/>
        </w:rPr>
        <w:t>Stock Tender Exercise</w:t>
      </w:r>
      <w:r>
        <w:rPr>
          <w:rFonts w:ascii="ITC Avant Garde Pro Md;sans-serif" w:hAnsi="ITC Avant Garde Pro Md;sans-serif"/>
          <w:b w:val="false"/>
          <w:color w:val="313D48"/>
          <w:sz w:val="16"/>
        </w:rPr>
        <w:t>. A “</w:t>
      </w:r>
      <w:r>
        <w:rPr>
          <w:rFonts w:ascii="ITC Avant Garde Pro Md;sans-serif" w:hAnsi="ITC Avant Garde Pro Md;sans-serif"/>
          <w:b/>
          <w:i/>
          <w:color w:val="313D48"/>
          <w:sz w:val="16"/>
        </w:rPr>
        <w:t>Stock Tender Exercise</w:t>
      </w:r>
      <w:r>
        <w:rPr>
          <w:color w:val="313D48"/>
        </w:rPr>
        <w:t xml:space="preserve">” </w:t>
      </w:r>
      <w:r>
        <w:rPr>
          <w:rFonts w:ascii="ITC Avant Garde Pro Md;sans-serif" w:hAnsi="ITC Avant Garde Pro Md;sans-serif"/>
          <w:b w:val="false"/>
          <w:color w:val="313D48"/>
          <w:sz w:val="16"/>
        </w:rPr>
        <w:t>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pStyle w:val="TextBody"/>
        <w:bidi w:val="0"/>
        <w:spacing w:lineRule="auto" w:line="309" w:before="120" w:after="120"/>
        <w:ind w:left="0" w:right="0" w:firstLine="2880"/>
        <w:jc w:val="both"/>
        <w:rPr/>
      </w:pPr>
      <w:r>
        <w:rPr>
          <w:rFonts w:ascii="ITC Avant Garde Pro Md;sans-serif" w:hAnsi="ITC Avant Garde Pro Md;sans-serif"/>
          <w:b w:val="false"/>
          <w:color w:val="313D48"/>
          <w:sz w:val="16"/>
        </w:rPr>
        <w:t>(iii)</w:t>
      </w:r>
      <w:r>
        <w:rPr>
          <w:rFonts w:ascii="ITC Avant Garde Pro Md;sans-serif" w:hAnsi="ITC Avant Garde Pro Md;sans-serif"/>
          <w:b/>
          <w:color w:val="313D48"/>
          <w:sz w:val="16"/>
        </w:rPr>
        <w:t>Net Exercise</w:t>
      </w:r>
      <w:r>
        <w:rPr>
          <w:rFonts w:ascii="ITC Avant Garde Pro Md;sans-serif" w:hAnsi="ITC Avant Garde Pro Md;sans-serif"/>
          <w:b w:val="false"/>
          <w:color w:val="313D48"/>
          <w:sz w:val="16"/>
        </w:rPr>
        <w:t>. A “</w:t>
      </w:r>
      <w:r>
        <w:rPr>
          <w:rFonts w:ascii="ITC Avant Garde Pro Md;sans-serif" w:hAnsi="ITC Avant Garde Pro Md;sans-serif"/>
          <w:b/>
          <w:i/>
          <w:color w:val="313D48"/>
          <w:sz w:val="16"/>
        </w:rPr>
        <w:t>Net Exercise</w:t>
      </w:r>
      <w:r>
        <w:rPr>
          <w:color w:val="313D48"/>
        </w:rPr>
        <w:t xml:space="preserve">” </w:t>
      </w:r>
      <w:r>
        <w:rPr>
          <w:rFonts w:ascii="ITC Avant Garde Pro Md;sans-serif" w:hAnsi="ITC Avant Garde Pro Md;sans-serif"/>
          <w:b w:val="false"/>
          <w:color w:val="313D48"/>
          <w:sz w:val="16"/>
        </w:rPr>
        <w:t>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pStyle w:val="TextBody"/>
        <w:bidi w:val="0"/>
        <w:spacing w:lineRule="auto" w:line="309" w:before="120" w:after="120"/>
        <w:ind w:left="0" w:right="0" w:firstLine="1440"/>
        <w:jc w:val="both"/>
        <w:rPr/>
      </w:pPr>
      <w:r>
        <w:rPr>
          <w:rFonts w:ascii="ITC Avant Garde Pro Md;sans-serif" w:hAnsi="ITC Avant Garde Pro Md;sans-serif"/>
          <w:b w:val="false"/>
          <w:color w:val="313D48"/>
          <w:sz w:val="16"/>
        </w:rPr>
        <w:t>6.4</w:t>
      </w:r>
      <w:r>
        <w:rPr>
          <w:rFonts w:ascii="ITC Avant Garde Pro Md;sans-serif" w:hAnsi="ITC Avant Garde Pro Md;sans-serif"/>
          <w:b/>
          <w:color w:val="313D48"/>
          <w:sz w:val="16"/>
        </w:rPr>
        <w:t>Effect of Termination of Service</w:t>
      </w:r>
      <w:r>
        <w:rPr>
          <w:rFonts w:ascii="ITC Avant Garde Pro Md;sans-serif" w:hAnsi="ITC Avant Garde Pro Md;sans-serif"/>
          <w:b w:val="false"/>
          <w:color w:val="313D48"/>
          <w:sz w:val="16"/>
        </w:rPr>
        <w:t>.</w:t>
      </w:r>
    </w:p>
    <w:p>
      <w:pPr>
        <w:pStyle w:val="TextBody"/>
        <w:bidi w:val="0"/>
        <w:spacing w:lineRule="auto" w:line="309"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Option Exercisability</w:t>
      </w:r>
      <w:r>
        <w:rPr>
          <w:rFonts w:ascii="ITC Avant Garde Pro Md;sans-serif" w:hAnsi="ITC Avant Garde Pro Md;sans-serif"/>
          <w:b w:val="false"/>
          <w:color w:val="313D48"/>
          <w:sz w:val="16"/>
        </w:rPr>
        <w:t>. Subject to earlier termination of the Option as otherwise provided by this Plan and 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ITC Avant Garde Pro Md;sans-serif" w:hAnsi="ITC Avant Garde Pro Md;sans-serif"/>
          <w:b/>
          <w:i/>
          <w:color w:val="313D48"/>
          <w:sz w:val="16"/>
        </w:rPr>
        <w:t>Option Expiration Date</w:t>
      </w:r>
      <w:r>
        <w:rPr>
          <w:color w:val="313D48"/>
        </w:rPr>
        <w:t>”</w:t>
      </w:r>
      <w:r>
        <w:rPr>
          <w:rFonts w:ascii="ITC Avant Garde Pro Md;sans-serif" w:hAnsi="ITC Avant Garde Pro Md;sans-serif"/>
          <w:b w:val="false"/>
          <w:color w:val="313D48"/>
          <w:sz w:val="16"/>
        </w:rPr>
        <w:t>), and thereafter shall terminate if not exercised during such period.</w:t>
      </w:r>
    </w:p>
    <w:p>
      <w:pPr>
        <w:pStyle w:val="TextBody"/>
        <w:bidi w:val="0"/>
        <w:spacing w:lineRule="auto" w:line="309" w:before="120" w:after="120"/>
        <w:ind w:left="0" w:right="0" w:firstLine="2880"/>
        <w:jc w:val="both"/>
        <w:rPr/>
      </w:pPr>
      <w:r>
        <w:rPr>
          <w:rFonts w:ascii="ITC Avant Garde Pro Md;sans-serif" w:hAnsi="ITC Avant Garde Pro Md;sans-serif"/>
          <w:b w:val="false"/>
          <w:color w:val="313D48"/>
          <w:sz w:val="16"/>
        </w:rPr>
        <w:t>(i)</w:t>
      </w:r>
      <w:r>
        <w:rPr>
          <w:rFonts w:ascii="ITC Avant Garde Pro Md;sans-serif" w:hAnsi="ITC Avant Garde Pro Md;sans-serif"/>
          <w:b/>
          <w:color w:val="313D48"/>
          <w:sz w:val="16"/>
        </w:rPr>
        <w:t>Disability</w:t>
      </w:r>
      <w:r>
        <w:rPr>
          <w:rFonts w:ascii="ITC Avant Garde Pro Md;sans-serif" w:hAnsi="ITC Avant Garde Pro Md;sans-serif"/>
          <w:b w:val="false"/>
          <w:color w:val="313D48"/>
          <w:sz w:val="16"/>
        </w:rPr>
        <w:t>.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pStyle w:val="TextBody"/>
        <w:bidi w:val="0"/>
        <w:spacing w:lineRule="auto" w:line="309" w:before="120" w:after="120"/>
        <w:ind w:left="0" w:right="0" w:firstLine="2880"/>
        <w:jc w:val="both"/>
        <w:rPr/>
      </w:pPr>
      <w:r>
        <w:rPr>
          <w:rFonts w:ascii="ITC Avant Garde Pro Md;sans-serif" w:hAnsi="ITC Avant Garde Pro Md;sans-serif"/>
          <w:b w:val="false"/>
          <w:color w:val="313D48"/>
          <w:sz w:val="16"/>
        </w:rPr>
        <w:t>(ii)</w:t>
      </w:r>
      <w:r>
        <w:rPr>
          <w:rFonts w:ascii="ITC Avant Garde Pro Md;sans-serif" w:hAnsi="ITC Avant Garde Pro Md;sans-serif"/>
          <w:b/>
          <w:color w:val="313D48"/>
          <w:sz w:val="16"/>
        </w:rPr>
        <w:t>Death</w:t>
      </w:r>
      <w:r>
        <w:rPr>
          <w:rFonts w:ascii="ITC Avant Garde Pro Md;sans-serif" w:hAnsi="ITC Avant Garde Pro Md;sans-serif"/>
          <w:b w:val="false"/>
          <w:color w:val="313D48"/>
          <w:sz w:val="16"/>
        </w:rPr>
        <w:t>.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pStyle w:val="TextBody"/>
        <w:bidi w:val="0"/>
        <w:spacing w:lineRule="auto" w:line="309" w:before="120" w:after="120"/>
        <w:ind w:left="0" w:right="0" w:firstLine="2880"/>
        <w:jc w:val="both"/>
        <w:rPr/>
      </w:pPr>
      <w:r>
        <w:rPr>
          <w:rFonts w:ascii="ITC Avant Garde Pro Md;sans-serif" w:hAnsi="ITC Avant Garde Pro Md;sans-serif"/>
          <w:b w:val="false"/>
          <w:color w:val="313D48"/>
          <w:sz w:val="16"/>
        </w:rPr>
        <w:t>(iii)</w:t>
      </w:r>
      <w:r>
        <w:rPr>
          <w:rFonts w:ascii="ITC Avant Garde Pro Md;sans-serif" w:hAnsi="ITC Avant Garde Pro Md;sans-serif"/>
          <w:b/>
          <w:color w:val="313D48"/>
          <w:sz w:val="16"/>
        </w:rPr>
        <w:t>Termination for Cause</w:t>
      </w:r>
      <w:r>
        <w:rPr>
          <w:rFonts w:ascii="ITC Avant Garde Pro Md;sans-serif" w:hAnsi="ITC Avant Garde Pro Md;sans-serif"/>
          <w:b w:val="false"/>
          <w:color w:val="313D48"/>
          <w:sz w:val="16"/>
        </w:rPr>
        <w:t>.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032510"/>
                <wp:effectExtent l="0" t="0" r="0" b="0"/>
                <wp:wrapNone/>
                <wp:docPr id="179" name="Frame89"/>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B-10</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B-10</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(iv)</w:t>
      </w:r>
      <w:r>
        <w:rPr>
          <w:rFonts w:ascii="ITC Avant Garde Pro Md;sans-serif" w:hAnsi="ITC Avant Garde Pro Md;sans-serif"/>
          <w:b/>
          <w:color w:val="313D48"/>
          <w:sz w:val="16"/>
        </w:rPr>
        <w:t>Other Termination of Service</w:t>
      </w:r>
      <w:r>
        <w:rPr>
          <w:rFonts w:ascii="ITC Avant Garde Pro Md;sans-serif" w:hAnsi="ITC Avant Garde Pro Md;sans-serif"/>
          <w:b w:val="false"/>
          <w:color w:val="313D48"/>
          <w:sz w:val="16"/>
        </w:rPr>
        <w:t>.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four (4) months after the date on which the Participant’s Service terminated.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Extension if Exercise Prevented by Law</w:t>
      </w:r>
      <w:r>
        <w:rPr>
          <w:rFonts w:ascii="ITC Avant Garde Pro Md;sans-serif" w:hAnsi="ITC Avant Garde Pro Md;sans-serif"/>
          <w:b w:val="false"/>
          <w:color w:val="313D48"/>
          <w:sz w:val="16"/>
        </w:rPr>
        <w:t>. Notwithstanding the foregoing, other than termination of Service for Cause, if the exercise of an Option within the Post-Termination Exercise Period is prevented by the provisions of Section 14 below or other applicable law on any date during such Post-Termination Exercise Period and on which the per share exercise price of the Option is less than the Fair Market Value, such Option shall remain exercisable until thirty (30) days after the date such exercise first would no longer be prevented by such provisions but in any event no later than the Option Expiration Date.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6.5</w:t>
      </w:r>
      <w:r>
        <w:rPr>
          <w:rFonts w:ascii="ITC Avant Garde Pro Md;sans-serif" w:hAnsi="ITC Avant Garde Pro Md;sans-serif"/>
          <w:b/>
          <w:color w:val="313D48"/>
          <w:sz w:val="16"/>
        </w:rPr>
        <w:t>Transferability of Options</w:t>
      </w:r>
      <w:r>
        <w:rPr>
          <w:rFonts w:ascii="ITC Avant Garde Pro Md;sans-serif" w:hAnsi="ITC Avant Garde Pro Md;sans-serif"/>
          <w:b w:val="false"/>
          <w:color w:val="313D48"/>
          <w:sz w:val="16"/>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Notwithstanding the foregoing, Options may not be transferred to any third party for value.</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7.</w:t>
      </w:r>
      <w:r>
        <w:rPr>
          <w:rFonts w:ascii="ITC Avant Garde Pro Md;sans-serif" w:hAnsi="ITC Avant Garde Pro Md;sans-serif"/>
          <w:b/>
          <w:color w:val="313D48"/>
          <w:sz w:val="16"/>
          <w:u w:val="single"/>
        </w:rPr>
        <w:t>Stock Appreciation Rights</w:t>
      </w:r>
      <w:r>
        <w:rPr>
          <w:rFonts w:ascii="ITC Avant Garde Pro Md;sans-serif" w:hAnsi="ITC Avant Garde Pro Md;sans-serif"/>
          <w:b/>
          <w:color w:val="313D48"/>
          <w:sz w:val="16"/>
        </w:rPr>
        <w:t>.</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7.1</w:t>
      </w:r>
      <w:r>
        <w:rPr>
          <w:rFonts w:ascii="ITC Avant Garde Pro Md;sans-serif" w:hAnsi="ITC Avant Garde Pro Md;sans-serif"/>
          <w:b/>
          <w:color w:val="313D48"/>
          <w:sz w:val="16"/>
        </w:rPr>
        <w:t>Types of SARs Authorized</w:t>
      </w:r>
      <w:r>
        <w:rPr>
          <w:rFonts w:ascii="ITC Avant Garde Pro Md;sans-serif" w:hAnsi="ITC Avant Garde Pro Md;sans-serif"/>
          <w:b w:val="false"/>
          <w:color w:val="313D48"/>
          <w:sz w:val="16"/>
        </w:rPr>
        <w:t>. SARs may be granted in tandem with all or any portion of a related Option (a “</w:t>
      </w:r>
      <w:r>
        <w:rPr>
          <w:rFonts w:ascii="ITC Avant Garde Pro Md;sans-serif" w:hAnsi="ITC Avant Garde Pro Md;sans-serif"/>
          <w:b/>
          <w:i/>
          <w:color w:val="313D48"/>
          <w:sz w:val="16"/>
        </w:rPr>
        <w:t>Tandem SAR</w:t>
      </w:r>
      <w:r>
        <w:rPr>
          <w:color w:val="313D48"/>
        </w:rPr>
        <w:t>”</w:t>
      </w:r>
      <w:r>
        <w:rPr>
          <w:rFonts w:ascii="ITC Avant Garde Pro Md;sans-serif" w:hAnsi="ITC Avant Garde Pro Md;sans-serif"/>
          <w:b w:val="false"/>
          <w:color w:val="313D48"/>
          <w:sz w:val="16"/>
        </w:rPr>
        <w:t>) or may be granted independently of any Option (a “</w:t>
      </w:r>
      <w:r>
        <w:rPr>
          <w:rFonts w:ascii="ITC Avant Garde Pro Md;sans-serif" w:hAnsi="ITC Avant Garde Pro Md;sans-serif"/>
          <w:b/>
          <w:i/>
          <w:color w:val="313D48"/>
          <w:sz w:val="16"/>
        </w:rPr>
        <w:t>Freestanding SAR</w:t>
      </w:r>
      <w:r>
        <w:rPr>
          <w:color w:val="313D48"/>
        </w:rPr>
        <w:t>”</w:t>
      </w:r>
      <w:r>
        <w:rPr>
          <w:rFonts w:ascii="ITC Avant Garde Pro Md;sans-serif" w:hAnsi="ITC Avant Garde Pro Md;sans-serif"/>
          <w:b w:val="false"/>
          <w:color w:val="313D48"/>
          <w:sz w:val="16"/>
        </w:rPr>
        <w:t>). A Tandem SAR may only be granted concurrently with the grant of the related Option.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7.2</w:t>
      </w:r>
      <w:r>
        <w:rPr>
          <w:rFonts w:ascii="ITC Avant Garde Pro Md;sans-serif" w:hAnsi="ITC Avant Garde Pro Md;sans-serif"/>
          <w:b/>
          <w:color w:val="313D48"/>
          <w:sz w:val="16"/>
        </w:rPr>
        <w:t>Exercise Price</w:t>
      </w:r>
      <w:r>
        <w:rPr>
          <w:rFonts w:ascii="ITC Avant Garde Pro Md;sans-serif" w:hAnsi="ITC Avant Garde Pro Md;sans-serif"/>
          <w:b w:val="false"/>
          <w:color w:val="313D48"/>
          <w:sz w:val="16"/>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7.3</w:t>
      </w:r>
      <w:r>
        <w:rPr>
          <w:rFonts w:ascii="ITC Avant Garde Pro Md;sans-serif" w:hAnsi="ITC Avant Garde Pro Md;sans-serif"/>
          <w:b/>
          <w:color w:val="313D48"/>
          <w:sz w:val="16"/>
        </w:rPr>
        <w:t>Exercisability and Term of SARs</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Tandem SARs</w:t>
      </w:r>
      <w:r>
        <w:rPr>
          <w:rFonts w:ascii="ITC Avant Garde Pro Md;sans-serif" w:hAnsi="ITC Avant Garde Pro Md;sans-serif"/>
          <w:b w:val="false"/>
          <w:color w:val="313D48"/>
          <w:sz w:val="16"/>
        </w:rPr>
        <w:t>.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Freestanding SARs</w:t>
      </w:r>
      <w:r>
        <w:rPr>
          <w:rFonts w:ascii="ITC Avant Garde Pro Md;sans-serif" w:hAnsi="ITC Avant Garde Pro Md;sans-serif"/>
          <w:b w:val="false"/>
          <w:color w:val="313D48"/>
          <w:sz w:val="16"/>
        </w:rPr>
        <w:t>. Freestanding 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7.4</w:t>
      </w:r>
      <w:r>
        <w:rPr>
          <w:rFonts w:ascii="ITC Avant Garde Pro Md;sans-serif" w:hAnsi="ITC Avant Garde Pro Md;sans-serif"/>
          <w:b/>
          <w:color w:val="313D48"/>
          <w:sz w:val="16"/>
        </w:rPr>
        <w:t>Exercise of SARs</w:t>
      </w:r>
      <w:r>
        <w:rPr>
          <w:rFonts w:ascii="ITC Avant Garde Pro Md;sans-serif" w:hAnsi="ITC Avant Garde Pro Md;sans-serif"/>
          <w:b w:val="false"/>
          <w:color w:val="313D48"/>
          <w:sz w:val="16"/>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04850"/>
                <wp:effectExtent l="0" t="0" r="0" b="0"/>
                <wp:wrapNone/>
                <wp:docPr id="180" name="Frame90"/>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 xml:space="preserve">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7.5</w:t>
      </w:r>
      <w:r>
        <w:rPr>
          <w:rFonts w:ascii="ITC Avant Garde Pro Md;sans-serif" w:hAnsi="ITC Avant Garde Pro Md;sans-serif"/>
          <w:b/>
          <w:color w:val="313D48"/>
          <w:sz w:val="16"/>
        </w:rPr>
        <w:t>Deemed Exercise of SARs</w:t>
      </w:r>
      <w:r>
        <w:rPr>
          <w:rFonts w:ascii="ITC Avant Garde Pro Md;sans-serif" w:hAnsi="ITC Avant Garde Pro Md;sans-serif"/>
          <w:b w:val="false"/>
          <w:color w:val="313D48"/>
          <w:sz w:val="16"/>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7.6</w:t>
      </w:r>
      <w:r>
        <w:rPr>
          <w:rFonts w:ascii="ITC Avant Garde Pro Md;sans-serif" w:hAnsi="ITC Avant Garde Pro Md;sans-serif"/>
          <w:b/>
          <w:color w:val="313D48"/>
          <w:sz w:val="16"/>
        </w:rPr>
        <w:t>Effect of Termination of Service</w:t>
      </w:r>
      <w:r>
        <w:rPr>
          <w:rFonts w:ascii="ITC Avant Garde Pro Md;sans-serif" w:hAnsi="ITC Avant Garde Pro Md;sans-serif"/>
          <w:b w:val="false"/>
          <w:color w:val="313D48"/>
          <w:sz w:val="16"/>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7.7</w:t>
      </w:r>
      <w:r>
        <w:rPr>
          <w:rFonts w:ascii="ITC Avant Garde Pro Md;sans-serif" w:hAnsi="ITC Avant Garde Pro Md;sans-serif"/>
          <w:b/>
          <w:color w:val="313D48"/>
          <w:sz w:val="16"/>
        </w:rPr>
        <w:t>Transferability of SARs</w:t>
      </w:r>
      <w:r>
        <w:rPr>
          <w:rFonts w:ascii="ITC Avant Garde Pro Md;sans-serif" w:hAnsi="ITC Avant Garde Pro Md;sans-serif"/>
          <w:b w:val="false"/>
          <w:color w:val="313D48"/>
          <w:sz w:val="16"/>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Notwithstanding the foregoing, SARs may not be transferred to any third party for value.</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8.</w:t>
      </w:r>
      <w:r>
        <w:rPr>
          <w:rFonts w:ascii="ITC Avant Garde Pro Md;sans-serif" w:hAnsi="ITC Avant Garde Pro Md;sans-serif"/>
          <w:b/>
          <w:color w:val="313D48"/>
          <w:sz w:val="16"/>
          <w:u w:val="single"/>
        </w:rPr>
        <w:t>Restricted Stock Awards</w:t>
      </w:r>
      <w:r>
        <w:rPr>
          <w:rFonts w:ascii="ITC Avant Garde Pro Md;sans-serif" w:hAnsi="ITC Avant Garde Pro Md;sans-serif"/>
          <w:b/>
          <w:color w:val="313D48"/>
          <w:sz w:val="16"/>
        </w:rPr>
        <w:t>.</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8.1</w:t>
      </w:r>
      <w:r>
        <w:rPr>
          <w:rFonts w:ascii="ITC Avant Garde Pro Md;sans-serif" w:hAnsi="ITC Avant Garde Pro Md;sans-serif"/>
          <w:b/>
          <w:color w:val="313D48"/>
          <w:sz w:val="16"/>
        </w:rPr>
        <w:t>Types of Restricted Stock Awards Authorized</w:t>
      </w:r>
      <w:r>
        <w:rPr>
          <w:rFonts w:ascii="ITC Avant Garde Pro Md;sans-serif" w:hAnsi="ITC Avant Garde Pro Md;sans-serif"/>
          <w:b w:val="false"/>
          <w:color w:val="313D48"/>
          <w:sz w:val="16"/>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8.2</w:t>
      </w:r>
      <w:r>
        <w:rPr>
          <w:rFonts w:ascii="ITC Avant Garde Pro Md;sans-serif" w:hAnsi="ITC Avant Garde Pro Md;sans-serif"/>
          <w:b/>
          <w:color w:val="313D48"/>
          <w:sz w:val="16"/>
        </w:rPr>
        <w:t>Purchase Price</w:t>
      </w:r>
      <w:r>
        <w:rPr>
          <w:rFonts w:ascii="ITC Avant Garde Pro Md;sans-serif" w:hAnsi="ITC Avant Garde Pro Md;sans-serif"/>
          <w:b w:val="false"/>
          <w:color w:val="313D48"/>
          <w:sz w:val="16"/>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8.3</w:t>
      </w:r>
      <w:r>
        <w:rPr>
          <w:rFonts w:ascii="ITC Avant Garde Pro Md;sans-serif" w:hAnsi="ITC Avant Garde Pro Md;sans-serif"/>
          <w:b/>
          <w:color w:val="313D48"/>
          <w:sz w:val="16"/>
        </w:rPr>
        <w:t>Purchase Period</w:t>
      </w:r>
      <w:r>
        <w:rPr>
          <w:rFonts w:ascii="ITC Avant Garde Pro Md;sans-serif" w:hAnsi="ITC Avant Garde Pro Md;sans-serif"/>
          <w:b w:val="false"/>
          <w:color w:val="313D48"/>
          <w:sz w:val="16"/>
        </w:rPr>
        <w:t>. A Restricted Stock Purchase Right shall be exercisable within a period established by the Committee, which shall in no event exceed thirty (30) days from the effective date of the grant of the Restricted Stock Purchase Right.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8.4</w:t>
      </w:r>
      <w:r>
        <w:rPr>
          <w:rFonts w:ascii="ITC Avant Garde Pro Md;sans-serif" w:hAnsi="ITC Avant Garde Pro Md;sans-serif"/>
          <w:b/>
          <w:color w:val="313D48"/>
          <w:sz w:val="16"/>
        </w:rPr>
        <w:t>Payment of Purchase Price</w:t>
      </w:r>
      <w:r>
        <w:rPr>
          <w:rFonts w:ascii="ITC Avant Garde Pro Md;sans-serif" w:hAnsi="ITC Avant Garde Pro Md;sans-serif"/>
          <w:b w:val="false"/>
          <w:color w:val="313D48"/>
          <w:sz w:val="16"/>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8.5</w:t>
      </w:r>
      <w:r>
        <w:rPr>
          <w:rFonts w:ascii="ITC Avant Garde Pro Md;sans-serif" w:hAnsi="ITC Avant Garde Pro Md;sans-serif"/>
          <w:b/>
          <w:color w:val="313D48"/>
          <w:sz w:val="16"/>
        </w:rPr>
        <w:t>Vesting and Restrictions on Transfer</w:t>
      </w:r>
      <w:r>
        <w:rPr>
          <w:rFonts w:ascii="ITC Avant Garde Pro Md;sans-serif" w:hAnsi="ITC Avant Garde Pro Md;sans-serif"/>
          <w:b w:val="false"/>
          <w:color w:val="313D48"/>
          <w:sz w:val="16"/>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032510"/>
                <wp:effectExtent l="0" t="0" r="0" b="0"/>
                <wp:wrapNone/>
                <wp:docPr id="181" name="Frame91"/>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B-12</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B-12</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8.6</w:t>
      </w:r>
      <w:r>
        <w:rPr>
          <w:rFonts w:ascii="ITC Avant Garde Pro Md;sans-serif" w:hAnsi="ITC Avant Garde Pro Md;sans-serif"/>
          <w:b/>
          <w:color w:val="313D48"/>
          <w:sz w:val="16"/>
        </w:rPr>
        <w:t>Voting Rights; Dividends and Distributions</w:t>
      </w:r>
      <w:r>
        <w:rPr>
          <w:rFonts w:ascii="ITC Avant Garde Pro Md;sans-serif" w:hAnsi="ITC Avant Garde Pro Md;sans-serif"/>
          <w:b w:val="false"/>
          <w:color w:val="313D48"/>
          <w:sz w:val="16"/>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any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4.3,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8.7</w:t>
      </w:r>
      <w:r>
        <w:rPr>
          <w:rFonts w:ascii="ITC Avant Garde Pro Md;sans-serif" w:hAnsi="ITC Avant Garde Pro Md;sans-serif"/>
          <w:b/>
          <w:color w:val="313D48"/>
          <w:sz w:val="16"/>
        </w:rPr>
        <w:t>Effect of Termination of Service</w:t>
      </w:r>
      <w:r>
        <w:rPr>
          <w:rFonts w:ascii="ITC Avant Garde Pro Md;sans-serif" w:hAnsi="ITC Avant Garde Pro Md;sans-serif"/>
          <w:b w:val="false"/>
          <w:color w:val="313D48"/>
          <w:sz w:val="16"/>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8.8</w:t>
      </w:r>
      <w:r>
        <w:rPr>
          <w:rFonts w:ascii="ITC Avant Garde Pro Md;sans-serif" w:hAnsi="ITC Avant Garde Pro Md;sans-serif"/>
          <w:b/>
          <w:color w:val="313D48"/>
          <w:sz w:val="16"/>
        </w:rPr>
        <w:t>Nontransferability of Restricted Stock Award Rights</w:t>
      </w:r>
      <w:r>
        <w:rPr>
          <w:rFonts w:ascii="ITC Avant Garde Pro Md;sans-serif" w:hAnsi="ITC Avant Garde Pro Md;sans-serif"/>
          <w:b w:val="false"/>
          <w:color w:val="313D48"/>
          <w:sz w:val="16"/>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9.</w:t>
      </w:r>
      <w:r>
        <w:rPr>
          <w:rFonts w:ascii="ITC Avant Garde Pro Md;sans-serif" w:hAnsi="ITC Avant Garde Pro Md;sans-serif"/>
          <w:b/>
          <w:color w:val="313D48"/>
          <w:sz w:val="16"/>
          <w:u w:val="single"/>
        </w:rPr>
        <w:t>Restricted Stock Units</w:t>
      </w:r>
      <w:r>
        <w:rPr>
          <w:rFonts w:ascii="ITC Avant Garde Pro Md;sans-serif" w:hAnsi="ITC Avant Garde Pro Md;sans-serif"/>
          <w:b/>
          <w:color w:val="313D48"/>
          <w:sz w:val="16"/>
        </w:rPr>
        <w:t>.</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9.1</w:t>
      </w:r>
      <w:r>
        <w:rPr>
          <w:rFonts w:ascii="ITC Avant Garde Pro Md;sans-serif" w:hAnsi="ITC Avant Garde Pro Md;sans-serif"/>
          <w:b/>
          <w:color w:val="313D48"/>
          <w:sz w:val="16"/>
        </w:rPr>
        <w:t>Grant of Restricted Stock Unit Awards</w:t>
      </w:r>
      <w:r>
        <w:rPr>
          <w:rFonts w:ascii="ITC Avant Garde Pro Md;sans-serif" w:hAnsi="ITC Avant Garde Pro Md;sans-serif"/>
          <w:b w:val="false"/>
          <w:color w:val="313D48"/>
          <w:sz w:val="16"/>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9.2</w:t>
      </w:r>
      <w:r>
        <w:rPr>
          <w:rFonts w:ascii="ITC Avant Garde Pro Md;sans-serif" w:hAnsi="ITC Avant Garde Pro Md;sans-serif"/>
          <w:b/>
          <w:color w:val="313D48"/>
          <w:sz w:val="16"/>
        </w:rPr>
        <w:t>Purchase Price</w:t>
      </w:r>
      <w:r>
        <w:rPr>
          <w:rFonts w:ascii="ITC Avant Garde Pro Md;sans-serif" w:hAnsi="ITC Avant Garde Pro Md;sans-serif"/>
          <w:b w:val="false"/>
          <w:color w:val="313D48"/>
          <w:sz w:val="16"/>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9.3</w:t>
      </w:r>
      <w:r>
        <w:rPr>
          <w:rFonts w:ascii="ITC Avant Garde Pro Md;sans-serif" w:hAnsi="ITC Avant Garde Pro Md;sans-serif"/>
          <w:b/>
          <w:color w:val="313D48"/>
          <w:sz w:val="16"/>
        </w:rPr>
        <w:t>Vesting</w:t>
      </w:r>
      <w:r>
        <w:rPr>
          <w:rFonts w:ascii="ITC Avant Garde Pro Md;sans-serif" w:hAnsi="ITC Avant Garde Pro Md;sans-serif"/>
          <w:b w:val="false"/>
          <w:color w:val="313D48"/>
          <w:sz w:val="16"/>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9.4</w:t>
      </w:r>
      <w:r>
        <w:rPr>
          <w:rFonts w:ascii="ITC Avant Garde Pro Md;sans-serif" w:hAnsi="ITC Avant Garde Pro Md;sans-serif"/>
          <w:b/>
          <w:color w:val="313D48"/>
          <w:sz w:val="16"/>
        </w:rPr>
        <w:t>Voting Rights, Dividend Equivalent Rights and Distributions</w:t>
      </w:r>
      <w:r>
        <w:rPr>
          <w:rFonts w:ascii="ITC Avant Garde Pro Md;sans-serif" w:hAnsi="ITC Avant Garde Pro Md;sans-serif"/>
          <w:b w:val="false"/>
          <w:color w:val="313D48"/>
          <w:sz w:val="16"/>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04850"/>
                <wp:effectExtent l="0" t="0" r="0" b="0"/>
                <wp:wrapNone/>
                <wp:docPr id="182" name="Frame92"/>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B-13</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B-13</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 No dividends or distributions shall be paid on shares of Stock subject to any Restricted Stock Unit Award which is subject to Vesting Conditions except to the extent that such Vesting Conditions are satisfied.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9.5</w:t>
      </w:r>
      <w:r>
        <w:rPr>
          <w:rFonts w:ascii="ITC Avant Garde Pro Md;sans-serif" w:hAnsi="ITC Avant Garde Pro Md;sans-serif"/>
          <w:b/>
          <w:color w:val="313D48"/>
          <w:sz w:val="16"/>
        </w:rPr>
        <w:t>Effect of Termination of Service</w:t>
      </w:r>
      <w:r>
        <w:rPr>
          <w:rFonts w:ascii="ITC Avant Garde Pro Md;sans-serif" w:hAnsi="ITC Avant Garde Pro Md;sans-serif"/>
          <w:b w:val="false"/>
          <w:color w:val="313D48"/>
          <w:sz w:val="16"/>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9.6</w:t>
      </w:r>
      <w:r>
        <w:rPr>
          <w:rFonts w:ascii="ITC Avant Garde Pro Md;sans-serif" w:hAnsi="ITC Avant Garde Pro Md;sans-serif"/>
          <w:b/>
          <w:color w:val="313D48"/>
          <w:sz w:val="16"/>
        </w:rPr>
        <w:t>Settlement of Restricted Stock Unit Awards</w:t>
      </w:r>
      <w:r>
        <w:rPr>
          <w:rFonts w:ascii="ITC Avant Garde Pro Md;sans-serif" w:hAnsi="ITC Avant Garde Pro Md;sans-serif"/>
          <w:b w:val="false"/>
          <w:color w:val="313D48"/>
          <w:sz w:val="16"/>
        </w:rPr>
        <w:t>. The Company shall issue to a Participant on the date on which Restricted Stock Units subject to the Participant’s Restricted Stock Unit Award vest or on such other date determined by the Committee as meeting the requirements for an exemption from, or alternatively in compliance with the requirements of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such latest permitted date as necessary to avoid adverse tax consequences under Section 409A.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9.7</w:t>
      </w:r>
      <w:r>
        <w:rPr>
          <w:rFonts w:ascii="ITC Avant Garde Pro Md;sans-serif" w:hAnsi="ITC Avant Garde Pro Md;sans-serif"/>
          <w:b/>
          <w:color w:val="313D48"/>
          <w:sz w:val="16"/>
        </w:rPr>
        <w:t>Nontransferability of Restricted Stock Unit Awards</w:t>
      </w:r>
      <w:r>
        <w:rPr>
          <w:rFonts w:ascii="ITC Avant Garde Pro Md;sans-serif" w:hAnsi="ITC Avant Garde Pro Md;sans-serif"/>
          <w:b w:val="false"/>
          <w:color w:val="313D48"/>
          <w:sz w:val="16"/>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10.</w:t>
      </w:r>
      <w:r>
        <w:rPr>
          <w:rFonts w:ascii="ITC Avant Garde Pro Md;sans-serif" w:hAnsi="ITC Avant Garde Pro Md;sans-serif"/>
          <w:b/>
          <w:color w:val="313D48"/>
          <w:sz w:val="16"/>
          <w:u w:val="single"/>
        </w:rPr>
        <w:t>Performance Awards</w:t>
      </w:r>
      <w:r>
        <w:rPr>
          <w:rFonts w:ascii="ITC Avant Garde Pro Md;sans-serif" w:hAnsi="ITC Avant Garde Pro Md;sans-serif"/>
          <w:b/>
          <w:color w:val="313D48"/>
          <w:sz w:val="16"/>
        </w:rPr>
        <w:t>.</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10.1</w:t>
      </w:r>
      <w:r>
        <w:rPr>
          <w:rFonts w:ascii="ITC Avant Garde Pro Md;sans-serif" w:hAnsi="ITC Avant Garde Pro Md;sans-serif"/>
          <w:b/>
          <w:color w:val="313D48"/>
          <w:sz w:val="16"/>
        </w:rPr>
        <w:t>Types of Performance Awards Authorized</w:t>
      </w:r>
      <w:r>
        <w:rPr>
          <w:rFonts w:ascii="ITC Avant Garde Pro Md;sans-serif" w:hAnsi="ITC Avant Garde Pro Md;sans-serif"/>
          <w:b w:val="false"/>
          <w:color w:val="313D48"/>
          <w:sz w:val="16"/>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10.2</w:t>
      </w:r>
      <w:r>
        <w:rPr>
          <w:rFonts w:ascii="ITC Avant Garde Pro Md;sans-serif" w:hAnsi="ITC Avant Garde Pro Md;sans-serif"/>
          <w:b/>
          <w:color w:val="313D48"/>
          <w:sz w:val="16"/>
        </w:rPr>
        <w:t>Initial Value of Performance Shares and Performance Units</w:t>
      </w:r>
      <w:r>
        <w:rPr>
          <w:rFonts w:ascii="ITC Avant Garde Pro Md;sans-serif" w:hAnsi="ITC Avant Garde Pro Md;sans-serif"/>
          <w:b w:val="false"/>
          <w:color w:val="313D48"/>
          <w:sz w:val="16"/>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032510"/>
                <wp:effectExtent l="0" t="0" r="0" b="0"/>
                <wp:wrapNone/>
                <wp:docPr id="183" name="Frame93"/>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B-14</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B-14</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10.3</w:t>
      </w:r>
      <w:r>
        <w:rPr>
          <w:rFonts w:ascii="ITC Avant Garde Pro Md;sans-serif" w:hAnsi="ITC Avant Garde Pro Md;sans-serif"/>
          <w:b/>
          <w:color w:val="313D48"/>
          <w:sz w:val="16"/>
        </w:rPr>
        <w:t>Establishment of Performance Period, Performance Goals and Performance Award Formula</w:t>
      </w:r>
      <w:r>
        <w:rPr>
          <w:rFonts w:ascii="ITC Avant Garde Pro Md;sans-serif" w:hAnsi="ITC Avant Garde Pro Md;sans-serif"/>
          <w:b w:val="false"/>
          <w:color w:val="313D48"/>
          <w:sz w:val="16"/>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10.4</w:t>
      </w:r>
      <w:r>
        <w:rPr>
          <w:rFonts w:ascii="ITC Avant Garde Pro Md;sans-serif" w:hAnsi="ITC Avant Garde Pro Md;sans-serif"/>
          <w:b/>
          <w:color w:val="313D48"/>
          <w:sz w:val="16"/>
        </w:rPr>
        <w:t>Measurement of Performance Goals</w:t>
      </w:r>
      <w:r>
        <w:rPr>
          <w:rFonts w:ascii="ITC Avant Garde Pro Md;sans-serif" w:hAnsi="ITC Avant Garde Pro Md;sans-serif"/>
          <w:b w:val="false"/>
          <w:color w:val="313D48"/>
          <w:sz w:val="16"/>
        </w:rPr>
        <w:t>. Performance Goals shall be established by the Committee on the basis of targets to be attained (“</w:t>
      </w:r>
      <w:r>
        <w:rPr>
          <w:rFonts w:ascii="ITC Avant Garde Pro Md;sans-serif" w:hAnsi="ITC Avant Garde Pro Md;sans-serif"/>
          <w:b/>
          <w:i/>
          <w:color w:val="313D48"/>
          <w:sz w:val="16"/>
        </w:rPr>
        <w:t>Performance Targets</w:t>
      </w:r>
      <w:r>
        <w:rPr>
          <w:color w:val="313D48"/>
        </w:rPr>
        <w:t>”</w:t>
      </w:r>
      <w:r>
        <w:rPr>
          <w:rFonts w:ascii="ITC Avant Garde Pro Md;sans-serif" w:hAnsi="ITC Avant Garde Pro Md;sans-serif"/>
          <w:b w:val="false"/>
          <w:color w:val="313D48"/>
          <w:sz w:val="16"/>
        </w:rPr>
        <w:t>) with respect to one or more measures of objective or subjective business, financial, or individual performance or other performance criteria established by the Committee (each, a “</w:t>
      </w:r>
      <w:r>
        <w:rPr>
          <w:rFonts w:ascii="ITC Avant Garde Pro Md;sans-serif" w:hAnsi="ITC Avant Garde Pro Md;sans-serif"/>
          <w:b/>
          <w:i/>
          <w:color w:val="313D48"/>
          <w:sz w:val="16"/>
        </w:rPr>
        <w:t>Performance Measure</w:t>
      </w:r>
      <w:r>
        <w:rPr>
          <w:color w:val="313D48"/>
        </w:rPr>
        <w:t>”</w:t>
      </w:r>
      <w:r>
        <w:rPr>
          <w:rFonts w:ascii="ITC Avant Garde Pro Md;sans-serif" w:hAnsi="ITC Avant Garde Pro Md;sans-serif"/>
          <w:b w:val="false"/>
          <w:color w:val="313D48"/>
          <w:sz w:val="16"/>
        </w:rPr>
        <w:t>), subject to the following:</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Performance Measures</w:t>
      </w:r>
      <w:r>
        <w:rPr>
          <w:rFonts w:ascii="ITC Avant Garde Pro Md;sans-serif" w:hAnsi="ITC Avant Garde Pro Md;sans-serif"/>
          <w:b w:val="false"/>
          <w:color w:val="313D48"/>
          <w:sz w:val="16"/>
        </w:rPr>
        <w:t xml:space="preserve">. Unless otherwise determined by the Committee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Performance Targets</w:t>
      </w:r>
      <w:r>
        <w:rPr>
          <w:rFonts w:ascii="ITC Avant Garde Pro Md;sans-serif" w:hAnsi="ITC Avant Garde Pro Md;sans-serif"/>
          <w:b w:val="false"/>
          <w:color w:val="313D48"/>
          <w:sz w:val="16"/>
        </w:rPr>
        <w:t>.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10.5</w:t>
      </w:r>
      <w:r>
        <w:rPr>
          <w:rFonts w:ascii="ITC Avant Garde Pro Md;sans-serif" w:hAnsi="ITC Avant Garde Pro Md;sans-serif"/>
          <w:b/>
          <w:color w:val="313D48"/>
          <w:sz w:val="16"/>
        </w:rPr>
        <w:t>Settlement of Performance Awards</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Determination of Final Value</w:t>
      </w:r>
      <w:r>
        <w:rPr>
          <w:rFonts w:ascii="ITC Avant Garde Pro Md;sans-serif" w:hAnsi="ITC Avant Garde Pro Md;sans-serif"/>
          <w:b w:val="false"/>
          <w:color w:val="313D48"/>
          <w:sz w:val="16"/>
        </w:rPr>
        <w:t>.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Notice to Participants</w:t>
      </w:r>
      <w:r>
        <w:rPr>
          <w:rFonts w:ascii="ITC Avant Garde Pro Md;sans-serif" w:hAnsi="ITC Avant Garde Pro Md;sans-serif"/>
          <w:b w:val="false"/>
          <w:color w:val="313D48"/>
          <w:sz w:val="16"/>
        </w:rPr>
        <w:t>. As soon as practicable following the Committee’s determination in accordance with Section 10.5(a) the Company shall notify each Participant of the determination of the Committee.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i/>
          <w:color w:val="313D48"/>
          <w:sz w:val="16"/>
        </w:rPr>
        <w:t>Payment in Settlement of Performance Awards</w:t>
      </w:r>
      <w:r>
        <w:rPr>
          <w:rFonts w:ascii="ITC Avant Garde Pro Md;sans-serif" w:hAnsi="ITC Avant Garde Pro Md;sans-serif"/>
          <w:b w:val="false"/>
          <w:color w:val="313D48"/>
          <w:sz w:val="16"/>
        </w:rPr>
        <w:t>. As soon as practicable following the Committee’s determination in accordance with Section 10.5(a)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(d)</w:t>
      </w:r>
      <w:r>
        <w:rPr>
          <w:rFonts w:ascii="ITC Avant Garde Pro Md;sans-serif" w:hAnsi="ITC Avant Garde Pro Md;sans-serif"/>
          <w:b/>
          <w:i/>
          <w:color w:val="313D48"/>
          <w:sz w:val="16"/>
        </w:rPr>
        <w:t>Provisions Applicable to Payment in Shares</w:t>
      </w:r>
      <w:r>
        <w:rPr>
          <w:rFonts w:ascii="ITC Avant Garde Pro Md;sans-serif" w:hAnsi="ITC Avant Garde Pro Md;sans-serif"/>
          <w:b w:val="false"/>
          <w:color w:val="313D48"/>
          <w:sz w:val="16"/>
        </w:rPr>
        <w:t>.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04850"/>
                <wp:effectExtent l="0" t="0" r="0" b="0"/>
                <wp:wrapNone/>
                <wp:docPr id="184" name="Frame94"/>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B-15</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B-15</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10.6</w:t>
      </w:r>
      <w:r>
        <w:rPr>
          <w:rFonts w:ascii="ITC Avant Garde Pro Md;sans-serif" w:hAnsi="ITC Avant Garde Pro Md;sans-serif"/>
          <w:b/>
          <w:color w:val="313D48"/>
          <w:sz w:val="16"/>
        </w:rPr>
        <w:t>Voting Rights; Dividend Equivalent Rights and Distributions</w:t>
      </w:r>
      <w:r>
        <w:rPr>
          <w:rFonts w:ascii="ITC Avant Garde Pro Md;sans-serif" w:hAnsi="ITC Avant Garde Pro Md;sans-serif"/>
          <w:b w:val="false"/>
          <w:color w:val="313D48"/>
          <w:sz w:val="16"/>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to which the Participant would be entitled by reason of the shares of Stock issuable upon settlement of the Performance Share Award, and all such new, substituted or additional securities or other property shall be immediately subject to the same Performance Goals and other Vesting Conditions as are applicable to the Award. No dividends or distributions shall be paid on shares of Stock subject to any Performance Share Award which is subject to Performance Goals or other Vesting Conditions except to the extent that such Performance Goals and/or other Vesting Conditions are satisfied.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10.7</w:t>
      </w:r>
      <w:r>
        <w:rPr>
          <w:rFonts w:ascii="ITC Avant Garde Pro Md;sans-serif" w:hAnsi="ITC Avant Garde Pro Md;sans-serif"/>
          <w:b/>
          <w:color w:val="313D48"/>
          <w:sz w:val="16"/>
        </w:rPr>
        <w:t>Effect of Termination of Service</w:t>
      </w:r>
      <w:r>
        <w:rPr>
          <w:rFonts w:ascii="ITC Avant Garde Pro Md;sans-serif" w:hAnsi="ITC Avant Garde Pro Md;sans-serif"/>
          <w:b w:val="false"/>
          <w:color w:val="313D48"/>
          <w:sz w:val="16"/>
        </w:rPr>
        <w:t>. Unless otherwise provided by the Committee and set forth in the Award Agreement evidencing a Performance Award, the effect of a Participant’s termination of Service on the Performance Award shall be as follows: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Death or Disability</w:t>
      </w:r>
      <w:r>
        <w:rPr>
          <w:rFonts w:ascii="ITC Avant Garde Pro Md;sans-serif" w:hAnsi="ITC Avant Garde Pro Md;sans-serif"/>
          <w:b w:val="false"/>
          <w:color w:val="313D48"/>
          <w:sz w:val="16"/>
        </w:rPr>
        <w:t>. If the Participant’s Service terminates because of the death or 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Other Termination of Service</w:t>
      </w:r>
      <w:r>
        <w:rPr>
          <w:rFonts w:ascii="ITC Avant Garde Pro Md;sans-serif" w:hAnsi="ITC Avant Garde Pro Md;sans-serif"/>
          <w:b w:val="false"/>
          <w:color w:val="313D48"/>
          <w:sz w:val="16"/>
        </w:rPr>
        <w:t>. If the Participant’s Service terminates for any reason 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10.8</w:t>
      </w:r>
      <w:r>
        <w:rPr>
          <w:rFonts w:ascii="ITC Avant Garde Pro Md;sans-serif" w:hAnsi="ITC Avant Garde Pro Md;sans-serif"/>
          <w:b/>
          <w:color w:val="313D48"/>
          <w:sz w:val="16"/>
        </w:rPr>
        <w:t>Nontransferability of Performance Awards</w:t>
      </w:r>
      <w:r>
        <w:rPr>
          <w:rFonts w:ascii="ITC Avant Garde Pro Md;sans-serif" w:hAnsi="ITC Avant Garde Pro Md;sans-serif"/>
          <w:b w:val="false"/>
          <w:color w:val="313D48"/>
          <w:sz w:val="16"/>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11.</w:t>
      </w:r>
      <w:r>
        <w:rPr>
          <w:rFonts w:ascii="ITC Avant Garde Pro Md;sans-serif" w:hAnsi="ITC Avant Garde Pro Md;sans-serif"/>
          <w:b/>
          <w:color w:val="313D48"/>
          <w:sz w:val="16"/>
          <w:u w:val="single"/>
        </w:rPr>
        <w:t>Cash-Based Awards and Other Stock-Based Awards</w:t>
      </w:r>
      <w:r>
        <w:rPr>
          <w:rFonts w:ascii="ITC Avant Garde Pro Md;sans-serif" w:hAnsi="ITC Avant Garde Pro Md;sans-serif"/>
          <w:b/>
          <w:color w:val="313D48"/>
          <w:sz w:val="16"/>
        </w:rPr>
        <w:t>.</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11.1</w:t>
      </w:r>
      <w:r>
        <w:rPr>
          <w:rFonts w:ascii="ITC Avant Garde Pro Md;sans-serif" w:hAnsi="ITC Avant Garde Pro Md;sans-serif"/>
          <w:b/>
          <w:color w:val="313D48"/>
          <w:sz w:val="16"/>
        </w:rPr>
        <w:t>Grant of Cash-Based Awards</w:t>
      </w:r>
      <w:r>
        <w:rPr>
          <w:rFonts w:ascii="ITC Avant Garde Pro Md;sans-serif" w:hAnsi="ITC Avant Garde Pro Md;sans-serif"/>
          <w:b w:val="false"/>
          <w:color w:val="313D48"/>
          <w:sz w:val="16"/>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11.2</w:t>
      </w:r>
      <w:r>
        <w:rPr>
          <w:rFonts w:ascii="ITC Avant Garde Pro Md;sans-serif" w:hAnsi="ITC Avant Garde Pro Md;sans-serif"/>
          <w:b/>
          <w:color w:val="313D48"/>
          <w:sz w:val="16"/>
        </w:rPr>
        <w:t>Grant of Other Stock-Based Awards</w:t>
      </w:r>
      <w:r>
        <w:rPr>
          <w:rFonts w:ascii="ITC Avant Garde Pro Md;sans-serif" w:hAnsi="ITC Avant Garde Pro Md;sans-serif"/>
          <w:b w:val="false"/>
          <w:color w:val="313D48"/>
          <w:sz w:val="16"/>
        </w:rPr>
        <w:t xml:space="preserve">.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032510"/>
                <wp:effectExtent l="0" t="0" r="0" b="0"/>
                <wp:wrapNone/>
                <wp:docPr id="185" name="Frame95"/>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B-16</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B-16</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11.3</w:t>
      </w:r>
      <w:r>
        <w:rPr>
          <w:rFonts w:ascii="ITC Avant Garde Pro Md;sans-serif" w:hAnsi="ITC Avant Garde Pro Md;sans-serif"/>
          <w:b/>
          <w:color w:val="313D48"/>
          <w:sz w:val="16"/>
        </w:rPr>
        <w:t>Value of Cash-Based and Other Stock-Based Awards</w:t>
      </w:r>
      <w:r>
        <w:rPr>
          <w:rFonts w:ascii="ITC Avant Garde Pro Md;sans-serif" w:hAnsi="ITC Avant Garde Pro Md;sans-serif"/>
          <w:b w:val="false"/>
          <w:color w:val="313D48"/>
          <w:sz w:val="16"/>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11.4</w:t>
      </w:r>
      <w:r>
        <w:rPr>
          <w:rFonts w:ascii="ITC Avant Garde Pro Md;sans-serif" w:hAnsi="ITC Avant Garde Pro Md;sans-serif"/>
          <w:b/>
          <w:color w:val="313D48"/>
          <w:sz w:val="16"/>
        </w:rPr>
        <w:t>Payment or Settlement of Cash-Based Awards and Other Stock-Based Awards</w:t>
      </w:r>
      <w:r>
        <w:rPr>
          <w:rFonts w:ascii="ITC Avant Garde Pro Md;sans-serif" w:hAnsi="ITC Avant Garde Pro Md;sans-serif"/>
          <w:b w:val="false"/>
          <w:color w:val="313D48"/>
          <w:sz w:val="16"/>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11.5</w:t>
      </w:r>
      <w:r>
        <w:rPr>
          <w:rFonts w:ascii="ITC Avant Garde Pro Md;sans-serif" w:hAnsi="ITC Avant Garde Pro Md;sans-serif"/>
          <w:b/>
          <w:color w:val="313D48"/>
          <w:sz w:val="16"/>
        </w:rPr>
        <w:t>Voting Rights; Dividend Equivalent Rights and Distributions</w:t>
      </w:r>
      <w:r>
        <w:rPr>
          <w:rFonts w:ascii="ITC Avant Garde Pro Md;sans-serif" w:hAnsi="ITC Avant Garde Pro Md;sans-serif"/>
          <w:b w:val="false"/>
          <w:color w:val="313D48"/>
          <w:sz w:val="16"/>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No dividends or distributions shall be paid on shares of Stock subject to any Other Stock Based Award which are subject to Vesting Conditions except to the extent that such Vesting Conditions are satisfied.</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11.6</w:t>
      </w:r>
      <w:r>
        <w:rPr>
          <w:rFonts w:ascii="ITC Avant Garde Pro Md;sans-serif" w:hAnsi="ITC Avant Garde Pro Md;sans-serif"/>
          <w:b/>
          <w:color w:val="313D48"/>
          <w:sz w:val="16"/>
        </w:rPr>
        <w:t>Effect of Termination of Service</w:t>
      </w:r>
      <w:r>
        <w:rPr>
          <w:rFonts w:ascii="ITC Avant Garde Pro Md;sans-serif" w:hAnsi="ITC Avant Garde Pro Md;sans-serif"/>
          <w:b w:val="false"/>
          <w:color w:val="313D48"/>
          <w:sz w:val="16"/>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11.7</w:t>
      </w:r>
      <w:r>
        <w:rPr>
          <w:rFonts w:ascii="ITC Avant Garde Pro Md;sans-serif" w:hAnsi="ITC Avant Garde Pro Md;sans-serif"/>
          <w:b/>
          <w:color w:val="313D48"/>
          <w:sz w:val="16"/>
        </w:rPr>
        <w:t>Nontransferability of Cash-Based Awards and Other Stock-Based Awards</w:t>
      </w:r>
      <w:r>
        <w:rPr>
          <w:rFonts w:ascii="ITC Avant Garde Pro Md;sans-serif" w:hAnsi="ITC Avant Garde Pro Md;sans-serif"/>
          <w:b w:val="false"/>
          <w:color w:val="313D48"/>
          <w:sz w:val="16"/>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12.</w:t>
      </w:r>
      <w:r>
        <w:rPr>
          <w:rFonts w:ascii="ITC Avant Garde Pro Md;sans-serif" w:hAnsi="ITC Avant Garde Pro Md;sans-serif"/>
          <w:b/>
          <w:color w:val="313D48"/>
          <w:sz w:val="16"/>
          <w:u w:val="single"/>
        </w:rPr>
        <w:t>Standard Forms of Award Agreement</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12.1</w:t>
      </w:r>
      <w:r>
        <w:rPr>
          <w:rFonts w:ascii="ITC Avant Garde Pro Md;sans-serif" w:hAnsi="ITC Avant Garde Pro Md;sans-serif"/>
          <w:b/>
          <w:color w:val="313D48"/>
          <w:sz w:val="16"/>
        </w:rPr>
        <w:t>Award Agreements</w:t>
      </w:r>
      <w:r>
        <w:rPr>
          <w:rFonts w:ascii="ITC Avant Garde Pro Md;sans-serif" w:hAnsi="ITC Avant Garde Pro Md;sans-serif"/>
          <w:b w:val="false"/>
          <w:color w:val="313D48"/>
          <w:sz w:val="16"/>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12.2</w:t>
      </w:r>
      <w:r>
        <w:rPr>
          <w:rFonts w:ascii="ITC Avant Garde Pro Md;sans-serif" w:hAnsi="ITC Avant Garde Pro Md;sans-serif"/>
          <w:b/>
          <w:color w:val="313D48"/>
          <w:sz w:val="16"/>
        </w:rPr>
        <w:t>Authority to Vary Terms</w:t>
      </w:r>
      <w:r>
        <w:rPr>
          <w:rFonts w:ascii="ITC Avant Garde Pro Md;sans-serif" w:hAnsi="ITC Avant Garde Pro Md;sans-serif"/>
          <w:b w:val="false"/>
          <w:color w:val="313D48"/>
          <w:sz w:val="16"/>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04850"/>
                <wp:effectExtent l="0" t="0" r="0" b="0"/>
                <wp:wrapNone/>
                <wp:docPr id="186" name="Frame96"/>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B-17</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B-17</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13.</w:t>
      </w:r>
      <w:r>
        <w:rPr>
          <w:rFonts w:ascii="ITC Avant Garde Pro Md;sans-serif" w:hAnsi="ITC Avant Garde Pro Md;sans-serif"/>
          <w:b/>
          <w:color w:val="313D48"/>
          <w:sz w:val="16"/>
          <w:u w:val="single"/>
        </w:rPr>
        <w:t>Change in Control</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13.1</w:t>
      </w:r>
      <w:r>
        <w:rPr>
          <w:rFonts w:ascii="ITC Avant Garde Pro Md;sans-serif" w:hAnsi="ITC Avant Garde Pro Md;sans-serif"/>
          <w:b/>
          <w:color w:val="313D48"/>
          <w:sz w:val="16"/>
        </w:rPr>
        <w:t>Effect of Change in Control on Awards.</w:t>
      </w:r>
      <w:r>
        <w:rPr>
          <w:color w:val="313D48"/>
        </w:rPr>
        <w:t xml:space="preserve"> </w:t>
      </w:r>
      <w:r>
        <w:rPr>
          <w:rFonts w:ascii="ITC Avant Garde Pro Md;sans-serif" w:hAnsi="ITC Avant Garde Pro Md;sans-serif"/>
          <w:b w:val="false"/>
          <w:color w:val="313D48"/>
          <w:sz w:val="16"/>
        </w:rPr>
        <w:t xml:space="preserve">In the event of a Change in Control, outstanding Awards shall be subject to the definitive agreement entered into by the Company in connection with the Change in Control. Subject to the requirements and limitations of Section 409A, if applicable, </w:t>
      </w:r>
      <w:r>
        <w:rPr>
          <w:rFonts w:ascii="ITC Avant Garde Pro Md;sans-serif" w:hAnsi="ITC Avant Garde Pro Md;sans-serif"/>
          <w:b w:val="false"/>
          <w:color w:val="313D48"/>
          <w:sz w:val="16"/>
          <w:shd w:fill="FFFFFF" w:val="clear"/>
        </w:rPr>
        <w:t>the following provisions will apply to Awards in the event of a Change in Control, contingent upon the consummation of the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w:t>
      </w:r>
      <w:r>
        <w:rPr>
          <w:color w:val="313D48"/>
        </w:rPr>
        <w:t xml:space="preserve"> </w:t>
      </w:r>
      <w:r>
        <w:rPr>
          <w:rFonts w:ascii="ITC Avant Garde Pro Md;sans-serif" w:hAnsi="ITC Avant Garde Pro Md;sans-serif"/>
          <w:b w:val="false"/>
          <w:color w:val="313D48"/>
          <w:sz w:val="16"/>
          <w:shd w:fill="FFFFFF" w:val="clear"/>
        </w:rPr>
        <w:t xml:space="preserve">The </w:t>
      </w:r>
      <w:r>
        <w:rPr>
          <w:rFonts w:ascii="ITC Avant Garde Pro Md;sans-serif" w:hAnsi="ITC Avant Garde Pro Md;sans-serif"/>
          <w:b w:val="false"/>
          <w:color w:val="313D48"/>
          <w:sz w:val="16"/>
        </w:rPr>
        <w:t>Committee need not take the same action or actions with respect to all Awards or portions thereof or with respect to all Participants and in each case may make such determination in its discretion and without the consent of any Participant (</w:t>
      </w:r>
      <w:r>
        <w:rPr>
          <w:rFonts w:ascii="ITC Avant Garde Pro Md;sans-serif" w:hAnsi="ITC Avant Garde Pro Md;sans-serif"/>
          <w:b w:val="false"/>
          <w:color w:val="313D48"/>
          <w:sz w:val="16"/>
          <w:shd w:fill="FFFFFF" w:val="clear"/>
        </w:rPr>
        <w:t>unless otherwise provided in the Award Agreement or any other written agreement between the Company or any Affiliate and the Participant or unless otherwise expressly provided by the Committee at the time of grant of an Award)</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color w:val="313D48"/>
          <w:sz w:val="16"/>
        </w:rPr>
        <w:t>Accelerated Vesting.</w:t>
      </w:r>
      <w:r>
        <w:rPr>
          <w:color w:val="313D48"/>
        </w:rPr>
        <w:t xml:space="preserve"> </w:t>
      </w:r>
      <w:r>
        <w:rPr>
          <w:rFonts w:ascii="ITC Avant Garde Pro Md;sans-serif" w:hAnsi="ITC Avant Garde Pro Md;sans-serif"/>
          <w:b w:val="false"/>
          <w:color w:val="313D48"/>
          <w:sz w:val="16"/>
        </w:rPr>
        <w:t>The Committee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color w:val="313D48"/>
          <w:sz w:val="16"/>
        </w:rPr>
        <w:t>Assumption, Continuation or Substitution.</w:t>
      </w:r>
      <w:r>
        <w:rPr>
          <w:color w:val="313D48"/>
        </w:rPr>
        <w:t xml:space="preserve"> </w:t>
      </w:r>
      <w:r>
        <w:rPr>
          <w:rFonts w:ascii="ITC Avant Garde Pro Md;sans-serif" w:hAnsi="ITC Avant Garde Pro Md;sans-serif"/>
          <w:b w:val="false"/>
          <w:color w:val="313D48"/>
          <w:sz w:val="16"/>
        </w:rPr>
        <w:t>The Committee may arrange for the surviving, continuing, successor, or purchasing corporation or other business entity or parent thereof, as the case may be (the “</w:t>
      </w:r>
      <w:r>
        <w:rPr>
          <w:rFonts w:ascii="ITC Avant Garde Pro Md;sans-serif" w:hAnsi="ITC Avant Garde Pro Md;sans-serif"/>
          <w:b/>
          <w:i/>
          <w:color w:val="313D48"/>
          <w:sz w:val="16"/>
        </w:rPr>
        <w:t>Acquiror</w:t>
      </w:r>
      <w:r>
        <w:rPr>
          <w:color w:val="313D48"/>
        </w:rPr>
        <w:t>”</w:t>
      </w:r>
      <w:r>
        <w:rPr>
          <w:rFonts w:ascii="ITC Avant Garde Pro Md;sans-serif" w:hAnsi="ITC Avant Garde Pro Md;sans-serif"/>
          <w:b w:val="false"/>
          <w:color w:val="313D48"/>
          <w:sz w:val="16"/>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prior to the time of consummation of the Change in Control shall terminate and cease to be outstanding effective as of the time of consummation of the Change in Control.</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color w:val="313D48"/>
          <w:sz w:val="16"/>
        </w:rPr>
        <w:t>Assignment or Lapse of Reacquisition or Repurchase Rights.</w:t>
      </w:r>
      <w:r>
        <w:rPr>
          <w:color w:val="313D48"/>
        </w:rPr>
        <w:t xml:space="preserve"> </w:t>
      </w:r>
      <w:r>
        <w:rPr>
          <w:rFonts w:ascii="ITC Avant Garde Pro Md;sans-serif" w:hAnsi="ITC Avant Garde Pro Md;sans-serif"/>
          <w:b w:val="false"/>
          <w:color w:val="313D48"/>
          <w:sz w:val="16"/>
        </w:rPr>
        <w:t xml:space="preserve">The Committee may </w:t>
      </w:r>
      <w:r>
        <w:rPr>
          <w:rFonts w:ascii="ITC Avant Garde Pro Md;sans-serif" w:hAnsi="ITC Avant Garde Pro Md;sans-serif"/>
          <w:b w:val="false"/>
          <w:color w:val="313D48"/>
          <w:sz w:val="16"/>
          <w:shd w:fill="FFFFFF" w:val="clear"/>
        </w:rPr>
        <w:t xml:space="preserve">arrange for the assignment of any reacquisition or repurchase rights held by the Company in respect of Stock issued pursuant to the Award to the Acquiror or arrange for the lapse, in whole or in part, of any reacquisition or repurchase rights held by the Company with respect to the Award.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(d)</w:t>
      </w:r>
      <w:r>
        <w:rPr>
          <w:rFonts w:ascii="ITC Avant Garde Pro Md;sans-serif" w:hAnsi="ITC Avant Garde Pro Md;sans-serif"/>
          <w:b/>
          <w:color w:val="313D48"/>
          <w:sz w:val="16"/>
        </w:rPr>
        <w:t>Cancellation.</w:t>
      </w:r>
      <w:r>
        <w:rPr>
          <w:color w:val="313D48"/>
        </w:rPr>
        <w:t xml:space="preserve"> </w:t>
      </w:r>
      <w:r>
        <w:rPr>
          <w:rFonts w:ascii="ITC Avant Garde Pro Md;sans-serif" w:hAnsi="ITC Avant Garde Pro Md;sans-serif"/>
          <w:b w:val="false"/>
          <w:color w:val="313D48"/>
          <w:sz w:val="16"/>
        </w:rPr>
        <w:t>In its discretion, the Committee may</w:t>
      </w:r>
      <w:r>
        <w:rPr>
          <w:color w:val="313D48"/>
          <w:shd w:fill="FFFFFF" w:val="clear"/>
        </w:rPr>
        <w:t xml:space="preserve"> </w:t>
      </w:r>
      <w:r>
        <w:rPr>
          <w:rFonts w:ascii="ITC Avant Garde Pro Md;sans-serif" w:hAnsi="ITC Avant Garde Pro Md;sans-serif"/>
          <w:b w:val="false"/>
          <w:color w:val="313D48"/>
          <w:sz w:val="16"/>
          <w:shd w:fill="FFFFFF" w:val="clear"/>
        </w:rPr>
        <w:t xml:space="preserve">cancel or arrange for the cancellation of the Award, to the extent not vested or not exercised prior to the effective time of the Change in Control, in exchange for no consideration ($0) or such consideration, if any, as determined by the Committee.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(e)</w:t>
      </w:r>
      <w:r>
        <w:rPr>
          <w:rFonts w:ascii="ITC Avant Garde Pro Md;sans-serif" w:hAnsi="ITC Avant Garde Pro Md;sans-serif"/>
          <w:b/>
          <w:color w:val="313D48"/>
          <w:sz w:val="16"/>
        </w:rPr>
        <w:t>Cash-Out of Outstanding Stock-Based Awards.</w:t>
      </w:r>
      <w:r>
        <w:rPr>
          <w:color w:val="313D48"/>
        </w:rPr>
        <w:t xml:space="preserve"> </w:t>
      </w:r>
      <w:r>
        <w:rPr>
          <w:rFonts w:ascii="ITC Avant Garde Pro Md;sans-serif" w:hAnsi="ITC Avant Garde Pro Md;sans-serif"/>
          <w:b w:val="false"/>
          <w:color w:val="313D48"/>
          <w:sz w:val="16"/>
        </w:rPr>
        <w:t>The Committee may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to the extent applicable,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pStyle w:val="TextBody"/>
        <w:bidi w:val="0"/>
        <w:spacing w:lineRule="auto" w:line="304" w:before="120" w:after="120"/>
        <w:ind w:left="0" w:right="0" w:firstLine="2160"/>
        <w:jc w:val="both"/>
        <w:rPr/>
      </w:pPr>
      <w:r>
        <w:rPr>
          <w:rFonts w:ascii="ITC Avant Garde Pro Md;sans-serif" w:hAnsi="ITC Avant Garde Pro Md;sans-serif"/>
          <w:b w:val="false"/>
          <w:color w:val="313D48"/>
          <w:sz w:val="16"/>
        </w:rPr>
        <w:t>(f)</w:t>
      </w:r>
      <w:r>
        <w:rPr>
          <w:rFonts w:ascii="ITC Avant Garde Pro Md;sans-serif" w:hAnsi="ITC Avant Garde Pro Md;sans-serif"/>
          <w:b/>
          <w:color w:val="313D48"/>
          <w:sz w:val="16"/>
        </w:rPr>
        <w:t>Adjustments and Earnouts</w:t>
      </w:r>
      <w:r>
        <w:rPr>
          <w:rFonts w:ascii="ITC Avant Garde Pro Md;sans-serif" w:hAnsi="ITC Avant Garde Pro Md;sans-serif"/>
          <w:b w:val="false"/>
          <w:color w:val="313D48"/>
          <w:sz w:val="16"/>
        </w:rPr>
        <w:t xml:space="preserve">. In making any determination pursuant to this Section 13.1 in the event of a Change in Control, the Committee may, in its discretion, determine that an Award shall or shall not be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032510"/>
                <wp:effectExtent l="0" t="0" r="0" b="0"/>
                <wp:wrapNone/>
                <wp:docPr id="187" name="Frame97"/>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B-18</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B-18</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04" w:before="120" w:after="1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pStyle w:val="TextBody"/>
        <w:bidi w:val="0"/>
        <w:spacing w:lineRule="auto" w:line="304" w:before="120" w:after="120"/>
        <w:ind w:left="0" w:right="0" w:firstLine="1440"/>
        <w:jc w:val="both"/>
        <w:rPr/>
      </w:pPr>
      <w:r>
        <w:rPr>
          <w:rFonts w:ascii="ITC Avant Garde Pro Md;sans-serif" w:hAnsi="ITC Avant Garde Pro Md;sans-serif"/>
          <w:b w:val="false"/>
          <w:color w:val="313D48"/>
          <w:sz w:val="16"/>
        </w:rPr>
        <w:t>13.2</w:t>
      </w:r>
      <w:r>
        <w:rPr>
          <w:rFonts w:ascii="ITC Avant Garde Pro Md;sans-serif" w:hAnsi="ITC Avant Garde Pro Md;sans-serif"/>
          <w:b/>
          <w:color w:val="313D48"/>
          <w:sz w:val="16"/>
        </w:rPr>
        <w:t>Appointment of Stockholder Representative.</w:t>
      </w:r>
      <w:r>
        <w:rPr>
          <w:color w:val="313D48"/>
        </w:rPr>
        <w:t xml:space="preserve"> </w:t>
      </w:r>
      <w:r>
        <w:rPr>
          <w:rFonts w:ascii="ITC Avant Garde Pro Md;sans-serif" w:hAnsi="ITC Avant Garde Pro Md;sans-serif"/>
          <w:b w:val="false"/>
          <w:color w:val="313D48"/>
          <w:sz w:val="16"/>
        </w:rPr>
        <w:t>As a condition to the receipt of an Award under the Plan, a Participant will be deemed to have agreed that the Award will be subject to the terms of any agreement governing a Change in Control transaction involving the Company, including, without limitation, a provision for the appointment of a stockholder representative that is authorized to act on the Participant’s behalf.</w:t>
      </w:r>
    </w:p>
    <w:p>
      <w:pPr>
        <w:pStyle w:val="TextBody"/>
        <w:bidi w:val="0"/>
        <w:spacing w:lineRule="auto" w:line="304" w:before="120" w:after="120"/>
        <w:ind w:left="0" w:right="0" w:firstLine="1440"/>
        <w:jc w:val="both"/>
        <w:rPr/>
      </w:pPr>
      <w:r>
        <w:rPr>
          <w:rFonts w:ascii="ITC Avant Garde Pro Md;sans-serif" w:hAnsi="ITC Avant Garde Pro Md;sans-serif"/>
          <w:b w:val="false"/>
          <w:color w:val="313D48"/>
          <w:sz w:val="16"/>
        </w:rPr>
        <w:t>13.3</w:t>
      </w:r>
      <w:r>
        <w:rPr>
          <w:rFonts w:ascii="ITC Avant Garde Pro Md;sans-serif" w:hAnsi="ITC Avant Garde Pro Md;sans-serif"/>
          <w:b/>
          <w:color w:val="313D48"/>
          <w:sz w:val="16"/>
        </w:rPr>
        <w:t>Effect of Change in Control on Nonemployee Director Awards.</w:t>
      </w:r>
      <w:r>
        <w:rPr>
          <w:color w:val="313D48"/>
        </w:rPr>
        <w:t xml:space="preserve"> </w:t>
      </w:r>
      <w:r>
        <w:rPr>
          <w:rFonts w:ascii="ITC Avant Garde Pro Md;sans-serif" w:hAnsi="ITC Avant Garde Pro Md;sans-serif"/>
          <w:b w:val="false"/>
          <w:color w:val="313D48"/>
          <w:sz w:val="16"/>
        </w:rPr>
        <w:t>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consummation of the Change in Control and, except to the extent assumed, continued or substituted for pursuant to Section 13.1(b) or otherwise restricted by Section 409A, shall be settled effective immediately prior to the time of consummation of the Change in Control if not exercised prior to the Change in Control.</w:t>
      </w:r>
    </w:p>
    <w:p>
      <w:pPr>
        <w:pStyle w:val="TextBody"/>
        <w:bidi w:val="0"/>
        <w:spacing w:lineRule="auto" w:line="304" w:before="120" w:after="120"/>
        <w:ind w:left="0" w:right="0" w:firstLine="1440"/>
        <w:jc w:val="both"/>
        <w:rPr/>
      </w:pPr>
      <w:r>
        <w:rPr>
          <w:rFonts w:ascii="ITC Avant Garde Pro Md;sans-serif" w:hAnsi="ITC Avant Garde Pro Md;sans-serif"/>
          <w:b w:val="false"/>
          <w:color w:val="313D48"/>
          <w:sz w:val="16"/>
        </w:rPr>
        <w:t>13.4</w:t>
      </w:r>
      <w:r>
        <w:rPr>
          <w:rFonts w:ascii="ITC Avant Garde Pro Md;sans-serif" w:hAnsi="ITC Avant Garde Pro Md;sans-serif"/>
          <w:b/>
          <w:color w:val="313D48"/>
          <w:sz w:val="16"/>
        </w:rPr>
        <w:t>Federal Excise Tax Under Section 4999 of the Code</w:t>
      </w:r>
      <w:r>
        <w:rPr>
          <w:rFonts w:ascii="ITC Avant Garde Pro Md;sans-serif" w:hAnsi="ITC Avant Garde Pro Md;sans-serif"/>
          <w:b w:val="false"/>
          <w:color w:val="313D48"/>
          <w:sz w:val="16"/>
        </w:rPr>
        <w:t>.</w:t>
      </w:r>
    </w:p>
    <w:p>
      <w:pPr>
        <w:pStyle w:val="TextBody"/>
        <w:bidi w:val="0"/>
        <w:spacing w:lineRule="auto" w:line="304"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color w:val="313D48"/>
          <w:sz w:val="16"/>
        </w:rPr>
        <w:t>Excess Parachute Payment</w:t>
      </w:r>
      <w:r>
        <w:rPr>
          <w:rFonts w:ascii="ITC Avant Garde Pro Md;sans-serif" w:hAnsi="ITC Avant Garde Pro Md;sans-serif"/>
          <w:b w:val="false"/>
          <w:color w:val="313D48"/>
          <w:sz w:val="16"/>
        </w:rPr>
        <w:t>.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pStyle w:val="TextBody"/>
        <w:bidi w:val="0"/>
        <w:spacing w:lineRule="auto" w:line="304"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color w:val="313D48"/>
          <w:sz w:val="16"/>
        </w:rPr>
        <w:t>Determination by Tax Firm</w:t>
      </w:r>
      <w:r>
        <w:rPr>
          <w:rFonts w:ascii="ITC Avant Garde Pro Md;sans-serif" w:hAnsi="ITC Avant Garde Pro Md;sans-serif"/>
          <w:b w:val="false"/>
          <w:color w:val="313D48"/>
          <w:sz w:val="16"/>
        </w:rPr>
        <w:t>. To aid the Participant in making any election called for under Section 13.4(a), no later than the date of the occurrence of any event that might reasonably be anticipated to result in an “excess parachute payment” to the Participant as described in Section 13.4(a),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ITC Avant Garde Pro Md;sans-serif" w:hAnsi="ITC Avant Garde Pro Md;sans-serif"/>
          <w:b/>
          <w:i/>
          <w:color w:val="313D48"/>
          <w:sz w:val="16"/>
        </w:rPr>
        <w:t>Tax Firm</w:t>
      </w:r>
      <w:r>
        <w:rPr>
          <w:color w:val="313D48"/>
        </w:rPr>
        <w:t>”</w:t>
      </w:r>
      <w:r>
        <w:rPr>
          <w:rFonts w:ascii="ITC Avant Garde Pro Md;sans-serif" w:hAnsi="ITC Avant Garde Pro Md;sans-serif"/>
          <w:b w:val="false"/>
          <w:color w:val="313D48"/>
          <w:sz w:val="16"/>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pStyle w:val="TextBody"/>
        <w:bidi w:val="0"/>
        <w:spacing w:lineRule="auto" w:line="304" w:before="120" w:after="120"/>
        <w:ind w:left="0" w:right="0" w:firstLine="720"/>
        <w:jc w:val="both"/>
        <w:rPr/>
      </w:pPr>
      <w:r>
        <w:rPr>
          <w:rFonts w:ascii="ITC Avant Garde Pro Md;sans-serif" w:hAnsi="ITC Avant Garde Pro Md;sans-serif"/>
          <w:b w:val="false"/>
          <w:color w:val="313D48"/>
          <w:sz w:val="16"/>
        </w:rPr>
        <w:t>14.</w:t>
      </w:r>
      <w:r>
        <w:rPr>
          <w:rFonts w:ascii="ITC Avant Garde Pro Md;sans-serif" w:hAnsi="ITC Avant Garde Pro Md;sans-serif"/>
          <w:b/>
          <w:color w:val="313D48"/>
          <w:sz w:val="16"/>
          <w:u w:val="single"/>
        </w:rPr>
        <w:t>Compliance with Securities Law</w:t>
      </w:r>
      <w:r>
        <w:rPr>
          <w:rFonts w:ascii="ITC Avant Garde Pro Md;sans-serif" w:hAnsi="ITC Avant Garde Pro Md;sans-serif"/>
          <w:b w:val="false"/>
          <w:color w:val="313D48"/>
          <w:sz w:val="16"/>
        </w:rPr>
        <w:t>.</w:t>
      </w:r>
    </w:p>
    <w:p>
      <w:pPr>
        <w:pStyle w:val="TextBody"/>
        <w:bidi w:val="0"/>
        <w:spacing w:lineRule="auto" w:line="304"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304" w:before="120" w:after="120"/>
        <w:ind w:left="0" w:right="0" w:firstLine="720"/>
        <w:jc w:val="both"/>
        <w:rPr/>
      </w:pPr>
      <w:r>
        <w:rPr>
          <w:rFonts w:ascii="ITC Avant Garde Pro Md;sans-serif" w:hAnsi="ITC Avant Garde Pro Md;sans-serif"/>
          <w:b w:val="false"/>
          <w:color w:val="313D48"/>
          <w:sz w:val="16"/>
        </w:rPr>
        <w:t>15.</w:t>
      </w:r>
      <w:r>
        <w:rPr>
          <w:rFonts w:ascii="ITC Avant Garde Pro Md;sans-serif" w:hAnsi="ITC Avant Garde Pro Md;sans-serif"/>
          <w:b/>
          <w:color w:val="313D48"/>
          <w:sz w:val="16"/>
          <w:u w:val="single"/>
        </w:rPr>
        <w:t>Compliance with Section 409A</w:t>
      </w:r>
      <w:r>
        <w:rPr>
          <w:rFonts w:ascii="ITC Avant Garde Pro Md;sans-serif" w:hAnsi="ITC Avant Garde Pro Md;sans-serif"/>
          <w:b w:val="false"/>
          <w:color w:val="313D48"/>
          <w:sz w:val="16"/>
        </w:rPr>
        <w:t>.</w:t>
      </w:r>
    </w:p>
    <w:p>
      <w:pPr>
        <w:pStyle w:val="TextBody"/>
        <w:bidi w:val="0"/>
        <w:spacing w:lineRule="auto" w:line="304" w:before="120" w:after="120"/>
        <w:ind w:left="0" w:right="0" w:firstLine="1440"/>
        <w:jc w:val="both"/>
        <w:rPr/>
      </w:pPr>
      <w:r>
        <w:rPr>
          <w:rFonts w:ascii="ITC Avant Garde Pro Md;sans-serif" w:hAnsi="ITC Avant Garde Pro Md;sans-serif"/>
          <w:b w:val="false"/>
          <w:color w:val="313D48"/>
          <w:sz w:val="16"/>
        </w:rPr>
        <w:t>15.1</w:t>
      </w:r>
      <w:r>
        <w:rPr>
          <w:rFonts w:ascii="ITC Avant Garde Pro Md;sans-serif" w:hAnsi="ITC Avant Garde Pro Md;sans-serif"/>
          <w:b/>
          <w:color w:val="313D48"/>
          <w:sz w:val="16"/>
        </w:rPr>
        <w:t>Awards Subject to Section 409A</w:t>
      </w:r>
      <w:r>
        <w:rPr>
          <w:rFonts w:ascii="ITC Avant Garde Pro Md;sans-serif" w:hAnsi="ITC Avant Garde Pro Md;sans-serif"/>
          <w:b w:val="false"/>
          <w:color w:val="313D48"/>
          <w:sz w:val="16"/>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pStyle w:val="TextBody"/>
        <w:bidi w:val="0"/>
        <w:spacing w:lineRule="auto" w:line="304"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val="false"/>
          <w:color w:val="313D48"/>
          <w:sz w:val="16"/>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pStyle w:val="TextBody"/>
        <w:bidi w:val="0"/>
        <w:spacing w:lineRule="auto" w:line="304"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val="false"/>
          <w:color w:val="313D48"/>
          <w:sz w:val="16"/>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04850"/>
                <wp:effectExtent l="0" t="0" r="0" b="0"/>
                <wp:wrapNone/>
                <wp:docPr id="188" name="Frame98"/>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B-19</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B-19</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Subject to the provisions of Section 409A, the term “</w:t>
      </w:r>
      <w:r>
        <w:rPr>
          <w:rFonts w:ascii="ITC Avant Garde Pro Md;sans-serif" w:hAnsi="ITC Avant Garde Pro Md;sans-serif"/>
          <w:b/>
          <w:i/>
          <w:color w:val="313D48"/>
          <w:sz w:val="16"/>
        </w:rPr>
        <w:t>Short-Term Deferral Period</w:t>
      </w:r>
      <w:r>
        <w:rPr>
          <w:color w:val="313D48"/>
        </w:rPr>
        <w:t xml:space="preserve">” </w:t>
      </w:r>
      <w:r>
        <w:rPr>
          <w:rFonts w:ascii="ITC Avant Garde Pro Md;sans-serif" w:hAnsi="ITC Avant Garde Pro Md;sans-serif"/>
          <w:b w:val="false"/>
          <w:color w:val="313D48"/>
          <w:sz w:val="16"/>
        </w:rPr>
        <w:t>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15.2</w:t>
      </w:r>
      <w:r>
        <w:rPr>
          <w:rFonts w:ascii="ITC Avant Garde Pro Md;sans-serif" w:hAnsi="ITC Avant Garde Pro Md;sans-serif"/>
          <w:b/>
          <w:color w:val="313D48"/>
          <w:sz w:val="16"/>
        </w:rPr>
        <w:t>Deferral and/or Distribution Elections</w:t>
      </w:r>
      <w:r>
        <w:rPr>
          <w:rFonts w:ascii="ITC Avant Garde Pro Md;sans-serif" w:hAnsi="ITC Avant Garde Pro Md;sans-serif"/>
          <w:b w:val="false"/>
          <w:color w:val="313D48"/>
          <w:sz w:val="16"/>
        </w:rPr>
        <w:t>. Except as otherwise permitted or required by Section 409A and the Company, the following rules shall apply to any compensation deferral and/or payment elections (each, an “</w:t>
      </w:r>
      <w:r>
        <w:rPr>
          <w:rFonts w:ascii="ITC Avant Garde Pro Md;sans-serif" w:hAnsi="ITC Avant Garde Pro Md;sans-serif"/>
          <w:b/>
          <w:i/>
          <w:color w:val="313D48"/>
          <w:sz w:val="16"/>
        </w:rPr>
        <w:t>Election</w:t>
      </w:r>
      <w:r>
        <w:rPr>
          <w:color w:val="313D48"/>
        </w:rPr>
        <w:t>”</w:t>
      </w:r>
      <w:r>
        <w:rPr>
          <w:rFonts w:ascii="ITC Avant Garde Pro Md;sans-serif" w:hAnsi="ITC Avant Garde Pro Md;sans-serif"/>
          <w:b w:val="false"/>
          <w:color w:val="313D48"/>
          <w:sz w:val="16"/>
        </w:rPr>
        <w:t>) that may be permitted or required by the Committee pursuant to an Award providing Section 409A Deferred Compensation: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val="false"/>
          <w:color w:val="313D48"/>
          <w:sz w:val="16"/>
        </w:rPr>
        <w:t>Elections must be in writing and specify the amount of the payment in settlement of an Award being deferred, as well as the time and form of payment as permitted by this Plan.</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val="false"/>
          <w:color w:val="313D48"/>
          <w:sz w:val="16"/>
        </w:rPr>
        <w:t>Elections shall be made by the end of the Participant’s taxable year prior to the year in which services commence for which an Award may be granted to the Participant.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val="false"/>
          <w:color w:val="313D48"/>
          <w:sz w:val="16"/>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15.3</w:t>
      </w:r>
      <w:r>
        <w:rPr>
          <w:rFonts w:ascii="ITC Avant Garde Pro Md;sans-serif" w:hAnsi="ITC Avant Garde Pro Md;sans-serif"/>
          <w:b/>
          <w:color w:val="313D48"/>
          <w:sz w:val="16"/>
        </w:rPr>
        <w:t>Subsequent Elections</w:t>
      </w:r>
      <w:r>
        <w:rPr>
          <w:rFonts w:ascii="ITC Avant Garde Pro Md;sans-serif" w:hAnsi="ITC Avant Garde Pro Md;sans-serif"/>
          <w:b w:val="false"/>
          <w:color w:val="313D48"/>
          <w:sz w:val="16"/>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val="false"/>
          <w:color w:val="313D48"/>
          <w:sz w:val="16"/>
        </w:rPr>
        <w:t>No subsequent Election may take effect until at least twelve (12) months after the date on which the subsequent Election is made.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val="false"/>
          <w:color w:val="313D48"/>
          <w:sz w:val="16"/>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val="false"/>
          <w:color w:val="313D48"/>
          <w:sz w:val="16"/>
        </w:rPr>
        <w:t>No subsequent Election related to a payment pursuant to Section 15.4(a)(vi) shall be made less than twelve (12) months before the date on which such payment would otherwise have been made.</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(d)</w:t>
      </w:r>
      <w:r>
        <w:rPr>
          <w:rFonts w:ascii="ITC Avant Garde Pro Md;sans-serif" w:hAnsi="ITC Avant Garde Pro Md;sans-serif"/>
          <w:b w:val="false"/>
          <w:color w:val="313D48"/>
          <w:sz w:val="16"/>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15.4</w:t>
      </w:r>
      <w:r>
        <w:rPr>
          <w:rFonts w:ascii="ITC Avant Garde Pro Md;sans-serif" w:hAnsi="ITC Avant Garde Pro Md;sans-serif"/>
          <w:b/>
          <w:color w:val="313D48"/>
          <w:sz w:val="16"/>
        </w:rPr>
        <w:t>Payment of Section 409A Deferred Compensation</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i/>
          <w:color w:val="313D48"/>
          <w:sz w:val="16"/>
        </w:rPr>
        <w:t>Permissible Payments</w:t>
      </w:r>
      <w:r>
        <w:rPr>
          <w:rFonts w:ascii="ITC Avant Garde Pro Md;sans-serif" w:hAnsi="ITC Avant Garde Pro Md;sans-serif"/>
          <w:b w:val="false"/>
          <w:color w:val="313D48"/>
          <w:sz w:val="16"/>
        </w:rPr>
        <w:t>. Except as otherwise permitted or required by Section 409A, an Award providing Section 409A Deferred Compensation must provide for payment in settlement of the Award only upon one or more of the following:</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w:t>
      </w:r>
      <w:r>
        <w:rPr>
          <w:rFonts w:ascii="ITC Avant Garde Pro Md;sans-serif" w:hAnsi="ITC Avant Garde Pro Md;sans-serif"/>
          <w:b w:val="false"/>
          <w:color w:val="313D48"/>
          <w:sz w:val="16"/>
        </w:rPr>
        <w:t>The Participant’s “separation from service” (as defined by Section 409A);</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(ii)</w:t>
      </w:r>
      <w:r>
        <w:rPr>
          <w:rFonts w:ascii="ITC Avant Garde Pro Md;sans-serif" w:hAnsi="ITC Avant Garde Pro Md;sans-serif"/>
          <w:b w:val="false"/>
          <w:color w:val="313D48"/>
          <w:sz w:val="16"/>
        </w:rPr>
        <w:t>The Participant’s becoming “disabled” (as defined by Section 409A);</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(iii)</w:t>
      </w:r>
      <w:r>
        <w:rPr>
          <w:rFonts w:ascii="ITC Avant Garde Pro Md;sans-serif" w:hAnsi="ITC Avant Garde Pro Md;sans-serif"/>
          <w:b w:val="false"/>
          <w:color w:val="313D48"/>
          <w:sz w:val="16"/>
        </w:rPr>
        <w:t>The Participant’s death;</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(iv)</w:t>
      </w:r>
      <w:r>
        <w:rPr>
          <w:rFonts w:ascii="ITC Avant Garde Pro Md;sans-serif" w:hAnsi="ITC Avant Garde Pro Md;sans-serif"/>
          <w:b w:val="false"/>
          <w:color w:val="313D48"/>
          <w:sz w:val="16"/>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(v)</w:t>
      </w:r>
      <w:r>
        <w:rPr>
          <w:rFonts w:ascii="ITC Avant Garde Pro Md;sans-serif" w:hAnsi="ITC Avant Garde Pro Md;sans-serif"/>
          <w:b w:val="false"/>
          <w:color w:val="313D48"/>
          <w:sz w:val="16"/>
        </w:rPr>
        <w:t>A change in the ownership or effective control or the Company or in the ownership of a substantial portion of the assets of the Company determined in accordance with Section 409A; or</w:t>
      </w:r>
    </w:p>
    <w:p>
      <w:pPr>
        <w:pStyle w:val="TextBody"/>
        <w:bidi w:val="0"/>
        <w:spacing w:lineRule="auto" w:line="312" w:before="120" w:after="120"/>
        <w:ind w:left="0" w:right="0" w:firstLine="2880"/>
        <w:jc w:val="both"/>
        <w:rPr/>
      </w:pPr>
      <w:r>
        <w:rPr>
          <w:rFonts w:ascii="ITC Avant Garde Pro Md;sans-serif" w:hAnsi="ITC Avant Garde Pro Md;sans-serif"/>
          <w:b w:val="false"/>
          <w:color w:val="313D48"/>
          <w:sz w:val="16"/>
        </w:rPr>
        <w:t>(vi)</w:t>
      </w:r>
      <w:r>
        <w:rPr>
          <w:rFonts w:ascii="ITC Avant Garde Pro Md;sans-serif" w:hAnsi="ITC Avant Garde Pro Md;sans-serif"/>
          <w:b w:val="false"/>
          <w:color w:val="313D48"/>
          <w:sz w:val="16"/>
        </w:rPr>
        <w:t>The occurrence of an “unforeseeable emergency” (as defined by Section 409A).</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i/>
          <w:color w:val="313D48"/>
          <w:sz w:val="16"/>
        </w:rPr>
        <w:t>Installment Payments</w:t>
      </w:r>
      <w:r>
        <w:rPr>
          <w:rFonts w:ascii="ITC Avant Garde Pro Md;sans-serif" w:hAnsi="ITC Avant Garde Pro Md;sans-serif"/>
          <w:b w:val="false"/>
          <w:color w:val="313D48"/>
          <w:sz w:val="16"/>
        </w:rPr>
        <w:t>. It is the intent of this Plan that any right of a Participant to receive installment payments (within the meaning of Section 409A) shall, for all purposes of Section 409A, be treated as a right to a series of separate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032510"/>
                <wp:effectExtent l="0" t="0" r="0" b="0"/>
                <wp:wrapNone/>
                <wp:docPr id="189" name="Frame99"/>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B-20</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B-20</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07"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i/>
          <w:color w:val="313D48"/>
          <w:sz w:val="16"/>
        </w:rPr>
        <w:t>Required Delay in Payment to Specified Employee Pursuant to Separation from Service</w:t>
      </w:r>
      <w:r>
        <w:rPr>
          <w:rFonts w:ascii="ITC Avant Garde Pro Md;sans-serif" w:hAnsi="ITC Avant Garde Pro Md;sans-serif"/>
          <w:b w:val="false"/>
          <w:color w:val="313D48"/>
          <w:sz w:val="16"/>
        </w:rPr>
        <w:t>. Notwithstanding any provision of the Plan or an Award Agreement to the contrary, to the extent necessary to avoid adverse tax consequences under Section 409A no payment pursuant to Section 15.4(a)(i) in settlement of an Award providing for Section 409A Deferred Compensation and which is made in connection with the Participant’s separation from service may be made to a Participant who is a “specified employee” for purposes of Section 409A before the date that is one day and six (6) months after the date of such Participant’s separation from service, or, if earlier, the date of the Participant’s death (such applicable date, the “</w:t>
      </w:r>
      <w:r>
        <w:rPr>
          <w:rFonts w:ascii="ITC Avant Garde Pro Md;sans-serif" w:hAnsi="ITC Avant Garde Pro Md;sans-serif"/>
          <w:b/>
          <w:i/>
          <w:color w:val="313D48"/>
          <w:sz w:val="16"/>
        </w:rPr>
        <w:t>Delayed Payment Date</w:t>
      </w:r>
      <w:r>
        <w:rPr>
          <w:color w:val="313D48"/>
        </w:rPr>
        <w:t>”</w:t>
      </w:r>
      <w:r>
        <w:rPr>
          <w:rFonts w:ascii="ITC Avant Garde Pro Md;sans-serif" w:hAnsi="ITC Avant Garde Pro Md;sans-serif"/>
          <w:b w:val="false"/>
          <w:color w:val="313D48"/>
          <w:sz w:val="16"/>
        </w:rPr>
        <w:t>). All such amounts that would, but for this paragraph, become payable prior to the Delayed Payment Date shall be accumulated and paid on the Delayed Payment Date.</w:t>
      </w:r>
    </w:p>
    <w:p>
      <w:pPr>
        <w:pStyle w:val="TextBody"/>
        <w:bidi w:val="0"/>
        <w:spacing w:lineRule="auto" w:line="307" w:before="120" w:after="120"/>
        <w:ind w:left="0" w:right="0" w:firstLine="2160"/>
        <w:jc w:val="both"/>
        <w:rPr/>
      </w:pPr>
      <w:r>
        <w:rPr>
          <w:rFonts w:ascii="ITC Avant Garde Pro Md;sans-serif" w:hAnsi="ITC Avant Garde Pro Md;sans-serif"/>
          <w:b w:val="false"/>
          <w:color w:val="313D48"/>
          <w:sz w:val="16"/>
        </w:rPr>
        <w:t>(d)</w:t>
      </w:r>
      <w:r>
        <w:rPr>
          <w:rFonts w:ascii="ITC Avant Garde Pro Md;sans-serif" w:hAnsi="ITC Avant Garde Pro Md;sans-serif"/>
          <w:b/>
          <w:i/>
          <w:color w:val="313D48"/>
          <w:sz w:val="16"/>
        </w:rPr>
        <w:t>Payment Upon Disability</w:t>
      </w:r>
      <w:r>
        <w:rPr>
          <w:rFonts w:ascii="ITC Avant Garde Pro Md;sans-serif" w:hAnsi="ITC Avant Garde Pro Md;sans-serif"/>
          <w:b w:val="false"/>
          <w:color w:val="313D48"/>
          <w:sz w:val="16"/>
        </w:rPr>
        <w:t>. All distributions of Section 409A Deferred Compensation 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pStyle w:val="TextBody"/>
        <w:bidi w:val="0"/>
        <w:spacing w:lineRule="auto" w:line="307" w:before="120" w:after="120"/>
        <w:ind w:left="0" w:right="0" w:firstLine="2160"/>
        <w:jc w:val="both"/>
        <w:rPr/>
      </w:pPr>
      <w:r>
        <w:rPr>
          <w:rFonts w:ascii="ITC Avant Garde Pro Md;sans-serif" w:hAnsi="ITC Avant Garde Pro Md;sans-serif"/>
          <w:b w:val="false"/>
          <w:color w:val="313D48"/>
          <w:sz w:val="16"/>
        </w:rPr>
        <w:t>(e)</w:t>
      </w:r>
      <w:r>
        <w:rPr>
          <w:rFonts w:ascii="ITC Avant Garde Pro Md;sans-serif" w:hAnsi="ITC Avant Garde Pro Md;sans-serif"/>
          <w:b/>
          <w:i/>
          <w:color w:val="313D48"/>
          <w:sz w:val="16"/>
        </w:rPr>
        <w:t>Payment Upon Death</w:t>
      </w:r>
      <w:r>
        <w:rPr>
          <w:rFonts w:ascii="ITC Avant Garde Pro Md;sans-serif" w:hAnsi="ITC Avant Garde Pro Md;sans-serif"/>
          <w:b w:val="false"/>
          <w:color w:val="313D48"/>
          <w:sz w:val="16"/>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pStyle w:val="TextBody"/>
        <w:bidi w:val="0"/>
        <w:spacing w:lineRule="auto" w:line="307" w:before="120" w:after="120"/>
        <w:ind w:left="0" w:right="0" w:firstLine="2160"/>
        <w:jc w:val="both"/>
        <w:rPr/>
      </w:pPr>
      <w:r>
        <w:rPr>
          <w:rFonts w:ascii="ITC Avant Garde Pro Md;sans-serif" w:hAnsi="ITC Avant Garde Pro Md;sans-serif"/>
          <w:b w:val="false"/>
          <w:color w:val="313D48"/>
          <w:sz w:val="16"/>
        </w:rPr>
        <w:t>(f)</w:t>
      </w:r>
      <w:r>
        <w:rPr>
          <w:rFonts w:ascii="ITC Avant Garde Pro Md;sans-serif" w:hAnsi="ITC Avant Garde Pro Md;sans-serif"/>
          <w:b/>
          <w:i/>
          <w:color w:val="313D48"/>
          <w:sz w:val="16"/>
        </w:rPr>
        <w:t>Payment Upon Change in Control</w:t>
      </w:r>
      <w:r>
        <w:rPr>
          <w:rFonts w:ascii="ITC Avant Garde Pro Md;sans-serif" w:hAnsi="ITC Avant Garde Pro Md;sans-serif"/>
          <w:b w:val="false"/>
          <w:color w:val="313D48"/>
          <w:sz w:val="16"/>
        </w:rPr>
        <w:t>.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13.3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pStyle w:val="TextBody"/>
        <w:bidi w:val="0"/>
        <w:spacing w:lineRule="auto" w:line="307" w:before="120" w:after="120"/>
        <w:ind w:left="0" w:right="0" w:firstLine="2160"/>
        <w:jc w:val="both"/>
        <w:rPr/>
      </w:pPr>
      <w:r>
        <w:rPr>
          <w:rFonts w:ascii="ITC Avant Garde Pro Md;sans-serif" w:hAnsi="ITC Avant Garde Pro Md;sans-serif"/>
          <w:b w:val="false"/>
          <w:color w:val="313D48"/>
          <w:sz w:val="16"/>
        </w:rPr>
        <w:t>(g)</w:t>
      </w:r>
      <w:r>
        <w:rPr>
          <w:rFonts w:ascii="ITC Avant Garde Pro Md;sans-serif" w:hAnsi="ITC Avant Garde Pro Md;sans-serif"/>
          <w:b/>
          <w:i/>
          <w:color w:val="313D48"/>
          <w:sz w:val="16"/>
        </w:rPr>
        <w:t>Payment Upon Unforeseeable Emergency</w:t>
      </w:r>
      <w:r>
        <w:rPr>
          <w:rFonts w:ascii="ITC Avant Garde Pro Md;sans-serif" w:hAnsi="ITC Avant Garde Pro Md;sans-serif"/>
          <w:b w:val="false"/>
          <w:color w:val="313D48"/>
          <w:sz w:val="16"/>
        </w:rPr>
        <w:t>. The Committee shall have the authority to provide in 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pStyle w:val="TextBody"/>
        <w:bidi w:val="0"/>
        <w:spacing w:lineRule="auto" w:line="307" w:before="120" w:after="120"/>
        <w:ind w:left="0" w:right="0" w:firstLine="2160"/>
        <w:jc w:val="both"/>
        <w:rPr/>
      </w:pPr>
      <w:r>
        <w:rPr>
          <w:rFonts w:ascii="ITC Avant Garde Pro Md;sans-serif" w:hAnsi="ITC Avant Garde Pro Md;sans-serif"/>
          <w:b w:val="false"/>
          <w:color w:val="313D48"/>
          <w:sz w:val="16"/>
        </w:rPr>
        <w:t>(h)</w:t>
      </w:r>
      <w:r>
        <w:rPr>
          <w:rFonts w:ascii="ITC Avant Garde Pro Md;sans-serif" w:hAnsi="ITC Avant Garde Pro Md;sans-serif"/>
          <w:b/>
          <w:i/>
          <w:color w:val="313D48"/>
          <w:sz w:val="16"/>
        </w:rPr>
        <w:t>Prohibition of Acceleration of Payments</w:t>
      </w:r>
      <w:r>
        <w:rPr>
          <w:rFonts w:ascii="ITC Avant Garde Pro Md;sans-serif" w:hAnsi="ITC Avant Garde Pro Md;sans-serif"/>
          <w:b w:val="false"/>
          <w:color w:val="313D48"/>
          <w:sz w:val="16"/>
        </w:rPr>
        <w:t>. Notwithstanding any provision of the Plan or an Award Agreement 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pStyle w:val="TextBody"/>
        <w:bidi w:val="0"/>
        <w:spacing w:lineRule="auto" w:line="307" w:before="120" w:after="120"/>
        <w:ind w:left="0" w:right="0" w:firstLine="2160"/>
        <w:jc w:val="both"/>
        <w:rPr/>
      </w:pPr>
      <w:r>
        <w:rPr>
          <w:rFonts w:ascii="ITC Avant Garde Pro Md;sans-serif" w:hAnsi="ITC Avant Garde Pro Md;sans-serif"/>
          <w:b w:val="false"/>
          <w:color w:val="313D48"/>
          <w:sz w:val="16"/>
        </w:rPr>
        <w:t>(i)</w:t>
      </w:r>
      <w:r>
        <w:rPr>
          <w:rFonts w:ascii="ITC Avant Garde Pro Md;sans-serif" w:hAnsi="ITC Avant Garde Pro Md;sans-serif"/>
          <w:b/>
          <w:i/>
          <w:color w:val="313D48"/>
          <w:sz w:val="16"/>
        </w:rPr>
        <w:t>No Representation Regarding Section 409A Compliance</w:t>
      </w:r>
      <w:r>
        <w:rPr>
          <w:rFonts w:ascii="ITC Avant Garde Pro Md;sans-serif" w:hAnsi="ITC Avant Garde Pro Md;sans-serif"/>
          <w:b w:val="false"/>
          <w:color w:val="313D48"/>
          <w:sz w:val="16"/>
        </w:rPr>
        <w:t>. Notwithstanding any other provision of the Plan, the Company makes no representation that Awards shall be exempt from or comply with Section 409A. No Participating Company shall be liable for any tax, penalty or interest imposed on a Participant by Section 409A.</w:t>
      </w:r>
    </w:p>
    <w:p>
      <w:pPr>
        <w:pStyle w:val="TextBody"/>
        <w:bidi w:val="0"/>
        <w:spacing w:lineRule="auto" w:line="307" w:before="120" w:after="120"/>
        <w:ind w:left="0" w:right="0" w:firstLine="720"/>
        <w:jc w:val="left"/>
        <w:rPr/>
      </w:pPr>
      <w:r>
        <w:rPr>
          <w:rFonts w:ascii="ITC Avant Garde Pro Md;sans-serif" w:hAnsi="ITC Avant Garde Pro Md;sans-serif"/>
          <w:b w:val="false"/>
          <w:color w:val="313D48"/>
          <w:sz w:val="16"/>
        </w:rPr>
        <w:t>16.</w:t>
      </w:r>
      <w:r>
        <w:rPr>
          <w:rFonts w:ascii="ITC Avant Garde Pro Md;sans-serif" w:hAnsi="ITC Avant Garde Pro Md;sans-serif"/>
          <w:b/>
          <w:color w:val="313D48"/>
          <w:sz w:val="16"/>
          <w:u w:val="single"/>
        </w:rPr>
        <w:t>Tax Withholding</w:t>
      </w:r>
      <w:r>
        <w:rPr>
          <w:rFonts w:ascii="ITC Avant Garde Pro Md;sans-serif" w:hAnsi="ITC Avant Garde Pro Md;sans-serif"/>
          <w:b/>
          <w:color w:val="313D48"/>
          <w:sz w:val="16"/>
        </w:rPr>
        <w:t>.</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16.1</w:t>
      </w:r>
      <w:r>
        <w:rPr>
          <w:rFonts w:ascii="ITC Avant Garde Pro Md;sans-serif" w:hAnsi="ITC Avant Garde Pro Md;sans-serif"/>
          <w:b/>
          <w:color w:val="313D48"/>
          <w:sz w:val="16"/>
        </w:rPr>
        <w:t>Tax Withholding in General</w:t>
      </w:r>
      <w:r>
        <w:rPr>
          <w:rFonts w:ascii="ITC Avant Garde Pro Md;sans-serif" w:hAnsi="ITC Avant Garde Pro Md;sans-serif"/>
          <w:b w:val="false"/>
          <w:color w:val="313D48"/>
          <w:sz w:val="16"/>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04850"/>
                <wp:effectExtent l="0" t="0" r="0" b="0"/>
                <wp:wrapNone/>
                <wp:docPr id="190" name="Frame100"/>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B-21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B-21</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16.2</w:t>
      </w:r>
      <w:r>
        <w:rPr>
          <w:rFonts w:ascii="ITC Avant Garde Pro Md;sans-serif" w:hAnsi="ITC Avant Garde Pro Md;sans-serif"/>
          <w:b/>
          <w:color w:val="313D48"/>
          <w:sz w:val="16"/>
        </w:rPr>
        <w:t>Withholding in or Directed Sale of Shares</w:t>
      </w:r>
      <w:r>
        <w:rPr>
          <w:rFonts w:ascii="ITC Avant Garde Pro Md;sans-serif" w:hAnsi="ITC Avant Garde Pro Md;sans-serif"/>
          <w:b w:val="false"/>
          <w:color w:val="313D48"/>
          <w:sz w:val="16"/>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17.</w:t>
      </w:r>
      <w:r>
        <w:rPr>
          <w:rFonts w:ascii="ITC Avant Garde Pro Md;sans-serif" w:hAnsi="ITC Avant Garde Pro Md;sans-serif"/>
          <w:b/>
          <w:color w:val="313D48"/>
          <w:sz w:val="16"/>
          <w:u w:val="single"/>
        </w:rPr>
        <w:t>Amendment, Suspension or Termination of Plan</w:t>
      </w:r>
      <w:r>
        <w:rPr>
          <w:rFonts w:ascii="ITC Avant Garde Pro Md;sans-serif" w:hAnsi="ITC Avant Garde Pro Md;sans-serif"/>
          <w:b/>
          <w:color w:val="313D48"/>
          <w:sz w:val="16"/>
        </w:rPr>
        <w:t>.</w:t>
      </w:r>
    </w:p>
    <w:p>
      <w:pPr>
        <w:pStyle w:val="TextBody"/>
        <w:bidi w:val="0"/>
        <w:spacing w:lineRule="auto" w:line="312" w:before="120" w:after="120"/>
        <w:ind w:left="0" w:right="0" w:firstLine="720"/>
        <w:jc w:val="both"/>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pStyle w:val="TextBody"/>
        <w:bidi w:val="0"/>
        <w:spacing w:lineRule="auto" w:line="312" w:before="120" w:after="120"/>
        <w:ind w:left="0" w:right="0" w:firstLine="720"/>
        <w:jc w:val="both"/>
        <w:rPr/>
      </w:pPr>
      <w:r>
        <w:rPr>
          <w:rFonts w:ascii="ITC Avant Garde Pro Md;sans-serif" w:hAnsi="ITC Avant Garde Pro Md;sans-serif"/>
          <w:b w:val="false"/>
          <w:color w:val="313D48"/>
          <w:sz w:val="16"/>
        </w:rPr>
        <w:t>18.</w:t>
      </w:r>
      <w:r>
        <w:rPr>
          <w:rFonts w:ascii="ITC Avant Garde Pro Md;sans-serif" w:hAnsi="ITC Avant Garde Pro Md;sans-serif"/>
          <w:b/>
          <w:color w:val="313D48"/>
          <w:sz w:val="16"/>
          <w:u w:val="single"/>
        </w:rPr>
        <w:t>Miscellaneous Provisions</w:t>
      </w:r>
      <w:r>
        <w:rPr>
          <w:rFonts w:ascii="ITC Avant Garde Pro Md;sans-serif" w:hAnsi="ITC Avant Garde Pro Md;sans-serif"/>
          <w:b/>
          <w:color w:val="313D48"/>
          <w:sz w:val="16"/>
        </w:rPr>
        <w:t>.</w:t>
      </w:r>
    </w:p>
    <w:p>
      <w:pPr>
        <w:pStyle w:val="TextBody"/>
        <w:bidi w:val="0"/>
        <w:spacing w:lineRule="auto" w:line="312" w:before="0" w:after="0"/>
        <w:ind w:left="0" w:right="0" w:firstLine="1440"/>
        <w:jc w:val="both"/>
        <w:rPr/>
      </w:pPr>
      <w:r>
        <w:rPr>
          <w:rFonts w:ascii="ITC Avant Garde Pro Md;sans-serif" w:hAnsi="ITC Avant Garde Pro Md;sans-serif"/>
          <w:b w:val="false"/>
          <w:color w:val="313D48"/>
          <w:sz w:val="16"/>
        </w:rPr>
        <w:t>18.1</w:t>
      </w:r>
      <w:r>
        <w:rPr>
          <w:rFonts w:ascii="ITC Avant Garde Pro Md;sans-serif" w:hAnsi="ITC Avant Garde Pro Md;sans-serif"/>
          <w:b/>
          <w:color w:val="313D48"/>
          <w:sz w:val="16"/>
        </w:rPr>
        <w:t>Repurchase Rights</w:t>
      </w:r>
      <w:r>
        <w:rPr>
          <w:rFonts w:ascii="ITC Avant Garde Pro Md;sans-serif" w:hAnsi="ITC Avant Garde Pro Md;sans-serif"/>
          <w:b w:val="false"/>
          <w:color w:val="313D48"/>
          <w:sz w:val="16"/>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18.2</w:t>
      </w:r>
      <w:r>
        <w:rPr>
          <w:rFonts w:ascii="ITC Avant Garde Pro Md;sans-serif" w:hAnsi="ITC Avant Garde Pro Md;sans-serif"/>
          <w:b/>
          <w:color w:val="313D48"/>
          <w:sz w:val="16"/>
        </w:rPr>
        <w:t>Forfeiture Events</w:t>
      </w:r>
      <w:r>
        <w:rPr>
          <w:rFonts w:ascii="ITC Avant Garde Pro Md;sans-serif" w:hAnsi="ITC Avant Garde Pro Md;sans-serif"/>
          <w:b w:val="false"/>
          <w:color w:val="313D48"/>
          <w:sz w:val="16"/>
        </w:rPr>
        <w:t>.</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(a)</w:t>
      </w:r>
      <w:r>
        <w:rPr>
          <w:rFonts w:ascii="ITC Avant Garde Pro Md;sans-serif" w:hAnsi="ITC Avant Garde Pro Md;sans-serif"/>
          <w:b w:val="false"/>
          <w:color w:val="313D48"/>
          <w:sz w:val="16"/>
        </w:rPr>
        <w:t xml:space="preserve">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(b)</w:t>
      </w:r>
      <w:r>
        <w:rPr>
          <w:rFonts w:ascii="ITC Avant Garde Pro Md;sans-serif" w:hAnsi="ITC Avant Garde Pro Md;sans-serif"/>
          <w:b w:val="false"/>
          <w:color w:val="313D48"/>
          <w:sz w:val="16"/>
        </w:rPr>
        <w:t>All Awards granted under the Plan will be subject to recoupment in accordance with: (i) any clawback policy that the Company is required to adopt pursuant to the listing standards of any national securities exchange or association on which the Company’s securities are listed, (ii)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(iii) any other applicable law, and (iv) any clawback or recoupment policy that the Company otherwise adopts, in each case to the extent applicable and permissible under applicable law.</w:t>
      </w:r>
    </w:p>
    <w:p>
      <w:pPr>
        <w:pStyle w:val="TextBody"/>
        <w:bidi w:val="0"/>
        <w:spacing w:lineRule="auto" w:line="312" w:before="120" w:after="120"/>
        <w:ind w:left="0" w:right="0" w:firstLine="2160"/>
        <w:jc w:val="both"/>
        <w:rPr/>
      </w:pPr>
      <w:r>
        <w:rPr>
          <w:rFonts w:ascii="ITC Avant Garde Pro Md;sans-serif" w:hAnsi="ITC Avant Garde Pro Md;sans-serif"/>
          <w:b w:val="false"/>
          <w:color w:val="313D48"/>
          <w:sz w:val="16"/>
        </w:rPr>
        <w:t>(c)</w:t>
      </w:r>
      <w:r>
        <w:rPr>
          <w:rFonts w:ascii="ITC Avant Garde Pro Md;sans-serif" w:hAnsi="ITC Avant Garde Pro Md;sans-serif"/>
          <w:b w:val="false"/>
          <w:color w:val="313D48"/>
          <w:sz w:val="16"/>
          <w:shd w:fill="FFFFFF" w:val="clear"/>
        </w:rPr>
        <w:t>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18.3</w:t>
      </w:r>
      <w:r>
        <w:rPr>
          <w:rFonts w:ascii="ITC Avant Garde Pro Md;sans-serif" w:hAnsi="ITC Avant Garde Pro Md;sans-serif"/>
          <w:b/>
          <w:color w:val="313D48"/>
          <w:sz w:val="16"/>
          <w:shd w:fill="FFFFFF" w:val="clear"/>
        </w:rPr>
        <w:t>Electronic Delivery and Participation</w:t>
      </w:r>
      <w:r>
        <w:rPr>
          <w:rFonts w:ascii="ITC Avant Garde Pro Md;sans-serif" w:hAnsi="ITC Avant Garde Pro Md;sans-serif"/>
          <w:b w:val="false"/>
          <w:color w:val="313D48"/>
          <w:sz w:val="16"/>
          <w:shd w:fill="FFFFFF" w:val="clear"/>
        </w:rPr>
        <w:t>.</w:t>
      </w:r>
      <w:r>
        <w:rPr>
          <w:color w:val="313D48"/>
        </w:rPr>
        <w:t xml:space="preserve"> </w:t>
      </w:r>
      <w:r>
        <w:rPr>
          <w:rFonts w:ascii="ITC Avant Garde Pro Md;sans-serif" w:hAnsi="ITC Avant Garde Pro Md;sans-serif"/>
          <w:b w:val="false"/>
          <w:color w:val="313D48"/>
          <w:sz w:val="16"/>
          <w:shd w:fill="FFFFFF" w:val="clear"/>
        </w:rPr>
        <w:t>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r>
        <w:rPr>
          <w:color w:val="313D48"/>
        </w:rPr>
        <w:t xml:space="preserve"> </w:t>
      </w:r>
      <w:r>
        <w:rPr>
          <w:rFonts w:ascii="ITC Avant Garde Pro Md;sans-serif" w:hAnsi="ITC Avant Garde Pro Md;sans-serif"/>
          <w:b w:val="false"/>
          <w:color w:val="313D48"/>
          <w:sz w:val="16"/>
          <w:shd w:fill="FFFFFF" w:val="clear"/>
        </w:rPr>
        <w:t>By accepting any Award, the Participant consents to receive documents by electronic delivery and to participate in the Plan through any on-line electronic system established and maintained by the Plan Administrator or another third party selected by the Plan Administrator.</w:t>
      </w:r>
      <w:r>
        <w:rPr>
          <w:color w:val="313D48"/>
        </w:rPr>
        <w:t xml:space="preserve"> </w:t>
      </w:r>
      <w:r>
        <w:rPr>
          <w:rFonts w:ascii="ITC Avant Garde Pro Md;sans-serif" w:hAnsi="ITC Avant Garde Pro Md;sans-serif"/>
          <w:b w:val="false"/>
          <w:color w:val="313D48"/>
          <w:sz w:val="16"/>
          <w:shd w:fill="FFFFFF" w:val="clear"/>
        </w:rPr>
        <w:t>The form of delivery of any Stock (</w:t>
      </w:r>
      <w:r>
        <w:rPr>
          <w:rFonts w:ascii="ITC Avant Garde Pro Md;sans-serif" w:hAnsi="ITC Avant Garde Pro Md;sans-serif"/>
          <w:b w:val="false"/>
          <w:i/>
          <w:color w:val="313D48"/>
          <w:sz w:val="16"/>
        </w:rPr>
        <w:t>e.g.</w:t>
      </w:r>
      <w:r>
        <w:rPr>
          <w:rFonts w:ascii="ITC Avant Garde Pro Md;sans-serif" w:hAnsi="ITC Avant Garde Pro Md;sans-serif"/>
          <w:b w:val="false"/>
          <w:color w:val="313D48"/>
          <w:sz w:val="16"/>
          <w:shd w:fill="FFFFFF" w:val="clear"/>
        </w:rPr>
        <w:t>, a stock certificate or electronic entry evidencing such shares) shall be determined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032510"/>
                <wp:effectExtent l="0" t="0" r="0" b="0"/>
                <wp:wrapNone/>
                <wp:docPr id="191" name="Frame101"/>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B-22</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B-22</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lef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shd w:fill="FFFFFF" w:val="clear"/>
        </w:rPr>
        <w:t>18.4</w:t>
      </w:r>
      <w:r>
        <w:rPr>
          <w:rFonts w:ascii="ITC Avant Garde Pro Md;sans-serif" w:hAnsi="ITC Avant Garde Pro Md;sans-serif"/>
          <w:b/>
          <w:color w:val="313D48"/>
          <w:sz w:val="16"/>
          <w:shd w:fill="FFFFFF" w:val="clear"/>
        </w:rPr>
        <w:t>Change in Time Commitment</w:t>
      </w:r>
      <w:r>
        <w:rPr>
          <w:rFonts w:ascii="ITC Avant Garde Pro Md;sans-serif" w:hAnsi="ITC Avant Garde Pro Md;sans-serif"/>
          <w:b w:val="false"/>
          <w:color w:val="313D48"/>
          <w:sz w:val="16"/>
          <w:shd w:fill="FFFFFF" w:val="clear"/>
        </w:rPr>
        <w:t>.</w:t>
      </w:r>
      <w:r>
        <w:rPr>
          <w:color w:val="313D48"/>
        </w:rPr>
        <w:t xml:space="preserve"> </w:t>
      </w:r>
      <w:r>
        <w:rPr>
          <w:rFonts w:ascii="ITC Avant Garde Pro Md;sans-serif" w:hAnsi="ITC Avant Garde Pro Md;sans-serif"/>
          <w:b w:val="false"/>
          <w:color w:val="313D48"/>
          <w:sz w:val="16"/>
          <w:shd w:fill="FFFFFF" w:val="clear"/>
        </w:rPr>
        <w:t>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Committee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18.5</w:t>
      </w:r>
      <w:r>
        <w:rPr>
          <w:rFonts w:ascii="ITC Avant Garde Pro Md;sans-serif" w:hAnsi="ITC Avant Garde Pro Md;sans-serif"/>
          <w:b/>
          <w:color w:val="313D48"/>
          <w:sz w:val="16"/>
        </w:rPr>
        <w:t>Rights as Employee, Consultant or Director</w:t>
      </w:r>
      <w:r>
        <w:rPr>
          <w:rFonts w:ascii="ITC Avant Garde Pro Md;sans-serif" w:hAnsi="ITC Avant Garde Pro Md;sans-serif"/>
          <w:b w:val="false"/>
          <w:color w:val="313D48"/>
          <w:sz w:val="16"/>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18.6</w:t>
      </w:r>
      <w:r>
        <w:rPr>
          <w:rFonts w:ascii="ITC Avant Garde Pro Md;sans-serif" w:hAnsi="ITC Avant Garde Pro Md;sans-serif"/>
          <w:b/>
          <w:color w:val="313D48"/>
          <w:sz w:val="16"/>
        </w:rPr>
        <w:t>Rights as a Stockholder</w:t>
      </w:r>
      <w:r>
        <w:rPr>
          <w:rFonts w:ascii="ITC Avant Garde Pro Md;sans-serif" w:hAnsi="ITC Avant Garde Pro Md;sans-serif"/>
          <w:b w:val="false"/>
          <w:color w:val="313D48"/>
          <w:sz w:val="16"/>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18.7</w:t>
      </w:r>
      <w:r>
        <w:rPr>
          <w:rFonts w:ascii="ITC Avant Garde Pro Md;sans-serif" w:hAnsi="ITC Avant Garde Pro Md;sans-serif"/>
          <w:b/>
          <w:color w:val="313D48"/>
          <w:sz w:val="16"/>
        </w:rPr>
        <w:t>Delivery of Title to Shares</w:t>
      </w:r>
      <w:r>
        <w:rPr>
          <w:rFonts w:ascii="ITC Avant Garde Pro Md;sans-serif" w:hAnsi="ITC Avant Garde Pro Md;sans-serif"/>
          <w:b w:val="false"/>
          <w:color w:val="313D48"/>
          <w:sz w:val="16"/>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18.8</w:t>
      </w:r>
      <w:r>
        <w:rPr>
          <w:rFonts w:ascii="ITC Avant Garde Pro Md;sans-serif" w:hAnsi="ITC Avant Garde Pro Md;sans-serif"/>
          <w:b/>
          <w:color w:val="313D48"/>
          <w:sz w:val="16"/>
        </w:rPr>
        <w:t>Fractional Shares</w:t>
      </w:r>
      <w:r>
        <w:rPr>
          <w:rFonts w:ascii="ITC Avant Garde Pro Md;sans-serif" w:hAnsi="ITC Avant Garde Pro Md;sans-serif"/>
          <w:b w:val="false"/>
          <w:color w:val="313D48"/>
          <w:sz w:val="16"/>
        </w:rPr>
        <w:t>. The Company shall not be required to issue fractional shares upon the exercise or settlement of any Award.</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18.9</w:t>
      </w:r>
      <w:r>
        <w:rPr>
          <w:rFonts w:ascii="ITC Avant Garde Pro Md;sans-serif" w:hAnsi="ITC Avant Garde Pro Md;sans-serif"/>
          <w:b/>
          <w:color w:val="313D48"/>
          <w:sz w:val="16"/>
        </w:rPr>
        <w:t>Provisions for Non-U.S. Participants</w:t>
      </w:r>
      <w:r>
        <w:rPr>
          <w:rFonts w:ascii="ITC Avant Garde Pro Md;sans-serif" w:hAnsi="ITC Avant Garde Pro Md;sans-serif"/>
          <w:b w:val="false"/>
          <w:color w:val="313D48"/>
          <w:sz w:val="16"/>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18.10</w:t>
      </w:r>
      <w:r>
        <w:rPr>
          <w:rFonts w:ascii="ITC Avant Garde Pro Md;sans-serif" w:hAnsi="ITC Avant Garde Pro Md;sans-serif"/>
          <w:b/>
          <w:color w:val="313D48"/>
          <w:sz w:val="16"/>
        </w:rPr>
        <w:t>Lock-Up Period</w:t>
      </w:r>
      <w:r>
        <w:rPr>
          <w:rFonts w:ascii="ITC Avant Garde Pro Md;sans-serif" w:hAnsi="ITC Avant Garde Pro Md;sans-serif"/>
          <w:b w:val="false"/>
          <w:color w:val="313D48"/>
          <w:sz w:val="16"/>
        </w:rPr>
        <w:t>. The Company may, at the request of any underwriter representative or otherwise, in connection with registering any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18.11</w:t>
      </w:r>
      <w:r>
        <w:rPr>
          <w:rFonts w:ascii="ITC Avant Garde Pro Md;sans-serif" w:hAnsi="ITC Avant Garde Pro Md;sans-serif"/>
          <w:b/>
          <w:color w:val="313D48"/>
          <w:sz w:val="16"/>
        </w:rPr>
        <w:t>Data Privacy</w:t>
      </w:r>
      <w:r>
        <w:rPr>
          <w:rFonts w:ascii="ITC Avant Garde Pro Md;sans-serif" w:hAnsi="ITC Avant Garde Pro Md;sans-serif"/>
          <w:b w:val="false"/>
          <w:color w:val="313D48"/>
          <w:sz w:val="16"/>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ITC Avant Garde Pro Md;sans-serif" w:hAnsi="ITC Avant Garde Pro Md;sans-serif"/>
          <w:b/>
          <w:color w:val="313D48"/>
          <w:sz w:val="16"/>
        </w:rPr>
        <w:t>Data</w:t>
      </w:r>
      <w:r>
        <w:rPr>
          <w:color w:val="313D48"/>
        </w:rPr>
        <w:t>”</w:t>
      </w:r>
      <w:r>
        <w:rPr>
          <w:rFonts w:ascii="ITC Avant Garde Pro Md;sans-serif" w:hAnsi="ITC Avant Garde Pro Md;sans-serif"/>
          <w:b w:val="false"/>
          <w:color w:val="313D48"/>
          <w:sz w:val="16"/>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04850"/>
                <wp:effectExtent l="0" t="0" r="0" b="0"/>
                <wp:wrapNone/>
                <wp:docPr id="192" name="Frame102"/>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B-23</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717" w:type="dxa"/>
                        <w:jc w:val="left"/>
                        <w:tblInd w:w="0" w:type="dxa"/>
                        <w:tblLayout w:type="fixed"/>
                        <w:tblCellMar>
                          <w:top w:w="28" w:type="dxa"/>
                          <w:left w:w="28" w:type="dxa"/>
                          <w:bottom w:w="28" w:type="dxa"/>
                          <w:right w:w="28" w:type="dxa"/>
                        </w:tblCellMar>
                      </w:tblPr>
                      <w:tblGrid>
                        <w:gridCol w:w="200"/>
                        <w:gridCol w:w="177"/>
                        <w:gridCol w:w="178"/>
                        <w:gridCol w:w="929"/>
                        <w:gridCol w:w="929"/>
                        <w:gridCol w:w="93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Bk;sans-serif" w:hAnsi="ITC Avant Garde Pro Bk;sans-serif"/>
                                <w:b/>
                                <w:color w:val="F78D2D"/>
                                <w:sz w:val="17"/>
                              </w:rPr>
                            </w:pPr>
                            <w:r>
                              <w:rPr>
                                <w:rFonts w:ascii="ITC Avant Garde Pro Bk;sans-serif" w:hAnsi="ITC Avant Garde Pro Bk;sans-serif"/>
                                <w:b/>
                                <w:color w:val="F78D2D"/>
                                <w:sz w:val="17"/>
                              </w:rPr>
                              <w:t>B-23</w:t>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lineRule="auto" w:line="312" w:before="120" w:after="283"/>
        <w:jc w:val="right"/>
        <w:rPr>
          <w:rFonts w:ascii="ITC Avant Garde Pro Md;sans-serif" w:hAnsi="ITC Avant Garde Pro Md;sans-serif"/>
          <w:b w:val="false"/>
          <w:color w:val="F78D2D"/>
          <w:sz w:val="17"/>
        </w:rPr>
      </w:pPr>
      <w:r>
        <w:rPr>
          <w:rFonts w:ascii="ITC Avant Garde Pro Md;sans-serif" w:hAnsi="ITC Avant Garde Pro Md;sans-serif"/>
          <w:b w:val="false"/>
          <w:color w:val="F78D2D"/>
          <w:sz w:val="17"/>
        </w:rPr>
        <w:t>Appendix B - The Second Amended and Restated 2023 Equity Incentive Plan</w:t>
      </w:r>
    </w:p>
    <w:p>
      <w:pPr>
        <w:pStyle w:val="TextBody"/>
        <w:bidi w:val="0"/>
        <w:spacing w:lineRule="auto" w:line="307" w:before="120" w:after="120"/>
        <w:ind w:left="0" w:right="0" w:firstLine="1440"/>
        <w:jc w:val="both"/>
        <w:rPr/>
      </w:pPr>
      <w:r>
        <w:rPr>
          <w:rFonts w:ascii="ITC Avant Garde Pro Md;sans-serif" w:hAnsi="ITC Avant Garde Pro Md;sans-serif"/>
          <w:b w:val="false"/>
          <w:color w:val="313D48"/>
          <w:sz w:val="16"/>
        </w:rPr>
        <w:t>18.12</w:t>
      </w:r>
      <w:r>
        <w:rPr>
          <w:rFonts w:ascii="ITC Avant Garde Pro Md;sans-serif" w:hAnsi="ITC Avant Garde Pro Md;sans-serif"/>
          <w:b/>
          <w:color w:val="313D48"/>
          <w:sz w:val="16"/>
        </w:rPr>
        <w:t>Retirement and Welfare Plans</w:t>
      </w:r>
      <w:r>
        <w:rPr>
          <w:rFonts w:ascii="ITC Avant Garde Pro Md;sans-serif" w:hAnsi="ITC Avant Garde Pro Md;sans-serif"/>
          <w:b w:val="false"/>
          <w:color w:val="313D48"/>
          <w:sz w:val="16"/>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18.13</w:t>
      </w:r>
      <w:r>
        <w:rPr>
          <w:rFonts w:ascii="ITC Avant Garde Pro Md;sans-serif" w:hAnsi="ITC Avant Garde Pro Md;sans-serif"/>
          <w:b/>
          <w:color w:val="313D48"/>
          <w:sz w:val="16"/>
        </w:rPr>
        <w:t>Beneficiary Designation</w:t>
      </w:r>
      <w:r>
        <w:rPr>
          <w:rFonts w:ascii="ITC Avant Garde Pro Md;sans-serif" w:hAnsi="ITC Avant Garde Pro Md;sans-serif"/>
          <w:b w:val="false"/>
          <w:color w:val="313D48"/>
          <w:sz w:val="16"/>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18.14</w:t>
      </w:r>
      <w:r>
        <w:rPr>
          <w:rFonts w:ascii="ITC Avant Garde Pro Md;sans-serif" w:hAnsi="ITC Avant Garde Pro Md;sans-serif"/>
          <w:b/>
          <w:color w:val="313D48"/>
          <w:sz w:val="16"/>
        </w:rPr>
        <w:t>Severability</w:t>
      </w:r>
      <w:r>
        <w:rPr>
          <w:rFonts w:ascii="ITC Avant Garde Pro Md;sans-serif" w:hAnsi="ITC Avant Garde Pro Md;sans-serif"/>
          <w:b w:val="false"/>
          <w:color w:val="313D48"/>
          <w:sz w:val="16"/>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18.15</w:t>
      </w:r>
      <w:r>
        <w:rPr>
          <w:rFonts w:ascii="ITC Avant Garde Pro Md;sans-serif" w:hAnsi="ITC Avant Garde Pro Md;sans-serif"/>
          <w:b/>
          <w:color w:val="313D48"/>
          <w:sz w:val="16"/>
        </w:rPr>
        <w:t>No Constraint on Corporate Action</w:t>
      </w:r>
      <w:r>
        <w:rPr>
          <w:rFonts w:ascii="ITC Avant Garde Pro Md;sans-serif" w:hAnsi="ITC Avant Garde Pro Md;sans-serif"/>
          <w:b w:val="false"/>
          <w:color w:val="313D48"/>
          <w:sz w:val="16"/>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18.16</w:t>
      </w:r>
      <w:r>
        <w:rPr>
          <w:rFonts w:ascii="ITC Avant Garde Pro Md;sans-serif" w:hAnsi="ITC Avant Garde Pro Md;sans-serif"/>
          <w:b/>
          <w:color w:val="313D48"/>
          <w:sz w:val="16"/>
        </w:rPr>
        <w:t>Unfunded Obligation</w:t>
      </w:r>
      <w:r>
        <w:rPr>
          <w:rFonts w:ascii="ITC Avant Garde Pro Md;sans-serif" w:hAnsi="ITC Avant Garde Pro Md;sans-serif"/>
          <w:b w:val="false"/>
          <w:color w:val="313D48"/>
          <w:sz w:val="16"/>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pStyle w:val="TextBody"/>
        <w:bidi w:val="0"/>
        <w:spacing w:lineRule="auto" w:line="312" w:before="120" w:after="120"/>
        <w:ind w:left="0" w:right="0" w:firstLine="1440"/>
        <w:jc w:val="both"/>
        <w:rPr/>
      </w:pPr>
      <w:r>
        <w:rPr>
          <w:rFonts w:ascii="ITC Avant Garde Pro Md;sans-serif" w:hAnsi="ITC Avant Garde Pro Md;sans-serif"/>
          <w:b w:val="false"/>
          <w:color w:val="313D48"/>
          <w:sz w:val="16"/>
        </w:rPr>
        <w:t>18.17</w:t>
      </w:r>
      <w:r>
        <w:rPr>
          <w:rFonts w:ascii="ITC Avant Garde Pro Md;sans-serif" w:hAnsi="ITC Avant Garde Pro Md;sans-serif"/>
          <w:b/>
          <w:color w:val="313D48"/>
          <w:sz w:val="16"/>
        </w:rPr>
        <w:t>Choice of Law</w:t>
      </w:r>
      <w:r>
        <w:rPr>
          <w:rFonts w:ascii="ITC Avant Garde Pro Md;sans-serif" w:hAnsi="ITC Avant Garde Pro Md;sans-serif"/>
          <w:b w:val="false"/>
          <w:color w:val="313D48"/>
          <w:sz w:val="16"/>
        </w:rPr>
        <w:t>. Except to the extent governed by applicable federal law, the validity, interpretation, construction and performance of the Plan and each Award Agreement shall be governed by the laws of the State of Illinois, without regard to its conflict of law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032510"/>
                <wp:effectExtent l="0" t="0" r="0" b="0"/>
                <wp:wrapNone/>
                <wp:docPr id="193" name="Frame103"/>
                <a:graphic xmlns:a="http://schemas.openxmlformats.org/drawingml/2006/main">
                  <a:graphicData uri="http://schemas.microsoft.com/office/word/2010/wordprocessingShape">
                    <wps:wsp>
                      <wps:cNvSpPr txBox="1"/>
                      <wps:spPr>
                        <a:xfrm>
                          <a:off x="0" y="0"/>
                          <a:ext cx="6480175" cy="1032510"/>
                        </a:xfrm>
                        <a:prstGeom prst="rect"/>
                        <a:solidFill>
                          <a:srgbClr val="FFFFFF"/>
                        </a:solidFill>
                      </wps:spPr>
                      <wps:txb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B-24</w:t>
                                  </w:r>
                                </w:p>
                              </w:tc>
                            </w:tr>
                          </w:tbl>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bl>
                      <w:tblPr>
                        <w:tblW w:w="3716"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170"/>
                        <w:gridCol w:w="170"/>
                        <w:gridCol w:w="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Md;sans-serif" w:hAnsi="ITC Avant Garde Pro Md;sans-serif"/>
                                <w:b w:val="false"/>
                                <w:color w:val="313D48"/>
                                <w:sz w:val="16"/>
                              </w:rPr>
                            </w:pPr>
                            <w:r>
                              <w:rPr>
                                <w:rFonts w:ascii="ITC Avant Garde Pro Md;sans-serif" w:hAnsi="ITC Avant Garde Pro Md;sans-serif"/>
                                <w:b w:val="false"/>
                                <w:color w:val="313D48"/>
                                <w:sz w:val="16"/>
                              </w:rPr>
                              <w:t>Paylocity 2027 Proxy Statement</w:t>
                            </w:r>
                          </w:p>
                        </w:tc>
                        <w:tc>
                          <w:tcPr>
                            <w:tcW w:w="58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ITC Avant Garde Pro Bk;sans-serif" w:hAnsi="ITC Avant Garde Pro Bk;sans-serif"/>
                                <w:b/>
                                <w:color w:val="F78D2D"/>
                                <w:sz w:val="17"/>
                              </w:rPr>
                            </w:pPr>
                            <w:r>
                              <w:rPr>
                                <w:rFonts w:ascii="ITC Avant Garde Pro Bk;sans-serif" w:hAnsi="ITC Avant Garde Pro Bk;sans-serif"/>
                                <w:b/>
                                <w:color w:val="F78D2D"/>
                                <w:sz w:val="17"/>
                              </w:rPr>
                              <w:t>B-24</w:t>
                            </w:r>
                          </w:p>
                        </w:tc>
                      </w:tr>
                    </w:tbl>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before="0" w:after="0"/>
        <w:jc w:val="center"/>
        <w:rPr/>
      </w:pPr>
      <w:r>
        <w:rPr/>
        <w:drawing>
          <wp:inline distT="0" distB="0" distL="0" distR="0">
            <wp:extent cx="7543800" cy="9820275"/>
            <wp:effectExtent l="0" t="0" r="0" b="0"/>
            <wp:docPr id="1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1" descr=""/>
                    <pic:cNvPicPr>
                      <a:picLocks noChangeAspect="1" noChangeArrowheads="1"/>
                    </pic:cNvPicPr>
                  </pic:nvPicPr>
                  <pic:blipFill>
                    <a:blip r:embed="rId92"/>
                    <a:stretch>
                      <a:fillRect/>
                    </a:stretch>
                  </pic:blipFill>
                  <pic:spPr bwMode="auto">
                    <a:xfrm>
                      <a:off x="0" y="0"/>
                      <a:ext cx="7543800" cy="9820275"/>
                    </a:xfrm>
                    <a:prstGeom prst="rect">
                      <a:avLst/>
                    </a:prstGeom>
                  </pic:spPr>
                </pic:pic>
              </a:graphicData>
            </a:graphic>
          </wp:inline>
        </w:drawing>
      </w:r>
      <w:bookmarkStart w:id="90" w:name="i-91"/>
      <w:bookmarkEnd w:id="9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51460"/>
                <wp:effectExtent l="0" t="0" r="0" b="0"/>
                <wp:wrapNone/>
                <wp:docPr id="195" name="Frame10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spacing w:before="0" w:after="0"/>
        <w:jc w:val="center"/>
        <w:rPr/>
      </w:pPr>
      <w:r>
        <w:rPr/>
        <w:drawing>
          <wp:inline distT="0" distB="0" distL="0" distR="0">
            <wp:extent cx="7534275" cy="9829800"/>
            <wp:effectExtent l="0" t="0" r="0" b="0"/>
            <wp:docPr id="1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2" descr=""/>
                    <pic:cNvPicPr>
                      <a:picLocks noChangeAspect="1" noChangeArrowheads="1"/>
                    </pic:cNvPicPr>
                  </pic:nvPicPr>
                  <pic:blipFill>
                    <a:blip r:embed="rId93"/>
                    <a:stretch>
                      <a:fillRect/>
                    </a:stretch>
                  </pic:blipFill>
                  <pic:spPr bwMode="auto">
                    <a:xfrm>
                      <a:off x="0" y="0"/>
                      <a:ext cx="7534275" cy="9829800"/>
                    </a:xfrm>
                    <a:prstGeom prst="rect">
                      <a:avLst/>
                    </a:prstGeom>
                  </pic:spPr>
                </pic:pic>
              </a:graphicData>
            </a:graphic>
          </wp:inline>
        </w:drawing>
      </w:r>
      <w:bookmarkStart w:id="91" w:name="i-92"/>
      <w:bookmarkEnd w:id="9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51460"/>
                <wp:effectExtent l="0" t="0" r="0" b="0"/>
                <wp:wrapNone/>
                <wp:docPr id="197" name="Frame10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bfd6b0483d1b4b30b74b2f1f409ac4ea_16">
        <w:r>
          <w:rPr>
            <w:rStyle w:val="InternetLink"/>
            <w:rFonts w:ascii="ITC Avant Garde Pro Bk;sans-serif" w:hAnsi="ITC Avant Garde Pro Bk;sans-serif"/>
            <w:b/>
            <w:color w:val="0000FF"/>
            <w:sz w:val="17"/>
            <w:u w:val="single"/>
          </w:rPr>
          <w:t>Table of Contents</w:t>
        </w:r>
      </w:hyperlink>
    </w:p>
    <w:p>
      <w:pPr>
        <w:pStyle w:val="TextBody"/>
        <w:bidi w:val="0"/>
        <w:jc w:val="center"/>
        <w:rPr/>
      </w:pPr>
      <w:r>
        <w:rPr/>
        <w:drawing>
          <wp:inline distT="0" distB="0" distL="0" distR="0">
            <wp:extent cx="7543800" cy="9753600"/>
            <wp:effectExtent l="0" t="0" r="0" b="0"/>
            <wp:docPr id="19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3" descr=""/>
                    <pic:cNvPicPr>
                      <a:picLocks noChangeAspect="1" noChangeArrowheads="1"/>
                    </pic:cNvPicPr>
                  </pic:nvPicPr>
                  <pic:blipFill>
                    <a:blip r:embed="rId94"/>
                    <a:stretch>
                      <a:fillRect/>
                    </a:stretch>
                  </pic:blipFill>
                  <pic:spPr bwMode="auto">
                    <a:xfrm>
                      <a:off x="0" y="0"/>
                      <a:ext cx="7543800" cy="9753600"/>
                    </a:xfrm>
                    <a:prstGeom prst="rect">
                      <a:avLst/>
                    </a:prstGeom>
                  </pic:spPr>
                </pic:pic>
              </a:graphicData>
            </a:graphic>
          </wp:inline>
        </w:drawing>
      </w:r>
      <w:bookmarkStart w:id="92" w:name="i-93"/>
      <w:bookmarkEnd w:id="92"/>
    </w:p>
    <w:p>
      <w:pPr>
        <w:pStyle w:val="TextBody"/>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51460"/>
                <wp:effectExtent l="0" t="0" r="0" b="0"/>
                <wp:wrapNone/>
                <wp:docPr id="199" name="Frame10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ITC Avant Garde Pro Bk">
    <w:altName w:val="sans-serif"/>
    <w:charset w:val="01"/>
    <w:family w:val="auto"/>
    <w:pitch w:val="default"/>
  </w:font>
  <w:font w:name="ITC Avant Garde Pro M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8.jpeg"/><Relationship Id="rId11" Type="http://schemas.openxmlformats.org/officeDocument/2006/relationships/image" Target="media/image8.jpeg"/><Relationship Id="rId12" Type="http://schemas.openxmlformats.org/officeDocument/2006/relationships/image" Target="media/image8.jpeg"/><Relationship Id="rId13" Type="http://schemas.openxmlformats.org/officeDocument/2006/relationships/image" Target="media/image4.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4.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7.jpeg"/><Relationship Id="rId35" Type="http://schemas.openxmlformats.org/officeDocument/2006/relationships/image" Target="media/image27.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jpeg"/><Relationship Id="rId57" Type="http://schemas.openxmlformats.org/officeDocument/2006/relationships/image" Target="media/image47.jpeg"/><Relationship Id="rId58" Type="http://schemas.openxmlformats.org/officeDocument/2006/relationships/image" Target="media/image23.jpeg"/><Relationship Id="rId59" Type="http://schemas.openxmlformats.org/officeDocument/2006/relationships/image" Target="media/image15.jpeg"/><Relationship Id="rId60" Type="http://schemas.openxmlformats.org/officeDocument/2006/relationships/image" Target="media/image48.jpeg"/><Relationship Id="rId61" Type="http://schemas.openxmlformats.org/officeDocument/2006/relationships/image" Target="media/image49.jpeg"/><Relationship Id="rId62" Type="http://schemas.openxmlformats.org/officeDocument/2006/relationships/image" Target="media/image50.jpeg"/><Relationship Id="rId63" Type="http://schemas.openxmlformats.org/officeDocument/2006/relationships/image" Target="media/image51.jpeg"/><Relationship Id="rId64" Type="http://schemas.openxmlformats.org/officeDocument/2006/relationships/image" Target="media/image52.jpeg"/><Relationship Id="rId65" Type="http://schemas.openxmlformats.org/officeDocument/2006/relationships/image" Target="media/image4.jpeg"/><Relationship Id="rId66" Type="http://schemas.openxmlformats.org/officeDocument/2006/relationships/image" Target="media/image53.jpeg"/><Relationship Id="rId67" Type="http://schemas.openxmlformats.org/officeDocument/2006/relationships/image" Target="media/image54.jpeg"/><Relationship Id="rId68" Type="http://schemas.openxmlformats.org/officeDocument/2006/relationships/image" Target="media/image55.jpeg"/><Relationship Id="rId69" Type="http://schemas.openxmlformats.org/officeDocument/2006/relationships/image" Target="media/image56.jpeg"/><Relationship Id="rId70" Type="http://schemas.openxmlformats.org/officeDocument/2006/relationships/image" Target="media/image55.jpeg"/><Relationship Id="rId71" Type="http://schemas.openxmlformats.org/officeDocument/2006/relationships/image" Target="media/image55.jpeg"/><Relationship Id="rId72" Type="http://schemas.openxmlformats.org/officeDocument/2006/relationships/image" Target="media/image55.jpeg"/><Relationship Id="rId73" Type="http://schemas.openxmlformats.org/officeDocument/2006/relationships/image" Target="media/image55.jpeg"/><Relationship Id="rId74" Type="http://schemas.openxmlformats.org/officeDocument/2006/relationships/image" Target="media/image55.jpeg"/><Relationship Id="rId75" Type="http://schemas.openxmlformats.org/officeDocument/2006/relationships/image" Target="media/image55.jpeg"/><Relationship Id="rId76" Type="http://schemas.openxmlformats.org/officeDocument/2006/relationships/image" Target="media/image57.jpeg"/><Relationship Id="rId77" Type="http://schemas.openxmlformats.org/officeDocument/2006/relationships/image" Target="media/image58.jpeg"/><Relationship Id="rId78" Type="http://schemas.openxmlformats.org/officeDocument/2006/relationships/image" Target="media/image58.jpeg"/><Relationship Id="rId79" Type="http://schemas.openxmlformats.org/officeDocument/2006/relationships/image" Target="media/image58.jpeg"/><Relationship Id="rId80" Type="http://schemas.openxmlformats.org/officeDocument/2006/relationships/image" Target="media/image58.jpeg"/><Relationship Id="rId81" Type="http://schemas.openxmlformats.org/officeDocument/2006/relationships/image" Target="media/image59.jpeg"/><Relationship Id="rId82" Type="http://schemas.openxmlformats.org/officeDocument/2006/relationships/image" Target="media/image60.jpeg"/><Relationship Id="rId83" Type="http://schemas.openxmlformats.org/officeDocument/2006/relationships/image" Target="media/image61.jpeg"/><Relationship Id="rId84" Type="http://schemas.openxmlformats.org/officeDocument/2006/relationships/image" Target="media/image62.jpeg"/><Relationship Id="rId85" Type="http://schemas.openxmlformats.org/officeDocument/2006/relationships/image" Target="media/image63.jpeg"/><Relationship Id="rId86" Type="http://schemas.openxmlformats.org/officeDocument/2006/relationships/image" Target="media/image64.jpeg"/><Relationship Id="rId87" Type="http://schemas.openxmlformats.org/officeDocument/2006/relationships/image" Target="media/image4.jpeg"/><Relationship Id="rId88" Type="http://schemas.openxmlformats.org/officeDocument/2006/relationships/image" Target="media/image65.jpeg"/><Relationship Id="rId89" Type="http://schemas.openxmlformats.org/officeDocument/2006/relationships/image" Target="media/image4.jpeg"/><Relationship Id="rId90" Type="http://schemas.openxmlformats.org/officeDocument/2006/relationships/image" Target="media/image47.jpeg"/><Relationship Id="rId91" Type="http://schemas.openxmlformats.org/officeDocument/2006/relationships/image" Target="media/image3.jpeg"/><Relationship Id="rId92" Type="http://schemas.openxmlformats.org/officeDocument/2006/relationships/image" Target="media/image66.jpeg"/><Relationship Id="rId93" Type="http://schemas.openxmlformats.org/officeDocument/2006/relationships/image" Target="media/image67.jpeg"/><Relationship Id="rId94" Type="http://schemas.openxmlformats.org/officeDocument/2006/relationships/image" Target="media/image68.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60588</Words>
  <Characters>324712</Characters>
  <CharactersWithSpaces>383069</CharactersWithSpaces>
  <Paragraphs>3450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